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Case Study Analysis: Complete AI-Powered Customer Service System Using Large Language Models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Q1. Complete AI Customer Service System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1. Introduction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Modern enterprises face mounting pressure to deliver instant, accurate, and personalized customer support across multiple channels while controlling operational cost. Traditional rule-based chatbots and static FAQ systems fail to handle the linguistic variability, contextual nuance, and multi-step reasoning that real customer queries demand. Large Language Models (LLMs) offer a transformative alternative by combining deep contextual understanding, generative fluency, and the ability to integrate with external systems through tool use. This report presents a complete solution architecture for an AI-driven customer service system, covering the underlying LLM architecture, the training and adaptation pipeline, prompting strategies, integration mechanisms, and the security safeguards required for a production-grade deployment.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2. Case Study Background and Problem Statement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Consider a mid-sized e-commerce organization that receives over 50,000 customer queries per month across chat, email, and voice channels. Queries range from simple order-status checks to complex refund disputes, product recommendations, and technical troubleshooting. The existing keyword-based chatbot resolves only 30% of queries without human escalation, resulting in long wait times, inconsistent responses, and high staffing costs. The organization seeks an AI customer service system that can: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Understand natural, unstructured customer language, including typos, slang, and multiple languages.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Retrieve real-time order, inventory, and account data through backend APIs.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Generate empathetic, brand-consistent, and factually accurate responses.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Escalate sensitive or ambiguous cases to human agents safely.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Operate within strict data-privacy, cost, and latency constraints.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The remainder of this report analyzes the technical challenges embedded in this scenario and proposes a complete, justified solution built on modern LLM engineering practices.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3. Key Challenges Identified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Ambiguity and diversity of natural language customer input.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Need for domain-specific, up-to-date knowledge (policies, catalogue, orders) beyond a generic pre-trained model.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Multi-step reasoning requirements (e.g., verifying eligibility before approving a refund).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Integration with live backend systems (CRM, order database, payment gateway).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Risk of hallucination, data leakage, prompt injection, and inappropriate responses.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Balancing accuracy, latency, and inference cost at scale.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4. LLM Architecture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The proposed system uses a decoder-only Transformer, the dominant design for conversational LLMs. Key components: (a) a tokenization layer converting text into sub-word tokens (BPE/SentencePiece); (b) an embedding layer mapping tokens to dense vectors with positional encoding; (c) multi-head self-attention, letting each token attend to relevant prior tokens to capture long-range context such as an order mentioned earlier in the chat; (d) feed-forward and layer-normalization blocks stacked across dozens of layers; and (e) an output softmax layer producing next-token probabilities for autoregressive generation. This design scales well with context length, allowing the model to retain conversation history and produce natural, free-form responses.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5. Pre-training and Fine-tuning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Pre-training: the base LLM learns on large, diverse corpora (web text, books, code, dialogue) via self-supervised next-token prediction, gaining general linguistic competence and reasoning ability, though no knowledge of the organization's specific products or policies. Fine-tuning: supervised fine-tuning (SFT) is then performed on curated support transcripts, policy documents, and resolved tickets, optionally followed by RLHF/DPO, where human reviewers rank candidate responses for helpfulness, tone, and policy compliance, aligning outputs with brand voice and business rules.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6. Transfer Learning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Rather than training from scratch, the solution relies on transfer learning: general linguistic and reasoning capabilities learned during pre-training are transferred to the customer-service domain through fine-tuning and retrieval augmentation. This drastically reduces the data and compute required — only tens of thousands of domain examples, rather than billions of tokens, are needed to adapt behaviour, while general skills such as grammar and multilingual understanding are preserved.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7. Prompt Engineering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Prompt engineering governs how the model is instructed at inference time and is critical for reliability without retraining. The system prompt for the customer-service agent defines role, tone, scope, and escalation rules, for example: "You are a helpful, empathetic support assistant for [Company]. Use only verified data from the provided tools. If unsure or if the request involves a refund above policy limits, escalate to a human agent."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Zero-shot: used for simple, well-understood intents (e.g., "track my order") where the instruction alone suffices.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One-shot / Few-shot: one or more labelled examples are added for nuanced tasks such as refund-eligibility classification or VIP tone-matching, improving consistency without retraining.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Reasoning-oriented (chain-of-thought): for multi-step tasks such as refund eligibility (purchase date, return window, item condition), the model is asked to reason step-by-step before deciding, optionally paired with self-consistency sampling for high-stakes cases.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Structured prompting: the model returns fixed-schema JSON (intent, confidence, response_text, escalate) so downstream systems can validate and parse output reliably before it reaches the customer.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8. Function Calling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The model is configured with callable functions such as get_order_status(order_id), initiate_refund(order_id, reason), and get_product_details(sku). When a query needs real-time data, the model emits a structured function-call request instead of guessing; the application layer executes it against the CRM/order API and returns the result, which the model uses to compose the final reply. This grounds responses in verified, live data and directly mitigates hallucination.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9. Parameter-Efficient Fine-Tuning (LoRA / PEFT)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Full fine-tuning of a multi-billion-parameter LLM is costly and risks catastrophic forgetting. The solution instead uses Low-Rank Adaptation (LoRA), a PEFT technique that freezes the pre-trained weights and injects small trainable low-rank matrices into the attention layers, updating typically less than 1% of total parameters. This cuts GPU memory and training cost, allows lightweight adapters per product line or language, and enables fast retraining as policies change without redeploying the base model.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10. LLM API Selection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Selecting the right model/API involves balancing accuracy, latency, context window, cost per token, safety features, and native tool-use support. The following criteria guide selection for the proposed system: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00"/>
      </w:tblGrid>
      <w:tr>
        <w:tc>
          <w:tcPr>
            <w:tcW w:type="dxa" w:w="2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Criterion</w:t>
            </w:r>
          </w:p>
        </w:tc>
        <w:tc>
          <w:tcPr>
            <w:tcW w:type="dxa" w:w="3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Requirement</w:t>
            </w:r>
          </w:p>
        </w:tc>
        <w:tc>
          <w:tcPr>
            <w:tcW w:type="dxa" w:w="3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Rationale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Reasoning quality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High accuracy on multi-step policy checks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Reduces incorrect refund/eligibility decisions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Function calling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Native structured tool-use support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Enables reliable backend integration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Latency / cost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Low-latency, tiered model options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Cheaper model for routine queries, larger model for complex cases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Safety &amp; compliance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Built-in moderation, data controls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Required for handling PII and financial data</w:t>
            </w:r>
          </w:p>
        </w:tc>
      </w:tr>
    </w:tbl>
    <w:p>
      <w:pPr>
        <w:spacing w:after="120"/>
      </w:pP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 tiered strategy is recommended: a small, low-cost model (e.g., Claude Haiku-class) handles routine intent classification and FAQs, while a larger, higher-reasoning model (e.g., Claude Sonnet-class) is invoked for complex or high-risk cases such as disputes and refunds, optimizing the overall cost-to-quality ratio.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11. Prompt Evaluation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Before and after deployment, prompts and model outputs are evaluated systematically rather than by ad hoc inspection. The evaluation framework includes: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Golden-set testing: a curated set of representative queries with expected outputs, scored for accuracy, tone, and policy adherence.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Automated metrics: exact-match/F1 for factual fields, BLEU/ROUGE for phrasing similarity where relevant, and JSON-schema validation for structured outputs.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LLM-as-judge evaluation: a separate model instance scores responses on helpfulness, correctness, and safety using a rubric.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Human-in-the-loop review: periodic sampling of live conversations by quality analysts, with feedback fed back into fine-tuning data.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A/B testing: comparing prompt or model versions on live traffic using resolution rate and customer satisfaction (CSAT) as success metrics.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12. Security and Edge-Case Handling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Prompt injection defence: user input is treated as untrusted, isolated from system instructions, and function outputs are validated before use.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PII protection: sensitive data is masked in logs; tool access is scoped and authenticated.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Hallucination control: RAG and function calling ground responses in verified data; the model abstains and escalates when uncertain.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Guardrails: input/output content filters block toxic, abusive, or out-of-scope requests, including prompt-extraction attempts.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Human escalation: low-confidence, high-value, or sensitive cases route to a human agent with full context.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Audit logging: every function call and escalation is logged for compliance and continuous improvement.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13. Proposed Solution Architecture (Workflow)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Workflow: (1) message received via chat/email/voice-to-text; (2) input passed through moderation/PII-redaction; (3) intent classified by the smaller model tier; (4) context retrieved via RAG and/or function calls to order/CRM APIs; (5) the full prompt is sent to the appropriate model tier; (6) the model reasons and returns structured JSON with a confidence and escalation flag; (7) the application layer validates the output, executes any requested actions, and formats the reply; (8) low-confidence or sensitive cases escalate to a human agent with full context; (9) the interaction is logged and periodically curated into fine-tuning data.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14. Benefits, Limitations, and Future Scope</w:t>
      </w:r>
    </w:p>
    <w:p>
      <w:pPr>
        <w:pStyle w:val="Heading2"/>
        <w:spacing w:after="80" w:before="120"/>
      </w:pPr>
      <w:r>
        <w:rPr>
          <w:rFonts w:ascii="Times New Roman" w:cs="Times New Roman" w:eastAsia="Times New Roman" w:hAnsi="Times New Roman"/>
          <w:b/>
          <w:bCs/>
          <w:color w:val="2E5395"/>
          <w:sz w:val="28"/>
          <w:szCs w:val="28"/>
        </w:rPr>
        <w:t xml:space="preserve">14.1 Benefits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24/7 availability with consistent, policy-compliant responses; reduced resolution time and agent workload for routine queries.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Grounded, accurate answers through function calling and RAG; cost efficiency via tiered models and PEFT-based adaptation.</w:t>
      </w:r>
    </w:p>
    <w:p>
      <w:pPr>
        <w:pStyle w:val="Heading2"/>
        <w:spacing w:after="80" w:before="120"/>
      </w:pPr>
      <w:r>
        <w:rPr>
          <w:rFonts w:ascii="Times New Roman" w:cs="Times New Roman" w:eastAsia="Times New Roman" w:hAnsi="Times New Roman"/>
          <w:b/>
          <w:bCs/>
          <w:color w:val="2E5395"/>
          <w:sz w:val="28"/>
          <w:szCs w:val="28"/>
        </w:rPr>
        <w:t xml:space="preserve">14.2 Limitations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Residual risk of hallucination/misclassification on novel queries; dependence on knowledge-base freshness; ongoing monitoring and re-fine-tuning cost.</w:t>
      </w:r>
    </w:p>
    <w:p>
      <w:pPr>
        <w:pStyle w:val="Heading2"/>
        <w:spacing w:after="80" w:before="120"/>
      </w:pPr>
      <w:r>
        <w:rPr>
          <w:rFonts w:ascii="Times New Roman" w:cs="Times New Roman" w:eastAsia="Times New Roman" w:hAnsi="Times New Roman"/>
          <w:b/>
          <w:bCs/>
          <w:color w:val="2E5395"/>
          <w:sz w:val="28"/>
          <w:szCs w:val="28"/>
        </w:rPr>
        <w:t xml:space="preserve">14.3 Future Scope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Voice/multimodal support, proactive predictive support, and continuous learning pipelines that incorporate agent corrections into future fine-tuning cycles.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15. Conclusion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The proposed AI customer service system demonstrates how a decoder-only transformer LLM, adapted through transfer learning and parameter-efficient fine-tuning (LoRA), combined with disciplined prompt engineering, structured output, and function calling, can address the core challenges of scale, accuracy, and integration identified in the case study. A tiered API strategy balances cost and reasoning quality, while a rigorous evaluation framework and layered security controls ensure the system remains reliable, safe, and continuously improvable in a production environment. This complete pipeline — from architecture through deployment safeguards — provides a practical blueprint for enterprises seeking to modernize customer support with large language models.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2026-08-04T15:36:06.784Z</dcterms:created>
  <dcterms:modified xsi:type="dcterms:W3CDTF">2026-08-04T15:36:06.784Z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