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4AD1" w14:textId="77777777" w:rsidR="00202205" w:rsidRDefault="00000000" w:rsidP="002B393F">
      <w:pPr>
        <w:spacing w:after="40" w:line="360" w:lineRule="auto"/>
        <w:jc w:val="center"/>
      </w:pPr>
      <w:r>
        <w:rPr>
          <w:b/>
          <w:bCs/>
          <w:color w:val="1F3864"/>
          <w:sz w:val="34"/>
          <w:szCs w:val="34"/>
        </w:rPr>
        <w:t>Case Study 2.28: Secure Function Calling in Large Language Models</w:t>
      </w:r>
    </w:p>
    <w:p w14:paraId="13A421EC" w14:textId="77777777" w:rsidR="00202205" w:rsidRDefault="00000000" w:rsidP="002B393F">
      <w:pPr>
        <w:spacing w:after="140" w:line="360" w:lineRule="auto"/>
        <w:jc w:val="center"/>
      </w:pPr>
      <w:r>
        <w:rPr>
          <w:i/>
          <w:iCs/>
          <w:color w:val="444444"/>
          <w:sz w:val="22"/>
          <w:szCs w:val="22"/>
        </w:rPr>
        <w:t>A Complete Solution Design covering Architecture, Training, Prompting and Security</w:t>
      </w:r>
    </w:p>
    <w:p w14:paraId="1AB62717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1. Introduction and Problem Context</w:t>
      </w:r>
    </w:p>
    <w:p w14:paraId="5906545A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Modern enterprise applications increasingly connect Large Language Models (LLMs) to external tools, APIs, and databases through “function calling,” allowing a model to translate a natural-language request into a structured, executable action (e.g., booking a ticket, querying a database, or transferring funds). While this capability greatly expands what an LLM can do, it also converts the model from a passive text generator into an active agent that can trigger real-world side effects. The case study therefore requires a solution that is functionally correct and also secure against prompt injection, privilege abuse, malformed calls, and other adversarial or accidental edge cases.</w:t>
      </w:r>
    </w:p>
    <w:p w14:paraId="62DEE6F8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2. LLM Architecture Relevant to the Case</w:t>
      </w:r>
    </w:p>
    <w:p w14:paraId="1C4FB5FA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 xml:space="preserve">At its core, an LLM used for function calling is a decoder-only Transformer. Input text is tokenized and embedded, positional information is added, and the sequence passes through N stacked Transformer blocks, each combining multi-head self-attention (to model relationships between tokens) with a position-wise feed-forward network, residual connections, and layer normalisation. The final hidden states are projected through a linear layer and </w:t>
      </w:r>
      <w:proofErr w:type="spellStart"/>
      <w:r>
        <w:rPr>
          <w:sz w:val="28"/>
          <w:szCs w:val="28"/>
        </w:rPr>
        <w:t>softmax</w:t>
      </w:r>
      <w:proofErr w:type="spellEnd"/>
      <w:r>
        <w:rPr>
          <w:sz w:val="28"/>
          <w:szCs w:val="28"/>
        </w:rPr>
        <w:t xml:space="preserve"> to produce a probability distribution over the vocabulary, from which the model can generate either natural language or a structured function-call payload (typically JSON) that a host application executes.</w:t>
      </w:r>
    </w:p>
    <w:p w14:paraId="3904F14B" w14:textId="77777777" w:rsidR="00202205" w:rsidRDefault="00000000" w:rsidP="002B393F">
      <w:pPr>
        <w:spacing w:before="80" w:after="20" w:line="360" w:lineRule="auto"/>
        <w:jc w:val="center"/>
      </w:pPr>
      <w:r>
        <w:rPr>
          <w:noProof/>
        </w:rPr>
        <w:drawing>
          <wp:inline distT="0" distB="0" distL="0" distR="0" wp14:anchorId="708E04D9" wp14:editId="135CE27C">
            <wp:extent cx="2000250" cy="2543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89F0" w14:textId="77777777" w:rsidR="00202205" w:rsidRDefault="00000000" w:rsidP="002B393F">
      <w:pPr>
        <w:spacing w:before="40" w:after="120" w:line="360" w:lineRule="auto"/>
        <w:jc w:val="center"/>
      </w:pPr>
      <w:r>
        <w:rPr>
          <w:i/>
          <w:iCs/>
          <w:color w:val="444444"/>
        </w:rPr>
        <w:lastRenderedPageBreak/>
        <w:t>Figure 1: Transformer-based LLM architecture producing text or structured function calls.</w:t>
      </w:r>
    </w:p>
    <w:p w14:paraId="3C1D7ECD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3. Pre-training, Fine-tuning and Transfer Learning</w:t>
      </w:r>
    </w:p>
    <w:p w14:paraId="5296444E" w14:textId="77777777" w:rsidR="00202205" w:rsidRDefault="00000000" w:rsidP="002B393F">
      <w:pPr>
        <w:pStyle w:val="Heading2"/>
        <w:spacing w:before="120" w:after="60" w:line="360" w:lineRule="auto"/>
      </w:pPr>
      <w:r>
        <w:rPr>
          <w:b/>
          <w:bCs/>
          <w:color w:val="2E5395"/>
          <w:sz w:val="28"/>
          <w:szCs w:val="28"/>
        </w:rPr>
        <w:t xml:space="preserve">3.1 </w:t>
      </w:r>
      <w:proofErr w:type="gramStart"/>
      <w:r>
        <w:rPr>
          <w:b/>
          <w:bCs/>
          <w:color w:val="2E5395"/>
          <w:sz w:val="28"/>
          <w:szCs w:val="28"/>
        </w:rPr>
        <w:t>Pre-training</w:t>
      </w:r>
      <w:proofErr w:type="gramEnd"/>
    </w:p>
    <w:p w14:paraId="69C74943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The base model is pre-trained on large, diverse text corpora using a self-supervised objective such as next-token prediction. This stage gives the model broad linguistic and world knowledge but no awareness of a specific organisation's tools or safety policies.</w:t>
      </w:r>
    </w:p>
    <w:p w14:paraId="1D5282E2" w14:textId="77777777" w:rsidR="00202205" w:rsidRDefault="00000000" w:rsidP="002B393F">
      <w:pPr>
        <w:pStyle w:val="Heading2"/>
        <w:spacing w:before="120" w:after="60" w:line="360" w:lineRule="auto"/>
      </w:pPr>
      <w:r>
        <w:rPr>
          <w:b/>
          <w:bCs/>
          <w:color w:val="2E5395"/>
          <w:sz w:val="28"/>
          <w:szCs w:val="28"/>
        </w:rPr>
        <w:t>3.2 Fine-tuning</w:t>
      </w:r>
    </w:p>
    <w:p w14:paraId="0173CF07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Supervised fine-tuning (SFT) and instruction-tuning are then applied on curated examples of correct tool-use dialogues, teaching the model when to call a function, how to format arguments, and when to refuse. Reinforcement Learning from Human Feedback (RLHF) or similar preference-optimisation methods further align the model's behaviour with safe, helpful responses.</w:t>
      </w:r>
    </w:p>
    <w:p w14:paraId="52D9F87D" w14:textId="77777777" w:rsidR="00202205" w:rsidRDefault="00000000" w:rsidP="002B393F">
      <w:pPr>
        <w:pStyle w:val="Heading2"/>
        <w:spacing w:before="120" w:after="60" w:line="360" w:lineRule="auto"/>
      </w:pPr>
      <w:r>
        <w:rPr>
          <w:b/>
          <w:bCs/>
          <w:color w:val="2E5395"/>
          <w:sz w:val="28"/>
          <w:szCs w:val="28"/>
        </w:rPr>
        <w:t>3.3 Transfer Learning</w:t>
      </w:r>
    </w:p>
    <w:p w14:paraId="0F1EAF0D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Rather than training from scratch, transfer learning reuses the pre-trained model's general representations and adapts them to the function-calling task with comparatively little task-specific data. This is more cost-effective and preserves the model's general reasoning ability while specialising its tool-use behaviour.</w:t>
      </w:r>
    </w:p>
    <w:p w14:paraId="272E4A49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 xml:space="preserve">4. </w:t>
      </w:r>
      <w:proofErr w:type="spellStart"/>
      <w:r>
        <w:rPr>
          <w:b/>
          <w:bCs/>
          <w:color w:val="1F3864"/>
          <w:sz w:val="30"/>
          <w:szCs w:val="30"/>
        </w:rPr>
        <w:t>LoRA</w:t>
      </w:r>
      <w:proofErr w:type="spellEnd"/>
      <w:r>
        <w:rPr>
          <w:b/>
          <w:bCs/>
          <w:color w:val="1F3864"/>
          <w:sz w:val="30"/>
          <w:szCs w:val="30"/>
        </w:rPr>
        <w:t xml:space="preserve"> and Parameter-Efficient Fine-Tuning (PEFT)</w:t>
      </w:r>
    </w:p>
    <w:p w14:paraId="35E48DB7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Full fine-tuning of a multi-billion-parameter LLM is expensive and risks catastrophic forgetting. Low-Rank Adaptation (</w:t>
      </w:r>
      <w:proofErr w:type="spellStart"/>
      <w:r>
        <w:rPr>
          <w:sz w:val="28"/>
          <w:szCs w:val="28"/>
        </w:rPr>
        <w:t>LoRA</w:t>
      </w:r>
      <w:proofErr w:type="spellEnd"/>
      <w:r>
        <w:rPr>
          <w:sz w:val="28"/>
          <w:szCs w:val="28"/>
        </w:rPr>
        <w:t xml:space="preserve">), a PEFT technique, freezes the original weight matrix W and injects two small trainable low-rank matrices, A and B, such that the effective update is W' = W + BA. Only A and B are trained, reducing trainable parameters by orders of magnitude while keeping the base model intact. This makes </w:t>
      </w:r>
      <w:proofErr w:type="spellStart"/>
      <w:r>
        <w:rPr>
          <w:sz w:val="28"/>
          <w:szCs w:val="28"/>
        </w:rPr>
        <w:t>LoRA</w:t>
      </w:r>
      <w:proofErr w:type="spellEnd"/>
      <w:r>
        <w:rPr>
          <w:sz w:val="28"/>
          <w:szCs w:val="28"/>
        </w:rPr>
        <w:t xml:space="preserve"> well suited to teaching the model organisation-specific function schemas and secure-calling conventions cheaply and safely, and multiple </w:t>
      </w:r>
      <w:proofErr w:type="spellStart"/>
      <w:r>
        <w:rPr>
          <w:sz w:val="28"/>
          <w:szCs w:val="28"/>
        </w:rPr>
        <w:t>LoRA</w:t>
      </w:r>
      <w:proofErr w:type="spellEnd"/>
      <w:r>
        <w:rPr>
          <w:sz w:val="28"/>
          <w:szCs w:val="28"/>
        </w:rPr>
        <w:t xml:space="preserve"> adapters can be swapped in for different tool sets without retraining the whole model.</w:t>
      </w:r>
    </w:p>
    <w:p w14:paraId="1C1D6BFE" w14:textId="77777777" w:rsidR="00202205" w:rsidRDefault="00000000" w:rsidP="002B393F">
      <w:pPr>
        <w:spacing w:before="80" w:after="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D696704" wp14:editId="7FA1F897">
            <wp:extent cx="2476500" cy="1704975"/>
            <wp:effectExtent l="0" t="0" r="0" b="0"/>
            <wp:docPr id="1180948488" name="Picture 118094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9FD4" w14:textId="77777777" w:rsidR="00202205" w:rsidRDefault="00000000" w:rsidP="002B393F">
      <w:pPr>
        <w:spacing w:before="40" w:after="120" w:line="360" w:lineRule="auto"/>
        <w:jc w:val="center"/>
      </w:pPr>
      <w:r>
        <w:rPr>
          <w:i/>
          <w:iCs/>
          <w:color w:val="444444"/>
        </w:rPr>
        <w:t xml:space="preserve">Figure 2: </w:t>
      </w:r>
      <w:proofErr w:type="spellStart"/>
      <w:r>
        <w:rPr>
          <w:i/>
          <w:iCs/>
          <w:color w:val="444444"/>
        </w:rPr>
        <w:t>LoRA</w:t>
      </w:r>
      <w:proofErr w:type="spellEnd"/>
      <w:r>
        <w:rPr>
          <w:i/>
          <w:iCs/>
          <w:color w:val="444444"/>
        </w:rPr>
        <w:t xml:space="preserve"> fine-tuning — base weights frozen, only low-rank matrices A and B are trained.</w:t>
      </w:r>
    </w:p>
    <w:p w14:paraId="25345678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5. Prompt Engineering Strategy</w:t>
      </w:r>
    </w:p>
    <w:p w14:paraId="63E5F3E3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A layered prompting strategy is used to make function selection reliable and safe.</w:t>
      </w:r>
    </w:p>
    <w:p w14:paraId="07CA3172" w14:textId="77777777" w:rsidR="00202205" w:rsidRDefault="00000000" w:rsidP="002B393F">
      <w:pPr>
        <w:pStyle w:val="Heading2"/>
        <w:spacing w:before="120" w:after="60" w:line="360" w:lineRule="auto"/>
      </w:pPr>
      <w:r>
        <w:rPr>
          <w:b/>
          <w:bCs/>
          <w:color w:val="2E5395"/>
          <w:sz w:val="28"/>
          <w:szCs w:val="28"/>
        </w:rPr>
        <w:t>5.1 Zero-shot, One-shot and Few-shot Prompting</w:t>
      </w:r>
    </w:p>
    <w:p w14:paraId="72D79E0E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Zero-shot: the model is given only the function schemas and task instruction; used for simple, well-covered tools.</w:t>
      </w:r>
    </w:p>
    <w:p w14:paraId="54D76F67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One-shot: a single worked example of correct tool invocation is provided to anchor output format.</w:t>
      </w:r>
    </w:p>
    <w:p w14:paraId="67D9A70B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Few-shot: multiple examples, including at least one refusal / edge-case example, are provided to calibrate tone, format and safety boundaries for complex or ambiguous tools.</w:t>
      </w:r>
    </w:p>
    <w:p w14:paraId="23EA4F07" w14:textId="77777777" w:rsidR="00202205" w:rsidRDefault="00000000" w:rsidP="002B393F">
      <w:pPr>
        <w:pStyle w:val="Heading2"/>
        <w:spacing w:before="120" w:after="60" w:line="360" w:lineRule="auto"/>
      </w:pPr>
      <w:r>
        <w:rPr>
          <w:b/>
          <w:bCs/>
          <w:color w:val="2E5395"/>
          <w:sz w:val="28"/>
          <w:szCs w:val="28"/>
        </w:rPr>
        <w:t>5.2 Reasoning-Oriented Prompting</w:t>
      </w:r>
    </w:p>
    <w:p w14:paraId="6EE686F2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Chain-of-thought style prompting asks the model to reason step-by-step about whether a function call is necessary, which function fits, and whether the extracted arguments are complete and safe, before emitting the final structured call. This reduces hallucinated or premature function calls.</w:t>
      </w:r>
    </w:p>
    <w:p w14:paraId="1CD3F617" w14:textId="77777777" w:rsidR="00202205" w:rsidRDefault="00000000" w:rsidP="002B393F">
      <w:pPr>
        <w:pStyle w:val="Heading2"/>
        <w:spacing w:before="120" w:after="60" w:line="360" w:lineRule="auto"/>
      </w:pPr>
      <w:r>
        <w:rPr>
          <w:b/>
          <w:bCs/>
          <w:color w:val="2E5395"/>
          <w:sz w:val="28"/>
          <w:szCs w:val="28"/>
        </w:rPr>
        <w:t>5.3 Structured Prompting</w:t>
      </w:r>
    </w:p>
    <w:p w14:paraId="0A9493B8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Function definitions are supplied to the model as explicit JSON Schemas (name, description, parameter types, required fields). The model is instructed to respond only with a JSON object conforming to this schema, which is far more reliably parsed and validated than free-form text.</w:t>
      </w:r>
    </w:p>
    <w:p w14:paraId="00F3B8A3" w14:textId="77777777" w:rsidR="00202205" w:rsidRDefault="00000000" w:rsidP="002B393F">
      <w:pPr>
        <w:spacing w:before="80" w:after="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3CAA7AE" wp14:editId="108F6434">
            <wp:extent cx="3810000" cy="1847850"/>
            <wp:effectExtent l="0" t="0" r="0" b="0"/>
            <wp:docPr id="1940740155" name="Picture 194074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00EF" w14:textId="77777777" w:rsidR="00202205" w:rsidRDefault="00000000" w:rsidP="002B393F">
      <w:pPr>
        <w:spacing w:before="40" w:after="120" w:line="360" w:lineRule="auto"/>
        <w:jc w:val="center"/>
      </w:pPr>
      <w:r>
        <w:rPr>
          <w:i/>
          <w:iCs/>
          <w:color w:val="444444"/>
        </w:rPr>
        <w:t>Figure 3: Spectrum of prompting techniques applied to the function-calling pipeline.</w:t>
      </w:r>
    </w:p>
    <w:p w14:paraId="71D3A1BF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6. Secure Function-Calling Solution Design</w:t>
      </w:r>
    </w:p>
    <w:p w14:paraId="5EF10852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The proposed architecture places a Security Gateway between the LLM's function-call output and the actual execution environment, so that no LLM-issued call is trusted implicitly.</w:t>
      </w:r>
    </w:p>
    <w:p w14:paraId="5FD9119F" w14:textId="77777777" w:rsidR="00202205" w:rsidRDefault="00000000" w:rsidP="002B393F">
      <w:pPr>
        <w:spacing w:before="80" w:after="20" w:line="360" w:lineRule="auto"/>
        <w:jc w:val="center"/>
      </w:pPr>
      <w:r>
        <w:rPr>
          <w:noProof/>
        </w:rPr>
        <w:drawing>
          <wp:inline distT="0" distB="0" distL="0" distR="0" wp14:anchorId="6803D5E3" wp14:editId="76314BBD">
            <wp:extent cx="3619500" cy="2476500"/>
            <wp:effectExtent l="0" t="0" r="0" b="0"/>
            <wp:docPr id="1192877919" name="Picture 1192877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E6D1" w14:textId="77777777" w:rsidR="00202205" w:rsidRDefault="00000000" w:rsidP="002B393F">
      <w:pPr>
        <w:spacing w:before="40" w:after="120" w:line="360" w:lineRule="auto"/>
        <w:jc w:val="center"/>
      </w:pPr>
      <w:r>
        <w:rPr>
          <w:i/>
          <w:iCs/>
          <w:color w:val="444444"/>
        </w:rPr>
        <w:t>Figure 4: End-to-end secure function-calling workflow with validation, sandboxing and logging.</w:t>
      </w:r>
    </w:p>
    <w:p w14:paraId="1CF4A28A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Intent detection: the LLM proposes a function name and arguments using structured prompting.</w:t>
      </w:r>
    </w:p>
    <w:p w14:paraId="700C4DF7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Schema validation: the gateway checks the JSON against the registered function schema and rejects malformed calls.</w:t>
      </w:r>
    </w:p>
    <w:p w14:paraId="2317E1A9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Authorisation: role-based access control confirms the requesting user/session may invoke that function.</w:t>
      </w:r>
    </w:p>
    <w:p w14:paraId="6638DDA5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Allow-listing: only pre-registered, vetted functions can be executed; unknown names are auto-rejected.</w:t>
      </w:r>
    </w:p>
    <w:p w14:paraId="2E9BE732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lastRenderedPageBreak/>
        <w:t>Sandboxed execution: the function runs in an isolated environment with least-privilege credentials and timeouts.</w:t>
      </w:r>
    </w:p>
    <w:p w14:paraId="2E01445A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Output filtering: results are checked/redacted before being fed back into the LLM context or shown to the user.</w:t>
      </w:r>
    </w:p>
    <w:p w14:paraId="01A80CB6" w14:textId="77777777" w:rsidR="00202205" w:rsidRDefault="00000000" w:rsidP="002B393F">
      <w:pPr>
        <w:pStyle w:val="ListParagraph"/>
        <w:numPr>
          <w:ilvl w:val="0"/>
          <w:numId w:val="2"/>
        </w:numPr>
        <w:spacing w:after="40" w:line="360" w:lineRule="auto"/>
      </w:pPr>
      <w:r>
        <w:rPr>
          <w:sz w:val="28"/>
          <w:szCs w:val="28"/>
        </w:rPr>
        <w:t>Logging and monitoring: every call, decision and rejection is logged for audit and anomaly detection.</w:t>
      </w:r>
    </w:p>
    <w:p w14:paraId="26FC57B1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7. LLM API Selection</w:t>
      </w:r>
    </w:p>
    <w:p w14:paraId="39BCF645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 xml:space="preserve">API/model selection should weigh native function-calling support, JSON-mode reliability, context window, latency/cost, and data-residency or compliance needs. Models with first-class structured-output and tool-use APIs (rather than prompt-only emulation) reduce parsing errors and are preferred for production secure function calling; smaller, fine-tuned or </w:t>
      </w:r>
      <w:proofErr w:type="spellStart"/>
      <w:r>
        <w:rPr>
          <w:sz w:val="28"/>
          <w:szCs w:val="28"/>
        </w:rPr>
        <w:t>LoRA</w:t>
      </w:r>
      <w:proofErr w:type="spellEnd"/>
      <w:r>
        <w:rPr>
          <w:sz w:val="28"/>
          <w:szCs w:val="28"/>
        </w:rPr>
        <w:t>-adapted open models may be selected for latency-sensitive or on-premises deployments where data cannot leave the organisation's environment.</w:t>
      </w:r>
    </w:p>
    <w:p w14:paraId="214099A9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8. Prompt Evaluation</w:t>
      </w:r>
    </w:p>
    <w:p w14:paraId="4653A96F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 xml:space="preserve">Before deployment, prompts and the resulting function calls are evaluated against: functional correctness (right function, right arguments), schema-validity rate, refusal accuracy on out-of-scope or unsafe requests, robustness to adversarial/prompt-injection test cases, and latency/cost. A held-out test suite of benign, ambiguous and adversarial prompts is scored automatically (schema/unit tests) and periodically reviewed by humans, feeding back into few-shot examples or </w:t>
      </w:r>
      <w:proofErr w:type="spellStart"/>
      <w:r>
        <w:rPr>
          <w:sz w:val="28"/>
          <w:szCs w:val="28"/>
        </w:rPr>
        <w:t>LoRA</w:t>
      </w:r>
      <w:proofErr w:type="spellEnd"/>
      <w:r>
        <w:rPr>
          <w:sz w:val="28"/>
          <w:szCs w:val="28"/>
        </w:rPr>
        <w:t xml:space="preserve"> fine-tuning data.</w:t>
      </w:r>
    </w:p>
    <w:p w14:paraId="1297D447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9. Security and Edge-Case Handling</w:t>
      </w:r>
    </w:p>
    <w:p w14:paraId="65B7702C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The table below summarises the principal risks specific to function calling and the corresponding mitigations built into the design.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3600"/>
      </w:tblGrid>
      <w:tr w:rsidR="00202205" w14:paraId="2D294C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5733A8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color w:val="FFFFFF"/>
              </w:rPr>
              <w:t>Security Risk</w:t>
            </w:r>
          </w:p>
        </w:tc>
        <w:tc>
          <w:tcPr>
            <w:tcW w:w="4200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658E8C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600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A5486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202205" w14:paraId="3E98D4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7B0AC8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Prompt Injection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596D14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Malicious text in user input tricks the LLM into invoking unintended or unsafe functions.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BA6A9D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Input sanitisation, instruction-hierarchy, allow-listing of callable functions.</w:t>
            </w:r>
          </w:p>
        </w:tc>
      </w:tr>
      <w:tr w:rsidR="00202205" w14:paraId="0B2B49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19B603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Schema Violation</w:t>
            </w:r>
          </w:p>
        </w:tc>
        <w:tc>
          <w:tcPr>
            <w:tcW w:w="42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6839D9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LLM returns malformed or type-mismatched JSON arguments for a function call.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8032D8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Strict JSON-schema validation before execution; reject non-conforming calls.</w:t>
            </w:r>
          </w:p>
        </w:tc>
      </w:tr>
      <w:tr w:rsidR="00202205" w14:paraId="1E1DBF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AA0D71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Privilege Escalation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D2694F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Function call attempts to access data/resources beyond the user's permission level.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1EA7F1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Role-based access control (RBAC) enforced at the gateway, not by the LLM.</w:t>
            </w:r>
          </w:p>
        </w:tc>
      </w:tr>
      <w:tr w:rsidR="00202205" w14:paraId="4ECFAC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865B7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Data Exfiltration</w:t>
            </w:r>
          </w:p>
        </w:tc>
        <w:tc>
          <w:tcPr>
            <w:tcW w:w="42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323FA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 xml:space="preserve">Sensitive data returned by a </w:t>
            </w:r>
            <w:proofErr w:type="gramStart"/>
            <w:r>
              <w:rPr>
                <w:sz w:val="18"/>
                <w:szCs w:val="18"/>
              </w:rPr>
              <w:t>function leaks</w:t>
            </w:r>
            <w:proofErr w:type="gramEnd"/>
            <w:r>
              <w:rPr>
                <w:sz w:val="18"/>
                <w:szCs w:val="18"/>
              </w:rPr>
              <w:t xml:space="preserve"> into the LLM context or final answer.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380976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Output filtering / redaction layer and least-privilege function design.</w:t>
            </w:r>
          </w:p>
        </w:tc>
      </w:tr>
      <w:tr w:rsidR="00202205" w14:paraId="4C4F6E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B42F2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Hallucinated Function/</w:t>
            </w:r>
            <w:proofErr w:type="spellStart"/>
            <w:r>
              <w:rPr>
                <w:b/>
                <w:bCs/>
                <w:sz w:val="18"/>
                <w:szCs w:val="18"/>
              </w:rPr>
              <w:t>Args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B3EEC4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Model invents a non-existent function name or fabricates parameter values.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BBF87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Allow-list matching, default-deny routing, human-in-the-loop for high-risk calls.</w:t>
            </w:r>
          </w:p>
        </w:tc>
      </w:tr>
      <w:tr w:rsidR="00202205" w14:paraId="2CA495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441B75" w14:textId="77777777" w:rsidR="00202205" w:rsidRDefault="00000000" w:rsidP="002B393F">
            <w:pPr>
              <w:spacing w:line="360" w:lineRule="auto"/>
            </w:pPr>
            <w:r>
              <w:rPr>
                <w:b/>
                <w:bCs/>
                <w:sz w:val="18"/>
                <w:szCs w:val="18"/>
              </w:rPr>
              <w:t>Denial of Service / Loops</w:t>
            </w:r>
          </w:p>
        </w:tc>
        <w:tc>
          <w:tcPr>
            <w:tcW w:w="42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DE2B6D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Repeated or recursive function calls exhaust resources or cost budget.</w:t>
            </w:r>
          </w:p>
        </w:tc>
        <w:tc>
          <w:tcPr>
            <w:tcW w:w="3600" w:type="dxa"/>
            <w:shd w:val="clear" w:color="auto" w:fill="F2F6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34B8DC" w14:textId="77777777" w:rsidR="00202205" w:rsidRDefault="00000000" w:rsidP="002B393F">
            <w:pPr>
              <w:spacing w:line="360" w:lineRule="auto"/>
            </w:pPr>
            <w:r>
              <w:rPr>
                <w:sz w:val="18"/>
                <w:szCs w:val="18"/>
              </w:rPr>
              <w:t>Rate limiting, call-depth limits, timeouts, monitoring and alerting.</w:t>
            </w:r>
          </w:p>
        </w:tc>
      </w:tr>
    </w:tbl>
    <w:p w14:paraId="410C324D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10. Justification of the Proposed Solution</w:t>
      </w:r>
    </w:p>
    <w:p w14:paraId="0BF28965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>The design combines cost-efficient adaptation (</w:t>
      </w:r>
      <w:proofErr w:type="spellStart"/>
      <w:r>
        <w:rPr>
          <w:sz w:val="28"/>
          <w:szCs w:val="28"/>
        </w:rPr>
        <w:t>LoRA</w:t>
      </w:r>
      <w:proofErr w:type="spellEnd"/>
      <w:r>
        <w:rPr>
          <w:sz w:val="28"/>
          <w:szCs w:val="28"/>
        </w:rPr>
        <w:t>/PEFT) with disciplined prompting (structured, few-shot, reasoning-oriented) and, critically, treats the LLM's output as untrusted input to a conventional security gateway. This mirrors defence-in-depth practice: even if the model is manipulated via prompt injection or hallucinates an unsafe call, schema validation, allow-listing, RBAC and sandboxing prevent unauthorised or destructive execution. The approach is scalable — new tools are added by registering a schema and updating the allow-list rather than retraining the model — and auditable, since every decision point produces a log entry.</w:t>
      </w:r>
    </w:p>
    <w:p w14:paraId="728D9DDD" w14:textId="77777777" w:rsidR="00202205" w:rsidRDefault="00000000" w:rsidP="002B393F">
      <w:pPr>
        <w:pStyle w:val="Heading1"/>
        <w:spacing w:before="160" w:after="80" w:line="360" w:lineRule="auto"/>
      </w:pPr>
      <w:r>
        <w:rPr>
          <w:b/>
          <w:bCs/>
          <w:color w:val="1F3864"/>
          <w:sz w:val="30"/>
          <w:szCs w:val="30"/>
        </w:rPr>
        <w:t>11. Conclusion</w:t>
      </w:r>
    </w:p>
    <w:p w14:paraId="3DEE0DA3" w14:textId="77777777" w:rsidR="00202205" w:rsidRDefault="00000000" w:rsidP="002B393F">
      <w:pPr>
        <w:spacing w:after="90" w:line="360" w:lineRule="auto"/>
        <w:jc w:val="both"/>
      </w:pPr>
      <w:r>
        <w:rPr>
          <w:sz w:val="28"/>
          <w:szCs w:val="28"/>
        </w:rPr>
        <w:t xml:space="preserve">Secure function calling requires more than a capable LLM; it requires an architecture where model reasoning (Transformer-based generation, fine-tuned via transfer learning and </w:t>
      </w:r>
      <w:proofErr w:type="spellStart"/>
      <w:r>
        <w:rPr>
          <w:sz w:val="28"/>
          <w:szCs w:val="28"/>
        </w:rPr>
        <w:t>LoRA</w:t>
      </w:r>
      <w:proofErr w:type="spellEnd"/>
      <w:r>
        <w:rPr>
          <w:sz w:val="28"/>
          <w:szCs w:val="28"/>
        </w:rPr>
        <w:t>, guided by structured and reasoning-oriented prompts) is paired with a non-</w:t>
      </w:r>
      <w:proofErr w:type="spellStart"/>
      <w:r>
        <w:rPr>
          <w:sz w:val="28"/>
          <w:szCs w:val="28"/>
        </w:rPr>
        <w:t>bypassable</w:t>
      </w:r>
      <w:proofErr w:type="spellEnd"/>
      <w:r>
        <w:rPr>
          <w:sz w:val="28"/>
          <w:szCs w:val="28"/>
        </w:rPr>
        <w:t xml:space="preserve"> security layer that validates, authorises and sandboxes every action before it touches real systems. This layered solution satisfies both the functional goal of natural-language tool use and the non-functional requirement of safety at production scale.</w:t>
      </w:r>
    </w:p>
    <w:sectPr w:rsidR="00202205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6456"/>
    <w:multiLevelType w:val="hybridMultilevel"/>
    <w:tmpl w:val="E260F722"/>
    <w:lvl w:ilvl="0" w:tplc="80F23A9A">
      <w:start w:val="1"/>
      <w:numFmt w:val="bullet"/>
      <w:lvlText w:val="•"/>
      <w:lvlJc w:val="left"/>
      <w:pPr>
        <w:ind w:left="504" w:hanging="288"/>
      </w:pPr>
    </w:lvl>
    <w:lvl w:ilvl="1" w:tplc="AD80AEEC">
      <w:start w:val="1"/>
      <w:numFmt w:val="bullet"/>
      <w:lvlText w:val="◦"/>
      <w:lvlJc w:val="left"/>
      <w:pPr>
        <w:ind w:left="1008" w:hanging="288"/>
      </w:pPr>
    </w:lvl>
    <w:lvl w:ilvl="2" w:tplc="1398158A">
      <w:numFmt w:val="decimal"/>
      <w:lvlText w:val=""/>
      <w:lvlJc w:val="left"/>
    </w:lvl>
    <w:lvl w:ilvl="3" w:tplc="9916822A">
      <w:numFmt w:val="decimal"/>
      <w:lvlText w:val=""/>
      <w:lvlJc w:val="left"/>
    </w:lvl>
    <w:lvl w:ilvl="4" w:tplc="0DD639BE">
      <w:numFmt w:val="decimal"/>
      <w:lvlText w:val=""/>
      <w:lvlJc w:val="left"/>
    </w:lvl>
    <w:lvl w:ilvl="5" w:tplc="80EA16FE">
      <w:numFmt w:val="decimal"/>
      <w:lvlText w:val=""/>
      <w:lvlJc w:val="left"/>
    </w:lvl>
    <w:lvl w:ilvl="6" w:tplc="7616CEBE">
      <w:numFmt w:val="decimal"/>
      <w:lvlText w:val=""/>
      <w:lvlJc w:val="left"/>
    </w:lvl>
    <w:lvl w:ilvl="7" w:tplc="F77627B0">
      <w:numFmt w:val="decimal"/>
      <w:lvlText w:val=""/>
      <w:lvlJc w:val="left"/>
    </w:lvl>
    <w:lvl w:ilvl="8" w:tplc="D3B41F92">
      <w:numFmt w:val="decimal"/>
      <w:lvlText w:val=""/>
      <w:lvlJc w:val="left"/>
    </w:lvl>
  </w:abstractNum>
  <w:abstractNum w:abstractNumId="1" w15:restartNumberingAfterBreak="0">
    <w:nsid w:val="5FD360F4"/>
    <w:multiLevelType w:val="hybridMultilevel"/>
    <w:tmpl w:val="D11CBBC4"/>
    <w:lvl w:ilvl="0" w:tplc="D6700DEE">
      <w:start w:val="1"/>
      <w:numFmt w:val="bullet"/>
      <w:lvlText w:val="●"/>
      <w:lvlJc w:val="left"/>
      <w:pPr>
        <w:ind w:left="720" w:hanging="360"/>
      </w:pPr>
    </w:lvl>
    <w:lvl w:ilvl="1" w:tplc="A4F86AA2">
      <w:start w:val="1"/>
      <w:numFmt w:val="bullet"/>
      <w:lvlText w:val="○"/>
      <w:lvlJc w:val="left"/>
      <w:pPr>
        <w:ind w:left="1440" w:hanging="360"/>
      </w:pPr>
    </w:lvl>
    <w:lvl w:ilvl="2" w:tplc="24F417A8">
      <w:start w:val="1"/>
      <w:numFmt w:val="bullet"/>
      <w:lvlText w:val="■"/>
      <w:lvlJc w:val="left"/>
      <w:pPr>
        <w:ind w:left="2160" w:hanging="360"/>
      </w:pPr>
    </w:lvl>
    <w:lvl w:ilvl="3" w:tplc="D168298E">
      <w:start w:val="1"/>
      <w:numFmt w:val="bullet"/>
      <w:lvlText w:val="●"/>
      <w:lvlJc w:val="left"/>
      <w:pPr>
        <w:ind w:left="2880" w:hanging="360"/>
      </w:pPr>
    </w:lvl>
    <w:lvl w:ilvl="4" w:tplc="B310F93C">
      <w:start w:val="1"/>
      <w:numFmt w:val="bullet"/>
      <w:lvlText w:val="○"/>
      <w:lvlJc w:val="left"/>
      <w:pPr>
        <w:ind w:left="3600" w:hanging="360"/>
      </w:pPr>
    </w:lvl>
    <w:lvl w:ilvl="5" w:tplc="12DCBE4E">
      <w:start w:val="1"/>
      <w:numFmt w:val="bullet"/>
      <w:lvlText w:val="■"/>
      <w:lvlJc w:val="left"/>
      <w:pPr>
        <w:ind w:left="4320" w:hanging="360"/>
      </w:pPr>
    </w:lvl>
    <w:lvl w:ilvl="6" w:tplc="4FF6FA26">
      <w:start w:val="1"/>
      <w:numFmt w:val="bullet"/>
      <w:lvlText w:val="●"/>
      <w:lvlJc w:val="left"/>
      <w:pPr>
        <w:ind w:left="5040" w:hanging="360"/>
      </w:pPr>
    </w:lvl>
    <w:lvl w:ilvl="7" w:tplc="3640C03E">
      <w:start w:val="1"/>
      <w:numFmt w:val="bullet"/>
      <w:lvlText w:val="●"/>
      <w:lvlJc w:val="left"/>
      <w:pPr>
        <w:ind w:left="5760" w:hanging="360"/>
      </w:pPr>
    </w:lvl>
    <w:lvl w:ilvl="8" w:tplc="97D2FB66">
      <w:start w:val="1"/>
      <w:numFmt w:val="bullet"/>
      <w:lvlText w:val="●"/>
      <w:lvlJc w:val="left"/>
      <w:pPr>
        <w:ind w:left="6480" w:hanging="360"/>
      </w:pPr>
    </w:lvl>
  </w:abstractNum>
  <w:num w:numId="1" w16cid:durableId="978338209">
    <w:abstractNumId w:val="1"/>
    <w:lvlOverride w:ilvl="0">
      <w:startOverride w:val="1"/>
    </w:lvlOverride>
  </w:num>
  <w:num w:numId="2" w16cid:durableId="1877890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205"/>
    <w:rsid w:val="00202205"/>
    <w:rsid w:val="002B393F"/>
    <w:rsid w:val="00CC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06A2"/>
  <w15:docId w15:val="{3AAE411A-A2CE-48C2-A140-5BBC854F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1401</Words>
  <Characters>7991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 Tharun Kumar</cp:lastModifiedBy>
  <cp:revision>2</cp:revision>
  <dcterms:created xsi:type="dcterms:W3CDTF">2026-08-04T15:54:00Z</dcterms:created>
  <dcterms:modified xsi:type="dcterms:W3CDTF">2026-08-04T15:57:00Z</dcterms:modified>
</cp:coreProperties>
</file>