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20"/>
        <w:jc w:val="center"/>
      </w:pPr>
      <w:r>
        <w:rPr>
          <w:rFonts w:ascii="Arial" w:hAnsi="Arial" w:cs="Arial"/>
          <w:b/>
          <w:i w:val="0"/>
          <w:color w:val="000066"/>
          <w:sz w:val="30"/>
        </w:rPr>
        <w:t>GUIA RÁPIDO DE ESTUDO</w:t>
      </w:r>
    </w:p>
    <w:p>
      <w:pPr>
        <w:spacing w:line="240" w:lineRule="auto" w:before="0" w:after="160"/>
        <w:jc w:val="center"/>
      </w:pPr>
      <w:r>
        <w:rPr>
          <w:rFonts w:ascii="Arial" w:hAnsi="Arial" w:cs="Arial"/>
          <w:b w:val="0"/>
          <w:i w:val="0"/>
          <w:sz w:val="21"/>
        </w:rPr>
        <w:t>Manejo odontológico do paciente com TEA nível 3, TDAH e TAG</w:t>
      </w:r>
    </w:p>
    <w:p>
      <w:pPr>
        <w:spacing w:line="240" w:lineRule="auto" w:before="0" w:after="100"/>
        <w:jc w:val="left"/>
      </w:pPr>
      <w:r>
        <w:rPr>
          <w:rFonts w:ascii="Arial" w:hAnsi="Arial" w:cs="Arial"/>
          <w:b/>
          <w:i w:val="0"/>
          <w:color w:val="000066"/>
          <w:sz w:val="24"/>
        </w:rPr>
        <w:t>1. AS TRÊS CONDIÇÕES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361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sz w:val="18"/>
              </w:rPr>
              <w:t>Condição</w:t>
            </w:r>
          </w:p>
        </w:tc>
        <w:tc>
          <w:tcPr>
            <w:tcW w:type="dxa" w:w="3969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sz w:val="18"/>
              </w:rPr>
              <w:t>O que é</w:t>
            </w:r>
          </w:p>
        </w:tc>
        <w:tc>
          <w:tcPr>
            <w:tcW w:type="dxa" w:w="4535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sz w:val="18"/>
              </w:rPr>
              <w:t>O que atrapalha no consultório</w:t>
            </w:r>
          </w:p>
        </w:tc>
      </w:tr>
      <w:tr>
        <w:tc>
          <w:tcPr>
            <w:tcW w:type="dxa" w:w="1361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sz w:val="18"/>
              </w:rPr>
              <w:t>TEA nível 3</w:t>
            </w:r>
          </w:p>
        </w:tc>
        <w:tc>
          <w:tcPr>
            <w:tcW w:type="dxa" w:w="3969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sz w:val="18"/>
              </w:rPr>
              <w:t>Transtorno do neurodesenvolvimento que afeta comunicação, interação social e comportamento. Nível 3 = exige apoio muito substancial (DSM-5).</w:t>
            </w:r>
          </w:p>
        </w:tc>
        <w:tc>
          <w:tcPr>
            <w:tcW w:type="dxa" w:w="4535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sz w:val="18"/>
              </w:rPr>
              <w:t>Comunicação verbal mínima e hiper-reatividade sensorial: luz, ruído, cheiro e toque são sentidos de forma intensificada.</w:t>
            </w:r>
          </w:p>
        </w:tc>
      </w:tr>
      <w:tr>
        <w:tc>
          <w:tcPr>
            <w:tcW w:type="dxa" w:w="1361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sz w:val="18"/>
              </w:rPr>
              <w:t>TDAH</w:t>
            </w:r>
          </w:p>
        </w:tc>
        <w:tc>
          <w:tcPr>
            <w:tcW w:type="dxa" w:w="3969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sz w:val="18"/>
              </w:rPr>
              <w:t>Desatenção e/ou hiperatividade-impulsividade. Três apresentações: desatenta, hiperativa-impulsiva e combinada.</w:t>
            </w:r>
          </w:p>
        </w:tc>
        <w:tc>
          <w:tcPr>
            <w:tcW w:type="dxa" w:w="4535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sz w:val="18"/>
              </w:rPr>
              <w:t>Não permanece parada na cadeira, não aguarda, não segue instrução sequencial. Em casa, falha a rotina de escovação.</w:t>
            </w:r>
          </w:p>
        </w:tc>
      </w:tr>
      <w:tr>
        <w:tc>
          <w:tcPr>
            <w:tcW w:type="dxa" w:w="1361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sz w:val="18"/>
              </w:rPr>
              <w:t>TAG</w:t>
            </w:r>
          </w:p>
        </w:tc>
        <w:tc>
          <w:tcPr>
            <w:tcW w:type="dxa" w:w="3969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sz w:val="18"/>
              </w:rPr>
              <w:t>Preocupação excessiva por 6 meses ou mais. Na criança aparece como irritabilidade, queixa física, choro e recusa.</w:t>
            </w:r>
          </w:p>
        </w:tc>
        <w:tc>
          <w:tcPr>
            <w:tcW w:type="dxa" w:w="4535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sz w:val="18"/>
              </w:rPr>
              <w:t>Antecipação: a criança já chega em estado de alerta, antes de qualquer procedimento.</w:t>
            </w:r>
          </w:p>
        </w:tc>
      </w:tr>
    </w:tbl>
    <w:p>
      <w:pPr>
        <w:spacing w:line="240" w:lineRule="auto" w:before="0" w:after="120"/>
        <w:jc w:val="both"/>
      </w:pPr>
      <w:r>
        <w:rPr>
          <w:rFonts w:ascii="Arial" w:hAnsi="Arial" w:cs="Arial"/>
          <w:b w:val="0"/>
          <w:i w:val="0"/>
          <w:sz w:val="10"/>
        </w:rPr>
      </w:r>
    </w:p>
    <w:p>
      <w:pPr>
        <w:spacing w:line="240" w:lineRule="auto" w:before="0" w:after="60"/>
        <w:jc w:val="both"/>
      </w:pPr>
      <w:r>
        <w:rPr>
          <w:rFonts w:ascii="Arial" w:hAnsi="Arial" w:cs="Arial"/>
          <w:b w:val="0"/>
          <w:i w:val="0"/>
          <w:sz w:val="19"/>
        </w:rPr>
        <w:t>Cada transtorno derruba um pilar diferente do manejo — e o manejo depende dos três. A coexistência é comum: metanálise da Lancet Psychiatry (2019) encontrou TDAH em 28% e transtornos de ansiedade em 20% das pessoas com TEA; em amostras clínicas, muito mais.</w:t>
      </w:r>
    </w:p>
    <w:p>
      <w:pPr>
        <w:spacing w:line="240" w:lineRule="auto" w:before="0" w:after="100"/>
        <w:jc w:val="left"/>
      </w:pPr>
      <w:r>
        <w:rPr>
          <w:rFonts w:ascii="Arial" w:hAnsi="Arial" w:cs="Arial"/>
          <w:b/>
          <w:i w:val="0"/>
          <w:color w:val="000066"/>
          <w:sz w:val="24"/>
        </w:rPr>
        <w:t>2. O QUE ISSO CAUSA NA BOCA</w:t>
      </w:r>
    </w:p>
    <w:p>
      <w:pPr>
        <w:spacing w:line="240" w:lineRule="auto" w:before="0" w:after="60"/>
        <w:jc w:val="both"/>
      </w:pPr>
      <w:r>
        <w:rPr>
          <w:rFonts w:ascii="Arial" w:hAnsi="Arial" w:cs="Arial"/>
          <w:b w:val="0"/>
          <w:i w:val="0"/>
          <w:sz w:val="19"/>
        </w:rPr>
        <w:t>A condição em si não causa cárie. Causa a cadeia de fatores que vem junto — saiba enumerar:</w:t>
      </w:r>
    </w:p>
    <w:p>
      <w:pPr>
        <w:spacing w:line="240" w:lineRule="auto" w:before="0" w:after="40"/>
        <w:ind w:left="255"/>
        <w:jc w:val="both"/>
      </w:pPr>
      <w:r>
        <w:rPr>
          <w:rFonts w:ascii="Arial" w:hAnsi="Arial" w:cs="Arial"/>
          <w:b w:val="0"/>
          <w:i w:val="0"/>
          <w:sz w:val="19"/>
        </w:rPr>
        <w:t>•  Higiene dependente do cuidador, que nem sempre foi orientado.</w:t>
      </w:r>
    </w:p>
    <w:p>
      <w:pPr>
        <w:spacing w:line="240" w:lineRule="auto" w:before="0" w:after="40"/>
        <w:ind w:left="255"/>
        <w:jc w:val="both"/>
      </w:pPr>
      <w:r>
        <w:rPr>
          <w:rFonts w:ascii="Arial" w:hAnsi="Arial" w:cs="Arial"/>
          <w:b w:val="0"/>
          <w:i w:val="0"/>
          <w:sz w:val="19"/>
        </w:rPr>
        <w:t>•  Hipersensibilidade oral: o toque da escova é aversivo, a criança recusa, o biofilme acumula.</w:t>
      </w:r>
    </w:p>
    <w:p>
      <w:pPr>
        <w:spacing w:line="240" w:lineRule="auto" w:before="0" w:after="40"/>
        <w:ind w:left="255"/>
        <w:jc w:val="both"/>
      </w:pPr>
      <w:r>
        <w:rPr>
          <w:rFonts w:ascii="Arial" w:hAnsi="Arial" w:cs="Arial"/>
          <w:b w:val="0"/>
          <w:i w:val="0"/>
          <w:sz w:val="19"/>
        </w:rPr>
        <w:t>•  Seletividade alimentar: dieta pastosa, repetitiva e açucarada, com alta frequência.</w:t>
      </w:r>
    </w:p>
    <w:p>
      <w:pPr>
        <w:spacing w:line="240" w:lineRule="auto" w:before="0" w:after="40"/>
        <w:ind w:left="255"/>
        <w:jc w:val="both"/>
      </w:pPr>
      <w:r>
        <w:rPr>
          <w:rFonts w:ascii="Arial" w:hAnsi="Arial" w:cs="Arial"/>
          <w:b w:val="0"/>
          <w:i w:val="0"/>
          <w:sz w:val="19"/>
        </w:rPr>
        <w:t>•  Hipossalivação medicamentosa: estimulantes (metilfenidato), antipsicóticos (risperidona) e ISRS (sertralina) reduzem o fluxo salivar; estimulantes e ISRS também causam bruxismo.</w:t>
      </w:r>
    </w:p>
    <w:p>
      <w:pPr>
        <w:spacing w:line="240" w:lineRule="auto" w:before="0" w:after="40"/>
        <w:ind w:left="255"/>
        <w:jc w:val="both"/>
      </w:pPr>
      <w:r>
        <w:rPr>
          <w:rFonts w:ascii="Arial" w:hAnsi="Arial" w:cs="Arial"/>
          <w:b w:val="0"/>
          <w:i w:val="0"/>
          <w:sz w:val="19"/>
        </w:rPr>
        <w:t>•  Acesso difícil: consultas desmarcadas, equipe sem treinamento, diagnóstico tardio.</w:t>
      </w:r>
    </w:p>
    <w:p>
      <w:pPr>
        <w:spacing w:line="240" w:lineRule="auto" w:before="0" w:after="60"/>
        <w:jc w:val="both"/>
      </w:pPr>
      <w:r>
        <w:rPr>
          <w:rFonts w:ascii="Arial" w:hAnsi="Arial" w:cs="Arial"/>
          <w:b w:val="0"/>
          <w:i w:val="0"/>
          <w:sz w:val="19"/>
        </w:rPr>
        <w:t>Também são frequentes bruxismo, traumatismo dentário e, no TEA nível 3, autolesão por mordedura de lábio e mucosa.</w:t>
      </w:r>
    </w:p>
    <w:p>
      <w:pPr>
        <w:spacing w:line="240" w:lineRule="auto" w:before="0" w:after="100"/>
        <w:jc w:val="left"/>
      </w:pPr>
      <w:r>
        <w:rPr>
          <w:rFonts w:ascii="Arial" w:hAnsi="Arial" w:cs="Arial"/>
          <w:b/>
          <w:i w:val="0"/>
          <w:color w:val="000066"/>
          <w:sz w:val="24"/>
        </w:rPr>
        <w:t>3. COMO CONDUZIR O ATENDIMENTO</w:t>
      </w:r>
    </w:p>
    <w:p>
      <w:pPr>
        <w:spacing w:line="240" w:lineRule="auto" w:before="0" w:after="40"/>
        <w:jc w:val="left"/>
      </w:pPr>
      <w:r>
        <w:rPr>
          <w:rFonts w:ascii="Arial" w:hAnsi="Arial" w:cs="Arial"/>
          <w:b/>
          <w:i w:val="0"/>
          <w:sz w:val="20"/>
        </w:rPr>
        <w:t>Antes: anamnese ampliada com o responsável</w:t>
      </w:r>
    </w:p>
    <w:p>
      <w:pPr>
        <w:spacing w:line="240" w:lineRule="auto" w:before="0" w:after="60"/>
        <w:jc w:val="both"/>
      </w:pPr>
      <w:r>
        <w:rPr>
          <w:rFonts w:ascii="Arial" w:hAnsi="Arial" w:cs="Arial"/>
          <w:b w:val="0"/>
          <w:i w:val="0"/>
          <w:sz w:val="19"/>
        </w:rPr>
        <w:t>Como a criança se comunica · qual a rotina e o melhor horário · o que a incomoda · o que a acalma · como é a escovação e a alimentação em casa · experiências anteriores no dentista · medicamentos, doses e horários. Essas respostas são o plano de tratamento, não formalidade.</w:t>
      </w:r>
    </w:p>
    <w:p>
      <w:pPr>
        <w:spacing w:line="240" w:lineRule="auto" w:before="0" w:after="40"/>
        <w:jc w:val="left"/>
      </w:pPr>
      <w:r>
        <w:rPr>
          <w:rFonts w:ascii="Arial" w:hAnsi="Arial" w:cs="Arial"/>
          <w:b/>
          <w:i w:val="0"/>
          <w:sz w:val="20"/>
        </w:rPr>
        <w:t>Previsibilidade — o princípio que organiza tudo</w:t>
      </w:r>
    </w:p>
    <w:p>
      <w:pPr>
        <w:spacing w:line="240" w:lineRule="auto" w:before="0" w:after="40"/>
        <w:ind w:left="255"/>
        <w:jc w:val="both"/>
      </w:pPr>
      <w:r>
        <w:rPr>
          <w:rFonts w:ascii="Arial" w:hAnsi="Arial" w:cs="Arial"/>
          <w:b w:val="0"/>
          <w:i w:val="0"/>
          <w:sz w:val="19"/>
        </w:rPr>
        <w:t>•  Consultas curtas: três de 15 minutos valem mais que uma de 45.</w:t>
      </w:r>
    </w:p>
    <w:p>
      <w:pPr>
        <w:spacing w:line="240" w:lineRule="auto" w:before="0" w:after="40"/>
        <w:ind w:left="255"/>
        <w:jc w:val="both"/>
      </w:pPr>
      <w:r>
        <w:rPr>
          <w:rFonts w:ascii="Arial" w:hAnsi="Arial" w:cs="Arial"/>
          <w:b w:val="0"/>
          <w:i w:val="0"/>
          <w:sz w:val="19"/>
        </w:rPr>
        <w:t>•  Mesmo horário, mesma sala, mesma equipe. Trocar o operador pode zerar o progresso.</w:t>
      </w:r>
    </w:p>
    <w:p>
      <w:pPr>
        <w:spacing w:line="240" w:lineRule="auto" w:before="0" w:after="40"/>
        <w:ind w:left="255"/>
        <w:jc w:val="both"/>
      </w:pPr>
      <w:r>
        <w:rPr>
          <w:rFonts w:ascii="Arial" w:hAnsi="Arial" w:cs="Arial"/>
          <w:b w:val="0"/>
          <w:i w:val="0"/>
          <w:sz w:val="19"/>
        </w:rPr>
        <w:t>•  Primeira consulta só de adaptação, sem procedimento. É o que faz a segunda acontecer.</w:t>
      </w:r>
    </w:p>
    <w:p>
      <w:pPr>
        <w:spacing w:line="240" w:lineRule="auto" w:before="0" w:after="40"/>
        <w:jc w:val="left"/>
      </w:pPr>
      <w:r>
        <w:rPr>
          <w:rFonts w:ascii="Arial" w:hAnsi="Arial" w:cs="Arial"/>
          <w:b/>
          <w:i w:val="0"/>
          <w:sz w:val="20"/>
        </w:rPr>
        <w:t>Condicionamento gradual</w:t>
      </w:r>
    </w:p>
    <w:p>
      <w:pPr>
        <w:spacing w:line="240" w:lineRule="auto" w:before="0" w:after="40"/>
        <w:ind w:left="255"/>
        <w:jc w:val="both"/>
      </w:pPr>
      <w:r>
        <w:rPr>
          <w:rFonts w:ascii="Arial" w:hAnsi="Arial" w:cs="Arial"/>
          <w:b w:val="0"/>
          <w:i w:val="0"/>
          <w:sz w:val="19"/>
        </w:rPr>
        <w:t>•  Dessensibilização: aproximação repetida e progressiva — entrar na sala, sentar, ver o espelho, encostar na mão, na bochecha, na boca. Só avança quando a etapa anterior é tolerada.</w:t>
      </w:r>
    </w:p>
    <w:p>
      <w:pPr>
        <w:spacing w:line="240" w:lineRule="auto" w:before="0" w:after="40"/>
        <w:ind w:left="255"/>
        <w:jc w:val="both"/>
      </w:pPr>
      <w:r>
        <w:rPr>
          <w:rFonts w:ascii="Arial" w:hAnsi="Arial" w:cs="Arial"/>
          <w:b w:val="0"/>
          <w:i w:val="0"/>
          <w:sz w:val="19"/>
        </w:rPr>
        <w:t>•  Dizer-mostrar-fazer: explicar, demonstrar, executar. No nível 3 o "dizer" se apoia na imagem.</w:t>
      </w:r>
    </w:p>
    <w:p>
      <w:pPr>
        <w:spacing w:line="240" w:lineRule="auto" w:before="0" w:after="40"/>
        <w:ind w:left="255"/>
        <w:jc w:val="both"/>
      </w:pPr>
      <w:r>
        <w:rPr>
          <w:rFonts w:ascii="Arial" w:hAnsi="Arial" w:cs="Arial"/>
          <w:b w:val="0"/>
          <w:i w:val="0"/>
          <w:sz w:val="19"/>
        </w:rPr>
        <w:t>•  Pedagogia visual: agenda visual da consulta em figuras, pranchas de comunicação, PECS, TEACCH e histórias sociais. É o recurso com melhor evidência.</w:t>
      </w:r>
    </w:p>
    <w:p>
      <w:pPr>
        <w:spacing w:line="240" w:lineRule="auto" w:before="0" w:after="40"/>
        <w:ind w:left="255"/>
        <w:jc w:val="both"/>
      </w:pPr>
      <w:r>
        <w:rPr>
          <w:rFonts w:ascii="Arial" w:hAnsi="Arial" w:cs="Arial"/>
          <w:b w:val="0"/>
          <w:i w:val="0"/>
          <w:sz w:val="19"/>
        </w:rPr>
        <w:t>•  Modelagem por vídeo: a criança assiste em casa a alguém passando pelo procedimento.</w:t>
      </w:r>
    </w:p>
    <w:p>
      <w:pPr>
        <w:spacing w:line="240" w:lineRule="auto" w:before="0" w:after="40"/>
        <w:ind w:left="255"/>
        <w:jc w:val="both"/>
      </w:pPr>
      <w:r>
        <w:rPr>
          <w:rFonts w:ascii="Arial" w:hAnsi="Arial" w:cs="Arial"/>
          <w:b w:val="0"/>
          <w:i w:val="0"/>
          <w:sz w:val="19"/>
        </w:rPr>
        <w:t>•  Reforço positivo imediato a cada etapa cumprida, com algo que importa para aquela criança.</w:t>
      </w:r>
    </w:p>
    <w:p>
      <w:pPr>
        <w:spacing w:line="240" w:lineRule="auto" w:before="0" w:after="40"/>
        <w:jc w:val="left"/>
      </w:pPr>
      <w:r>
        <w:rPr>
          <w:rFonts w:ascii="Arial" w:hAnsi="Arial" w:cs="Arial"/>
          <w:b/>
          <w:i w:val="0"/>
          <w:sz w:val="20"/>
        </w:rPr>
        <w:t>Ambiente sensorialmente adaptado</w:t>
      </w:r>
    </w:p>
    <w:p>
      <w:pPr>
        <w:spacing w:line="240" w:lineRule="auto" w:before="0" w:after="60"/>
        <w:jc w:val="both"/>
      </w:pPr>
      <w:r>
        <w:rPr>
          <w:rFonts w:ascii="Arial" w:hAnsi="Arial" w:cs="Arial"/>
          <w:b w:val="0"/>
          <w:i w:val="0"/>
          <w:sz w:val="19"/>
        </w:rPr>
        <w:t>Reduzir luz do refletor e oferecer óculos escuros · abafador de ruído ou música calma · evitar eugenol e odores fortes · colete ou cobertor com peso · tirar do campo de visão o instrumental que não será usado · manter o cuidador na sala.</w:t>
      </w:r>
    </w:p>
    <w:p>
      <w:pPr>
        <w:spacing w:line="240" w:lineRule="auto" w:before="0" w:after="100"/>
        <w:jc w:val="left"/>
      </w:pPr>
      <w:r>
        <w:rPr>
          <w:rFonts w:ascii="Arial" w:hAnsi="Arial" w:cs="Arial"/>
          <w:b/>
          <w:i w:val="0"/>
          <w:color w:val="000066"/>
          <w:sz w:val="24"/>
        </w:rPr>
        <w:t>4. QUANDO ESCALAR, E A ORDEM</w:t>
      </w:r>
    </w:p>
    <w:p>
      <w:pPr>
        <w:spacing w:line="240" w:lineRule="auto" w:before="0" w:after="60"/>
        <w:jc w:val="both"/>
      </w:pPr>
      <w:r>
        <w:rPr>
          <w:rFonts w:ascii="Arial" w:hAnsi="Arial" w:cs="Arial"/>
          <w:b w:val="0"/>
          <w:i w:val="0"/>
          <w:sz w:val="19"/>
        </w:rPr>
        <w:t>A AAPD separa manejo básico de avançado. O avançado só entra depois da falha do básico, sempre com consentimento informado e registro em prontuário.</w:t>
      </w:r>
    </w:p>
    <w:p>
      <w:pPr>
        <w:spacing w:line="240" w:lineRule="auto" w:before="0" w:after="60"/>
        <w:jc w:val="both"/>
      </w:pPr>
      <w:r>
        <w:rPr>
          <w:rFonts w:ascii="Arial" w:hAnsi="Arial" w:cs="Arial"/>
          <w:b w:val="0"/>
          <w:i w:val="0"/>
          <w:sz w:val="19"/>
        </w:rPr>
        <w:t>A escada: 1) manejo básico e prevenção → 2) adaptação do ambiente → 3) dessensibilização em várias sessões → 4) óxido nitroso → 5) estabilização protetora, se indicada → 6) sedação moderada ou profunda → 7) anestesia geral. Sobe-se um degrau por vez.</w:t>
      </w:r>
    </w:p>
    <w:p>
      <w:pPr>
        <w:spacing w:line="240" w:lineRule="auto" w:before="0" w:after="60"/>
        <w:jc w:val="both"/>
      </w:pPr>
      <w:r>
        <w:rPr>
          <w:rFonts w:ascii="Arial" w:hAnsi="Arial" w:cs="Arial"/>
          <w:b w:val="0"/>
          <w:i w:val="0"/>
          <w:sz w:val="19"/>
        </w:rPr>
        <w:t>Sobre a estabilização protetora: só quando necessário para proteger a criança e a equipe, sempre na técnica menos restritiva, com consentimento e registro. Nunca por pressa e nunca como punição.</w:t>
      </w:r>
    </w:p>
    <w:p>
      <w:pPr>
        <w:spacing w:line="240" w:lineRule="auto" w:before="0" w:after="100"/>
        <w:jc w:val="left"/>
      </w:pPr>
      <w:r>
        <w:rPr>
          <w:rFonts w:ascii="Arial" w:hAnsi="Arial" w:cs="Arial"/>
          <w:b/>
          <w:i w:val="0"/>
          <w:color w:val="000066"/>
          <w:sz w:val="24"/>
        </w:rPr>
        <w:t>5. PREVENÇÃO — O QUE MUDA O DESFECHO</w:t>
      </w:r>
    </w:p>
    <w:p>
      <w:pPr>
        <w:spacing w:line="240" w:lineRule="auto" w:before="0" w:after="60"/>
        <w:jc w:val="both"/>
      </w:pPr>
      <w:r>
        <w:rPr>
          <w:rFonts w:ascii="Arial" w:hAnsi="Arial" w:cs="Arial"/>
          <w:b w:val="0"/>
          <w:i w:val="0"/>
          <w:sz w:val="19"/>
        </w:rPr>
        <w:t>Escovação supervisionada pelo cuidador, com técnica e posição orientadas (joelho a joelho) · escova elétrica, testando a tolerância à vibração · creme fluoretado em quantidade adequada · verniz fluoretado periódico · selantes · diamino fluoreto de prata, que paralisa a lesão sem preparo cavitário (escurece, precisa ser consentido) · ART, sem alta rotação · orientação dietética focada em frequência · retornos curtos e frequentes.</w:t>
      </w:r>
    </w:p>
    <w:p>
      <w:pPr>
        <w:spacing w:line="240" w:lineRule="auto" w:before="0" w:after="100"/>
        <w:jc w:val="left"/>
      </w:pPr>
      <w:r>
        <w:rPr>
          <w:rFonts w:ascii="Arial" w:hAnsi="Arial" w:cs="Arial"/>
          <w:b/>
          <w:i w:val="0"/>
          <w:color w:val="000066"/>
          <w:sz w:val="24"/>
        </w:rPr>
        <w:t>6. NÚMEROS E ESTUDOS PARA CITAR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2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sz w:val="18"/>
              </w:rPr>
              <w:t>Dado</w:t>
            </w:r>
          </w:p>
        </w:tc>
        <w:tc>
          <w:tcPr>
            <w:tcW w:type="dxa" w:w="4762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sz w:val="18"/>
              </w:rPr>
              <w:t>Fonte</w:t>
            </w:r>
          </w:p>
        </w:tc>
      </w:tr>
      <w:tr>
        <w:tc>
          <w:tcPr>
            <w:tcW w:type="dxa" w:w="5102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sz w:val="18"/>
              </w:rPr>
              <w:t>Crianças com TDAH têm OR 3,31 (IC 95% 1,25–8,73) para cárie</w:t>
            </w:r>
          </w:p>
        </w:tc>
        <w:tc>
          <w:tcPr>
            <w:tcW w:type="dxa" w:w="4762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sz w:val="18"/>
              </w:rPr>
              <w:t>Drumond et al., 2022 — metanálise</w:t>
            </w:r>
          </w:p>
        </w:tc>
      </w:tr>
      <w:tr>
        <w:tc>
          <w:tcPr>
            <w:tcW w:type="dxa" w:w="5102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sz w:val="18"/>
              </w:rPr>
              <w:t>Ambiente adaptado reduz estresse fisiológico e comportamental em todas as fases da consulta</w:t>
            </w:r>
          </w:p>
        </w:tc>
        <w:tc>
          <w:tcPr>
            <w:tcW w:type="dxa" w:w="4762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sz w:val="18"/>
              </w:rPr>
              <w:t>Stein Duker et al., 2023 — ECR cruzado, 162 crianças</w:t>
            </w:r>
          </w:p>
        </w:tc>
      </w:tr>
      <w:tr>
        <w:tc>
          <w:tcPr>
            <w:tcW w:type="dxa" w:w="5102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sz w:val="18"/>
              </w:rPr>
              <w:t>Pedagogia visual melhora cooperação e qualidade da escovação</w:t>
            </w:r>
          </w:p>
        </w:tc>
        <w:tc>
          <w:tcPr>
            <w:tcW w:type="dxa" w:w="4762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sz w:val="18"/>
              </w:rPr>
              <w:t>Balian et al., 2021 — metanálise</w:t>
            </w:r>
          </w:p>
        </w:tc>
      </w:tr>
      <w:tr>
        <w:tc>
          <w:tcPr>
            <w:tcW w:type="dxa" w:w="5102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sz w:val="18"/>
              </w:rPr>
              <w:t>Modelagem por vídeo reduz o número de consultas necessárias</w:t>
            </w:r>
          </w:p>
        </w:tc>
        <w:tc>
          <w:tcPr>
            <w:tcW w:type="dxa" w:w="4762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sz w:val="18"/>
              </w:rPr>
              <w:t>Da Silva Moro et al., 2024 — ECR brasileiro</w:t>
            </w:r>
          </w:p>
        </w:tc>
      </w:tr>
      <w:tr>
        <w:tc>
          <w:tcPr>
            <w:tcW w:type="dxa" w:w="5102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sz w:val="18"/>
              </w:rPr>
              <w:t>Evidência das técnicas é favorável, mas inconclusiva quanto à força</w:t>
            </w:r>
          </w:p>
        </w:tc>
        <w:tc>
          <w:tcPr>
            <w:tcW w:type="dxa" w:w="4762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sz w:val="18"/>
              </w:rPr>
              <w:t>AlBhaisi et al., 2022 — revisão sistemática</w:t>
            </w:r>
          </w:p>
        </w:tc>
      </w:tr>
      <w:tr>
        <w:tc>
          <w:tcPr>
            <w:tcW w:type="dxa" w:w="5102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sz w:val="18"/>
              </w:rPr>
              <w:t>Manejo básico x avançado e critérios para escalar</w:t>
            </w:r>
          </w:p>
        </w:tc>
        <w:tc>
          <w:tcPr>
            <w:tcW w:type="dxa" w:w="4762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sz w:val="18"/>
              </w:rPr>
              <w:t>AAPD, 2024 — diretriz</w:t>
            </w:r>
          </w:p>
        </w:tc>
      </w:tr>
      <w:tr>
        <w:tc>
          <w:tcPr>
            <w:tcW w:type="dxa" w:w="5102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sz w:val="18"/>
              </w:rPr>
              <w:t>TEA em 1 a cada 31 crianças de 8 anos</w:t>
            </w:r>
          </w:p>
        </w:tc>
        <w:tc>
          <w:tcPr>
            <w:tcW w:type="dxa" w:w="4762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sz w:val="18"/>
              </w:rPr>
              <w:t>CDC, 2025 (ano de vigilância 2022)</w:t>
            </w:r>
          </w:p>
        </w:tc>
      </w:tr>
    </w:tbl>
    <w:p>
      <w:pPr>
        <w:spacing w:line="240" w:lineRule="auto" w:before="0" w:after="120"/>
        <w:jc w:val="both"/>
      </w:pPr>
      <w:r>
        <w:rPr>
          <w:rFonts w:ascii="Arial" w:hAnsi="Arial" w:cs="Arial"/>
          <w:b w:val="0"/>
          <w:i w:val="0"/>
          <w:sz w:val="10"/>
        </w:rPr>
      </w:r>
    </w:p>
    <w:p>
      <w:pPr>
        <w:spacing w:line="240" w:lineRule="auto" w:before="0" w:after="100"/>
        <w:jc w:val="left"/>
      </w:pPr>
      <w:r>
        <w:rPr>
          <w:rFonts w:ascii="Arial" w:hAnsi="Arial" w:cs="Arial"/>
          <w:b/>
          <w:i w:val="0"/>
          <w:color w:val="000066"/>
          <w:sz w:val="24"/>
        </w:rPr>
        <w:t>7. SEIS PERGUNTAS PROVÁVEIS</w:t>
      </w:r>
    </w:p>
    <w:p>
      <w:pPr>
        <w:spacing w:line="240" w:lineRule="auto" w:before="0" w:after="0"/>
        <w:jc w:val="left"/>
      </w:pPr>
      <w:r>
        <w:rPr>
          <w:rFonts w:ascii="Arial" w:hAnsi="Arial" w:cs="Arial"/>
          <w:b/>
          <w:i w:val="0"/>
          <w:sz w:val="19"/>
        </w:rPr>
        <w:t>Por que não sedar logo, já que a paciente não colabora?</w:t>
      </w:r>
    </w:p>
    <w:p>
      <w:pPr>
        <w:spacing w:line="240" w:lineRule="auto" w:before="0" w:after="80"/>
        <w:ind w:left="255"/>
        <w:jc w:val="both"/>
      </w:pPr>
      <w:r>
        <w:rPr>
          <w:rFonts w:ascii="Arial" w:hAnsi="Arial" w:cs="Arial"/>
          <w:b w:val="0"/>
          <w:i w:val="0"/>
          <w:sz w:val="19"/>
        </w:rPr>
        <w:t>A AAPD coloca sedação e anestesia geral como manejo avançado, depois da falha do básico. A sedação resolve a consulta, mas não ensina a criança a aceitar o atendimento.</w:t>
      </w:r>
    </w:p>
    <w:p>
      <w:pPr>
        <w:spacing w:line="240" w:lineRule="auto" w:before="0" w:after="0"/>
        <w:jc w:val="left"/>
      </w:pPr>
      <w:r>
        <w:rPr>
          <w:rFonts w:ascii="Arial" w:hAnsi="Arial" w:cs="Arial"/>
          <w:b/>
          <w:i w:val="0"/>
          <w:sz w:val="19"/>
        </w:rPr>
        <w:t>Por que a criança com TEA tem mais cárie?</w:t>
      </w:r>
    </w:p>
    <w:p>
      <w:pPr>
        <w:spacing w:line="240" w:lineRule="auto" w:before="0" w:after="80"/>
        <w:ind w:left="255"/>
        <w:jc w:val="both"/>
      </w:pPr>
      <w:r>
        <w:rPr>
          <w:rFonts w:ascii="Arial" w:hAnsi="Arial" w:cs="Arial"/>
          <w:b w:val="0"/>
          <w:i w:val="0"/>
          <w:sz w:val="19"/>
        </w:rPr>
        <w:t>Não é a condição: é higiene dependente do cuidador, hipersensibilidade oral, dieta seletiva e boca seca por medicamento.</w:t>
      </w:r>
    </w:p>
    <w:p>
      <w:pPr>
        <w:spacing w:line="240" w:lineRule="auto" w:before="0" w:after="0"/>
        <w:jc w:val="left"/>
      </w:pPr>
      <w:r>
        <w:rPr>
          <w:rFonts w:ascii="Arial" w:hAnsi="Arial" w:cs="Arial"/>
          <w:b/>
          <w:i w:val="0"/>
          <w:sz w:val="19"/>
        </w:rPr>
        <w:t>O que muda por ser nível 3 e não nível 1?</w:t>
      </w:r>
    </w:p>
    <w:p>
      <w:pPr>
        <w:spacing w:line="240" w:lineRule="auto" w:before="0" w:after="80"/>
        <w:ind w:left="255"/>
        <w:jc w:val="both"/>
      </w:pPr>
      <w:r>
        <w:rPr>
          <w:rFonts w:ascii="Arial" w:hAnsi="Arial" w:cs="Arial"/>
          <w:b w:val="0"/>
          <w:i w:val="0"/>
          <w:sz w:val="19"/>
        </w:rPr>
        <w:t>A comunicação verbal é mínima, então o manejo se apoia em recurso visual e rotina, não em explicação falada. E a alteração sensorial é mais intensa, o que torna a adaptação do ambiente indispensável.</w:t>
      </w:r>
    </w:p>
    <w:p>
      <w:pPr>
        <w:spacing w:line="240" w:lineRule="auto" w:before="0" w:after="0"/>
        <w:jc w:val="left"/>
      </w:pPr>
      <w:r>
        <w:rPr>
          <w:rFonts w:ascii="Arial" w:hAnsi="Arial" w:cs="Arial"/>
          <w:b/>
          <w:i w:val="0"/>
          <w:sz w:val="19"/>
        </w:rPr>
        <w:t>Estabilização protetora é o mesmo que imobilização?</w:t>
      </w:r>
    </w:p>
    <w:p>
      <w:pPr>
        <w:spacing w:line="240" w:lineRule="auto" w:before="0" w:after="80"/>
        <w:ind w:left="255"/>
        <w:jc w:val="both"/>
      </w:pPr>
      <w:r>
        <w:rPr>
          <w:rFonts w:ascii="Arial" w:hAnsi="Arial" w:cs="Arial"/>
          <w:b w:val="0"/>
          <w:i w:val="0"/>
          <w:sz w:val="19"/>
        </w:rPr>
        <w:t>Não. A estabilização é indicada, consentida, registrada e na técnica menos restritiva. Imobilizar sem indicação e sem consentimento é conduta inadequada.</w:t>
      </w:r>
    </w:p>
    <w:p>
      <w:pPr>
        <w:spacing w:line="240" w:lineRule="auto" w:before="0" w:after="0"/>
        <w:jc w:val="left"/>
      </w:pPr>
      <w:r>
        <w:rPr>
          <w:rFonts w:ascii="Arial" w:hAnsi="Arial" w:cs="Arial"/>
          <w:b/>
          <w:i w:val="0"/>
          <w:sz w:val="19"/>
        </w:rPr>
        <w:t>Qual recurso vocês implantariam amanhã na clínica?</w:t>
      </w:r>
    </w:p>
    <w:p>
      <w:pPr>
        <w:spacing w:line="240" w:lineRule="auto" w:before="0" w:after="80"/>
        <w:ind w:left="255"/>
        <w:jc w:val="both"/>
      </w:pPr>
      <w:r>
        <w:rPr>
          <w:rFonts w:ascii="Arial" w:hAnsi="Arial" w:cs="Arial"/>
          <w:b w:val="0"/>
          <w:i w:val="0"/>
          <w:sz w:val="19"/>
        </w:rPr>
        <w:t>Agenda visual impressa e vídeo gravado no celular: custo quase zero e com ensaio clínico mostrando ganho de cooperação e redução do número de consultas.</w:t>
      </w:r>
    </w:p>
    <w:p>
      <w:pPr>
        <w:spacing w:line="240" w:lineRule="auto" w:before="0" w:after="0"/>
        <w:jc w:val="left"/>
      </w:pPr>
      <w:r>
        <w:rPr>
          <w:rFonts w:ascii="Arial" w:hAnsi="Arial" w:cs="Arial"/>
          <w:b/>
          <w:i w:val="0"/>
          <w:sz w:val="19"/>
        </w:rPr>
        <w:t>O trabalho diz que não existe protocolo único. Então o que ele conclui?</w:t>
      </w:r>
    </w:p>
    <w:p>
      <w:pPr>
        <w:spacing w:line="240" w:lineRule="auto" w:before="0" w:after="80"/>
        <w:ind w:left="255"/>
        <w:jc w:val="both"/>
      </w:pPr>
      <w:r>
        <w:rPr>
          <w:rFonts w:ascii="Arial" w:hAnsi="Arial" w:cs="Arial"/>
          <w:b w:val="0"/>
          <w:i w:val="0"/>
          <w:sz w:val="19"/>
        </w:rPr>
        <w:t>Que a conduta é individualizada, mas os princípios são constantes: anamnese ampliada, previsibilidade, suporte visual, adaptação sensorial, reforço positivo e prevenção.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