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jc w:val="center"/>
      </w:pPr>
      <w:r>
        <w:rPr>
          <w:rFonts w:ascii="Arial" w:hAnsi="Arial" w:cs="Arial"/>
          <w:b/>
          <w:i w:val="0"/>
          <w:color w:val="000066"/>
          <w:sz w:val="40"/>
        </w:rPr>
        <w:t>GUIA DE ESTUDO</w:t>
      </w:r>
    </w:p>
    <w:p>
      <w:pPr>
        <w:spacing w:line="276" w:lineRule="auto" w:before="0" w:after="80"/>
        <w:jc w:val="center"/>
      </w:pPr>
      <w:r>
        <w:rPr>
          <w:rFonts w:ascii="Arial" w:hAnsi="Arial" w:cs="Arial"/>
          <w:b w:val="0"/>
          <w:i w:val="0"/>
          <w:sz w:val="26"/>
        </w:rPr>
        <w:t>Manejo odontológico do paciente com TEA nível 3, TDAH e TAG</w:t>
      </w:r>
    </w:p>
    <w:p>
      <w:pPr>
        <w:spacing w:line="276" w:lineRule="auto" w:before="0" w:after="280"/>
        <w:jc w:val="center"/>
      </w:pPr>
      <w:r>
        <w:rPr>
          <w:rFonts w:ascii="Arial" w:hAnsi="Arial" w:cs="Arial"/>
          <w:b w:val="0"/>
          <w:i/>
          <w:sz w:val="21"/>
        </w:rPr>
        <w:t>III Simpósio de Pacientes com Necessidades Especiais — V JOCAM</w:t>
      </w:r>
    </w:p>
    <w:p>
      <w:pPr>
        <w:spacing w:line="276" w:lineRule="auto" w:before="0" w:after="320"/>
        <w:jc w:val="both"/>
      </w:pPr>
      <w:r>
        <w:rPr>
          <w:rFonts w:ascii="Arial" w:hAnsi="Arial" w:cs="Arial"/>
          <w:b w:val="0"/>
          <w:i w:val="0"/>
          <w:sz w:val="22"/>
        </w:rPr>
        <w:t>Conteúdo do banner, organizado para estudo. As dez partes vão do diagnóstico ao manejo; a Parte 11 é a revisão rápida para ler na véspera.</w:t>
      </w:r>
    </w:p>
    <w:p>
      <w:pPr>
        <w:spacing w:line="276" w:lineRule="auto" w:before="0" w:after="200"/>
        <w:jc w:val="left"/>
      </w:pPr>
      <w:r>
        <w:rPr>
          <w:rFonts w:ascii="Arial" w:hAnsi="Arial" w:cs="Arial"/>
          <w:b/>
          <w:i w:val="0"/>
          <w:color w:val="000066"/>
          <w:sz w:val="30"/>
        </w:rPr>
        <w:t>PARTE 1 — AS TRÊS CONDIÇÕES</w:t>
      </w:r>
    </w:p>
    <w:p>
      <w:pPr>
        <w:spacing w:line="276" w:lineRule="auto" w:before="0" w:after="80"/>
        <w:jc w:val="left"/>
      </w:pPr>
      <w:r>
        <w:rPr>
          <w:rFonts w:ascii="Arial" w:hAnsi="Arial" w:cs="Arial"/>
          <w:b/>
          <w:i w:val="0"/>
          <w:sz w:val="25"/>
        </w:rPr>
        <w:t>1.1 Transtorno do Espectro Autista (TEA)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i w:val="0"/>
          <w:sz w:val="22"/>
        </w:rPr>
        <w:t>Distúrbio do neurodesenvolvimento que afeta de forma persistente duas áreas: a comunicação e a interação social, e o padrão de comportamento, que se torna restrito e repetitivo. O diagnóstico é clínico, pelo DSM-5-TR, e não existe exame laboratorial que o confirme.</w:t>
      </w:r>
    </w:p>
    <w:p>
      <w:pPr>
        <w:spacing w:line="276" w:lineRule="auto" w:before="0" w:after="80"/>
        <w:jc w:val="both"/>
      </w:pPr>
      <w:r>
        <w:rPr>
          <w:rFonts w:ascii="Arial" w:hAnsi="Arial" w:cs="Arial"/>
          <w:b w:val="0"/>
          <w:i w:val="0"/>
          <w:sz w:val="22"/>
        </w:rPr>
        <w:t>O DSM-5 classifica em três níveis, pelo quanto de apoio a pessoa precisa: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Nível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Denominação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O que significa na prática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Exige apoio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Fala, mas tem dificuldade de iniciar interação; inflexibilidade atrapalha a rotina. Costuma colaborar no consultório com manejo básico.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Exige apoio substancial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Fala limitada a frases curtas; comportamentos repetitivos evidentes; sofrimento claro com mudanças.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Exige apoio muito substancial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Comunicação verbal mínima ou ausente; extrema dificuldade em lidar com mudança; comportamentos restritos que interferem em tudo. É o nível da nossa paciente.</w:t>
            </w:r>
          </w:p>
        </w:tc>
      </w:tr>
    </w:tbl>
    <w:p>
      <w:pPr>
        <w:spacing w:line="276" w:lineRule="auto" w:before="0" w:after="200"/>
        <w:jc w:val="both"/>
      </w:pPr>
      <w:r>
        <w:rPr>
          <w:rFonts w:ascii="Arial" w:hAnsi="Arial" w:cs="Arial"/>
          <w:b w:val="0"/>
          <w:i w:val="0"/>
          <w:sz w:val="12"/>
        </w:rPr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i w:val="0"/>
          <w:sz w:val="22"/>
        </w:rPr>
        <w:t>O que mais importa para a Odontologia é o quarto item dos critérios: a hiper ou hiporreatividade a estímulos sensoriais. Luz, ruído, cheiro, sabor e toque podem ser sentidos de forma muito mais intensa. É isso que transforma a cadeira odontológica — luz do refletor, ruído da alta rotação e do sugador, cheiro de eugenol, toque na boca — num ambiente hostil.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i/>
          <w:sz w:val="21"/>
        </w:rPr>
        <w:t>Prevalência: o CDC (relatório de 2025, ano de vigilância 2022) identificou TEA em 1 a cada 31 crianças de 8 anos nos EUA, contra 1 em 36 no levantamento anterior.</w:t>
      </w:r>
    </w:p>
    <w:p>
      <w:pPr>
        <w:spacing w:line="276" w:lineRule="auto" w:before="0" w:after="80"/>
        <w:jc w:val="left"/>
      </w:pPr>
      <w:r>
        <w:rPr>
          <w:rFonts w:ascii="Arial" w:hAnsi="Arial" w:cs="Arial"/>
          <w:b/>
          <w:i w:val="0"/>
          <w:sz w:val="25"/>
        </w:rPr>
        <w:t>1.2 Transtorno de Déficit de Atenção e Hiperatividade (TDAH)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i w:val="0"/>
          <w:sz w:val="22"/>
        </w:rPr>
        <w:t>Também é transtorno do neurodesenvolvimento. Caracteriza-se por desatenção e/ou hiperatividade-impulsividade em grau que prejudica a vida da criança. Tem três apresentações: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Predominantemente desatenta — não sustenta atenção, parece não ouvir, perde coisas.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Predominantemente hiperativa-impulsiva — não para quieta, interrompe, age sem pensar.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Combinada — as duas, é a mais comum.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i w:val="0"/>
          <w:sz w:val="22"/>
        </w:rPr>
        <w:t>No consultório, o TDAH aparece como dificuldade de permanecer na cadeira, de aguardar e de seguir instrução sequencial. Em casa, aparece como dificuldade de manter rotina de escovação.</w:t>
      </w:r>
    </w:p>
    <w:p>
      <w:pPr>
        <w:spacing w:line="276" w:lineRule="auto" w:before="0" w:after="80"/>
        <w:jc w:val="left"/>
      </w:pPr>
      <w:r>
        <w:rPr>
          <w:rFonts w:ascii="Arial" w:hAnsi="Arial" w:cs="Arial"/>
          <w:b/>
          <w:i w:val="0"/>
          <w:sz w:val="25"/>
        </w:rPr>
        <w:t>1.3 Transtorno de Ansiedade Generalizada (TAG)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i w:val="0"/>
          <w:sz w:val="22"/>
        </w:rPr>
        <w:t>Preocupação excessiva e difícil de controlar, por pelo menos seis meses, acompanhada de sintomas como inquietação, irritabilidade, tensão muscular e alteração de sono. Na criança a ansiedade raramente é verbalizada: aparece como irritabilidade, queixas físicas (dor de barriga, dor de cabeça), choro, recusa e comportamento de fuga.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i w:val="0"/>
          <w:sz w:val="22"/>
        </w:rPr>
        <w:t>No atendimento, o efeito é a antecipação: a criança já chega em estado de alerta esperando que algo ruim aconteça, antes mesmo de qualquer procedimento.</w:t>
      </w:r>
    </w:p>
    <w:p>
      <w:pPr>
        <w:spacing w:line="276" w:lineRule="auto" w:before="0" w:after="80"/>
        <w:jc w:val="left"/>
      </w:pPr>
      <w:r>
        <w:rPr>
          <w:rFonts w:ascii="Arial" w:hAnsi="Arial" w:cs="Arial"/>
          <w:b/>
          <w:i w:val="0"/>
          <w:sz w:val="25"/>
        </w:rPr>
        <w:t>1.4 Por que as três juntas pioram o quadro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i w:val="0"/>
          <w:sz w:val="22"/>
        </w:rPr>
        <w:t>Não é soma, é multiplicação. O TEA traz a dificuldade de comunicação e a hipersensibilidade; o TDAH impede permanecer parada e seguir instruções; o TAG faz a criança chegar já alerta. Cada um ataca um pilar diferente do manejo comportamental — e o manejo depende dos três.</w:t>
      </w:r>
    </w:p>
    <w:p>
      <w:pPr>
        <w:spacing w:line="276" w:lineRule="auto" w:before="0" w:after="80"/>
        <w:jc w:val="both"/>
      </w:pPr>
      <w:r>
        <w:rPr>
          <w:rFonts w:ascii="Arial" w:hAnsi="Arial" w:cs="Arial"/>
          <w:b w:val="0"/>
          <w:i w:val="0"/>
          <w:sz w:val="22"/>
        </w:rPr>
        <w:t>A coexistência é comum, não é exceção: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Metanálise de 2019 na Lancet Psychiatry: TDAH em 28% das pessoas com TEA e transtornos de ansiedade em 20%. Em amostras clínicas, como a de uma clínica de PNE, as taxas são bem maiores.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Quando há os dois diagnósticos, o protocolo precisa contemplar os dois: previsibilidade e suporte visual pelo TEA, consulta curta e objetiva pelo TDAH.</w:t>
      </w:r>
    </w:p>
    <w:p>
      <w:r>
        <w:br w:type="page"/>
      </w:r>
    </w:p>
    <w:p>
      <w:pPr>
        <w:spacing w:line="276" w:lineRule="auto" w:before="0" w:after="200"/>
        <w:jc w:val="left"/>
      </w:pPr>
      <w:r>
        <w:rPr>
          <w:rFonts w:ascii="Arial" w:hAnsi="Arial" w:cs="Arial"/>
          <w:b/>
          <w:i w:val="0"/>
          <w:color w:val="000066"/>
          <w:sz w:val="30"/>
        </w:rPr>
        <w:t>PARTE 2 — O QUE ISSO CAUSA NA BOCA</w:t>
      </w:r>
    </w:p>
    <w:p>
      <w:pPr>
        <w:spacing w:line="276" w:lineRule="auto" w:before="0" w:after="160"/>
        <w:jc w:val="both"/>
      </w:pPr>
      <w:r>
        <w:rPr>
          <w:rFonts w:ascii="Arial" w:hAnsi="Arial" w:cs="Arial"/>
          <w:b w:val="0"/>
          <w:i w:val="0"/>
          <w:sz w:val="22"/>
        </w:rPr>
        <w:t>Ponto que a banca adora: a condição em si não causa cárie. O que causa é a cadeia de fatores que vem junto. Saiba enumerar os cinco.</w:t>
      </w:r>
    </w:p>
    <w:p>
      <w:pPr>
        <w:spacing w:line="276" w:lineRule="auto" w:before="0" w:after="80"/>
        <w:jc w:val="left"/>
      </w:pPr>
      <w:r>
        <w:rPr>
          <w:rFonts w:ascii="Arial" w:hAnsi="Arial" w:cs="Arial"/>
          <w:b/>
          <w:i w:val="0"/>
          <w:sz w:val="25"/>
        </w:rPr>
        <w:t>2.1 Risco aumentado de cárie e doença periodontal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Fator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Por quê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Higiene dependente do cuidador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 criança não escova sozinha de forma eficaz. A qualidade da higiene é a qualidade da escovação que o cuidador consegue fazer — e ele nem sempre foi orientado.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Hipersensibilidade oral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O toque da escova é aversivo. A criança recusa, o cuidador desiste, o biofilme se acumula.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Seletividade alimentar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 recusa de textura leva a dieta pastosa, repetitiva e muitas vezes açucarada, com alta frequência de ingestão.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Hipossalivação medicamentosa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Psicofármacos reduzem o fluxo salivar, e com ele a capacidade tampão e a autolimpeza.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Dificuldade de acesso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Consultas desmarcadas, profissionais sem treinamento, diagnóstico tardio — a lesão é descoberta já extensa.</w:t>
            </w:r>
          </w:p>
        </w:tc>
      </w:tr>
    </w:tbl>
    <w:p>
      <w:pPr>
        <w:spacing w:line="276" w:lineRule="auto" w:before="0" w:after="200"/>
        <w:jc w:val="both"/>
      </w:pPr>
      <w:r>
        <w:rPr>
          <w:rFonts w:ascii="Arial" w:hAnsi="Arial" w:cs="Arial"/>
          <w:b w:val="0"/>
          <w:i w:val="0"/>
          <w:sz w:val="12"/>
        </w:rPr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i/>
          <w:sz w:val="21"/>
        </w:rPr>
        <w:t>Dado para citar: metanálise de Drumond et al. (2022) mostrou que crianças com TDAH têm razão de chances de 3,31 (IC 95% 1,25–8,73) para cárie em relação às sem o transtorno.</w:t>
      </w:r>
    </w:p>
    <w:p>
      <w:pPr>
        <w:spacing w:line="276" w:lineRule="auto" w:before="0" w:after="80"/>
        <w:jc w:val="left"/>
      </w:pPr>
      <w:r>
        <w:rPr>
          <w:rFonts w:ascii="Arial" w:hAnsi="Arial" w:cs="Arial"/>
          <w:b/>
          <w:i w:val="0"/>
          <w:sz w:val="25"/>
        </w:rPr>
        <w:t>2.2 Os medicamentos e a boca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Classe / exemplo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Para quê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Repercussão bucal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Psicoestimulantes — metilfenidato, lisdexanfetamina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TDAH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Xerostomia, bruxismo, redução de apetite e alteração do padrão alimentar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Antipsicóticos atípicos — risperidona, aripiprazol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Irritabilidade e agressividade no TEA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Alteração do fluxo salivar, ganho de peso, sedação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ISRS — sertralina, fluoxetina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Ansiedade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Xerostomia e bruxismo</w:t>
            </w:r>
          </w:p>
        </w:tc>
      </w:tr>
    </w:tbl>
    <w:p>
      <w:pPr>
        <w:spacing w:line="276" w:lineRule="auto" w:before="0" w:after="200"/>
        <w:jc w:val="both"/>
      </w:pPr>
      <w:r>
        <w:rPr>
          <w:rFonts w:ascii="Arial" w:hAnsi="Arial" w:cs="Arial"/>
          <w:b w:val="0"/>
          <w:i w:val="0"/>
          <w:sz w:val="12"/>
        </w:rPr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i w:val="0"/>
          <w:sz w:val="22"/>
        </w:rPr>
        <w:t>Pergunte sempre qual medicamento a criança usa, a dose e o horário. O horário importa: uma consulta marcada no pico do estimulante pega a criança mais focada.</w:t>
      </w:r>
    </w:p>
    <w:p>
      <w:pPr>
        <w:spacing w:line="276" w:lineRule="auto" w:before="0" w:after="80"/>
        <w:jc w:val="left"/>
      </w:pPr>
      <w:r>
        <w:rPr>
          <w:rFonts w:ascii="Arial" w:hAnsi="Arial" w:cs="Arial"/>
          <w:b/>
          <w:i w:val="0"/>
          <w:sz w:val="25"/>
        </w:rPr>
        <w:t>2.3 Outras alterações frequentes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Bruxismo — comum, agravado por estimulantes e por ansiedade; leva a desgaste e sensibilidade.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Traumatismo dentário — mais frequente por alterações motoras, impulsividade e crises.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Autolesão — mordedura de lábio, língua e mucosa em alguns pacientes com TEA nível 3.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Respiração bucal e sialorreia em parte dos casos, com repercussão em gengivite.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Erosão — se houver refluxo ou ruminação, que ocorrem em parte dos pacientes.</w:t>
      </w:r>
    </w:p>
    <w:p>
      <w:r>
        <w:br w:type="page"/>
      </w:r>
    </w:p>
    <w:p>
      <w:pPr>
        <w:spacing w:line="276" w:lineRule="auto" w:before="0" w:after="200"/>
        <w:jc w:val="left"/>
      </w:pPr>
      <w:r>
        <w:rPr>
          <w:rFonts w:ascii="Arial" w:hAnsi="Arial" w:cs="Arial"/>
          <w:b/>
          <w:i w:val="0"/>
          <w:color w:val="000066"/>
          <w:sz w:val="30"/>
        </w:rPr>
        <w:t>PARTE 3 — COMO AVALIAR ANTES DE TRATAR</w:t>
      </w:r>
    </w:p>
    <w:p>
      <w:pPr>
        <w:spacing w:line="276" w:lineRule="auto" w:before="0" w:after="80"/>
        <w:jc w:val="left"/>
      </w:pPr>
      <w:r>
        <w:rPr>
          <w:rFonts w:ascii="Arial" w:hAnsi="Arial" w:cs="Arial"/>
          <w:b/>
          <w:i w:val="0"/>
          <w:sz w:val="25"/>
        </w:rPr>
        <w:t>3.1 A anamnese ampliada</w:t>
      </w:r>
    </w:p>
    <w:p>
      <w:pPr>
        <w:spacing w:line="276" w:lineRule="auto" w:before="0" w:after="80"/>
        <w:jc w:val="both"/>
      </w:pPr>
      <w:r>
        <w:rPr>
          <w:rFonts w:ascii="Arial" w:hAnsi="Arial" w:cs="Arial"/>
          <w:b w:val="0"/>
          <w:i w:val="0"/>
          <w:sz w:val="22"/>
        </w:rPr>
        <w:t>É o que diferencia o atendimento. Além da anamnese comum, pergunte ao responsável: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Como a criança se comunica? Fala, aponta, usa prancha, usa aplicativo, puxa pela mão?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Qual é a rotina dela? Em que horário ela está melhor?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O que a incomoda? Luz forte, barulho, cheiro, toque, ser segurada, espera?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O que a acalma? Objeto preferido, música, vídeo, um brinquedo específico?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Como é a escovação em casa? Quem faz, quanto tempo, em que posição, com qual creme?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Como é a alimentação? Quais texturas aceita, com que frequência come, o que bebe?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Já foi a dentista antes? Como foi? O que deu errado?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Quais medicamentos usa, em que dose e horário? Faz terapia? Com qual equipe?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i/>
          <w:sz w:val="21"/>
        </w:rPr>
        <w:t>Essas respostas definem o horário da consulta, quem vai atender, o que vai ser mostrado primeiro e o reforço que será usado. Não é formalidade: é o plano de tratamento.</w:t>
      </w:r>
    </w:p>
    <w:p>
      <w:pPr>
        <w:spacing w:line="276" w:lineRule="auto" w:before="0" w:after="80"/>
        <w:jc w:val="left"/>
      </w:pPr>
      <w:r>
        <w:rPr>
          <w:rFonts w:ascii="Arial" w:hAnsi="Arial" w:cs="Arial"/>
          <w:b/>
          <w:i w:val="0"/>
          <w:sz w:val="25"/>
        </w:rPr>
        <w:t>3.2 Escala de Frankl</w:t>
      </w:r>
    </w:p>
    <w:p>
      <w:pPr>
        <w:spacing w:line="276" w:lineRule="auto" w:before="0" w:after="80"/>
        <w:jc w:val="both"/>
      </w:pPr>
      <w:r>
        <w:rPr>
          <w:rFonts w:ascii="Arial" w:hAnsi="Arial" w:cs="Arial"/>
          <w:b w:val="0"/>
          <w:i w:val="0"/>
          <w:sz w:val="22"/>
        </w:rPr>
        <w:t>Classificação clássica do comportamento infantil na cadeira, usada em quase todos os estudos da área. Saber de cor pega bem: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Grau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Classificação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Comportamento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Definitivamente negativo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Recusa o tratamento, chora intensamente, resiste fisicamente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Negativo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Relutante, pouco cooperativo, retraído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Positivo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Aceita o tratamento com reservas, segue orientações com cautela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Definitivamente positivo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Bom vínculo, interessado, colabora plenamente</w:t>
            </w:r>
          </w:p>
        </w:tc>
      </w:tr>
    </w:tbl>
    <w:p>
      <w:pPr>
        <w:spacing w:line="276" w:lineRule="auto" w:before="0" w:after="200"/>
        <w:jc w:val="both"/>
      </w:pPr>
      <w:r>
        <w:rPr>
          <w:rFonts w:ascii="Arial" w:hAnsi="Arial" w:cs="Arial"/>
          <w:b w:val="0"/>
          <w:i w:val="0"/>
          <w:sz w:val="12"/>
        </w:rPr>
      </w:r>
    </w:p>
    <w:p>
      <w:pPr>
        <w:spacing w:line="276" w:lineRule="auto" w:before="0" w:after="80"/>
        <w:jc w:val="left"/>
      </w:pPr>
      <w:r>
        <w:rPr>
          <w:rFonts w:ascii="Arial" w:hAnsi="Arial" w:cs="Arial"/>
          <w:b/>
          <w:i w:val="0"/>
          <w:sz w:val="25"/>
        </w:rPr>
        <w:t>3.3 O cuidador é parte da equipe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i w:val="0"/>
          <w:sz w:val="22"/>
        </w:rPr>
        <w:t>No paciente com TEA nível 3 o cuidador é tradutor, co-terapeuta e termômetro. Ele interpreta os sinais da criança, executa a higiene em casa e sustenta a rotina entre as consultas. A permanência dele na sala reduz a ansiedade, e orientá-lo rende mais resultado do que qualquer procedimento isolado.</w:t>
      </w:r>
    </w:p>
    <w:p>
      <w:r>
        <w:br w:type="page"/>
      </w:r>
    </w:p>
    <w:p>
      <w:pPr>
        <w:spacing w:line="276" w:lineRule="auto" w:before="0" w:after="200"/>
        <w:jc w:val="left"/>
      </w:pPr>
      <w:r>
        <w:rPr>
          <w:rFonts w:ascii="Arial" w:hAnsi="Arial" w:cs="Arial"/>
          <w:b/>
          <w:i w:val="0"/>
          <w:color w:val="000066"/>
          <w:sz w:val="30"/>
        </w:rPr>
        <w:t>PARTE 4 — MANEJO BÁSICO</w:t>
      </w:r>
    </w:p>
    <w:p>
      <w:pPr>
        <w:spacing w:line="276" w:lineRule="auto" w:before="0" w:after="160"/>
        <w:jc w:val="both"/>
      </w:pPr>
      <w:r>
        <w:rPr>
          <w:rFonts w:ascii="Arial" w:hAnsi="Arial" w:cs="Arial"/>
          <w:b w:val="0"/>
          <w:i w:val="0"/>
          <w:sz w:val="22"/>
        </w:rPr>
        <w:t>A diretriz da American Academy of Pediatric Dentistry (AAPD) divide o manejo em básico e avançado. O básico vem primeiro, sempre. É o conteúdo central do banner.</w:t>
      </w:r>
    </w:p>
    <w:p>
      <w:pPr>
        <w:spacing w:line="276" w:lineRule="auto" w:before="0" w:after="80"/>
        <w:jc w:val="left"/>
      </w:pPr>
      <w:r>
        <w:rPr>
          <w:rFonts w:ascii="Arial" w:hAnsi="Arial" w:cs="Arial"/>
          <w:b/>
          <w:i w:val="0"/>
          <w:sz w:val="25"/>
        </w:rPr>
        <w:t>4.1 Previsibilidade — o princípio que organiza tudo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i w:val="0"/>
          <w:sz w:val="22"/>
        </w:rPr>
        <w:t>Para quem tem TEA, o imprevisto é a maior fonte de estresse. Então: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Consultas curtas. Melhor três sessões de 15 minutos do que uma de 45.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Sempre no mesmo horário, de preferência no período em que a criança está melhor.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Sempre na mesma sala ou box, com a mesma equipe. Trocar o operador pode zerar o progresso.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Primeira consulta apenas de adaptação, sem procedimento. Parece perda de tempo; é o que faz a segunda consulta acontecer.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Avisar antes cada etapa, na mesma ordem, toda vez.</w:t>
      </w:r>
    </w:p>
    <w:p>
      <w:pPr>
        <w:spacing w:line="276" w:lineRule="auto" w:before="0" w:after="80"/>
        <w:jc w:val="left"/>
      </w:pPr>
      <w:r>
        <w:rPr>
          <w:rFonts w:ascii="Arial" w:hAnsi="Arial" w:cs="Arial"/>
          <w:b/>
          <w:i w:val="0"/>
          <w:sz w:val="25"/>
        </w:rPr>
        <w:t>4.2 Dessensibilização progressiva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i w:val="0"/>
          <w:sz w:val="22"/>
        </w:rPr>
        <w:t>Aproximação gradual e repetida do que causa aversão. A criança entra na sala, senta na cadeira, sobe e desce a cadeira, vê o espelho, encosta o espelho na mão, depois na bochecha, depois na boca. Cada etapa é repetida até ser tolerada antes de avançar para a seguinte. Programas de dessensibilização se mostraram superiores à abordagem convencional de orientação comportamental em estudos da área.</w:t>
      </w:r>
    </w:p>
    <w:p>
      <w:pPr>
        <w:spacing w:line="276" w:lineRule="auto" w:before="0" w:after="80"/>
        <w:jc w:val="left"/>
      </w:pPr>
      <w:r>
        <w:rPr>
          <w:rFonts w:ascii="Arial" w:hAnsi="Arial" w:cs="Arial"/>
          <w:b/>
          <w:i w:val="0"/>
          <w:sz w:val="25"/>
        </w:rPr>
        <w:t>4.3 Dizer-mostrar-fazer e perguntar-dizer-perguntar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Dizer-mostrar-fazer (tell-show-do): explicar em linguagem acessível, demonstrar na mão da criança ou num modelo, e só então executar. No TEA nível 3 a parte do "dizer" se apoia na imagem, não na fala.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Perguntar-dizer-perguntar (ask-tell-ask): checar o que a criança entendeu antes e depois de explicar. Útil quando há alguma comunicação verbal.</w:t>
      </w:r>
    </w:p>
    <w:p>
      <w:pPr>
        <w:spacing w:line="276" w:lineRule="auto" w:before="0" w:after="80"/>
        <w:jc w:val="left"/>
      </w:pPr>
      <w:r>
        <w:rPr>
          <w:rFonts w:ascii="Arial" w:hAnsi="Arial" w:cs="Arial"/>
          <w:b/>
          <w:i w:val="0"/>
          <w:sz w:val="25"/>
        </w:rPr>
        <w:t>4.4 Pedagogia visual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i w:val="0"/>
          <w:sz w:val="22"/>
        </w:rPr>
        <w:t>O recurso com melhor evidência no TEA. Usa imagens em sequência para antecipar o que vai acontecer, substituindo a instrução verbal: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Agenda visual — a sequência da consulta em figuras, que a criança acompanha e vai retirando.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Pranchas de comunicação — a criança aponta o que sente ou o que quer.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PECS (Picture Exchange Communication System) — sistema de comunicação por troca de figuras.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TEACCH — método de ensino estruturado que organiza espaço, tempo e tarefa por pistas visuais.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Histórias sociais — narrativa ilustrada da visita ao dentista, lida em casa antes.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i/>
          <w:sz w:val="21"/>
        </w:rPr>
        <w:t>Metanálise de Balian et al. (2021): a pedagogia visual melhora a cooperação durante o atendimento e a qualidade da escovação.</w:t>
      </w:r>
    </w:p>
    <w:p>
      <w:pPr>
        <w:spacing w:line="276" w:lineRule="auto" w:before="0" w:after="80"/>
        <w:jc w:val="left"/>
      </w:pPr>
      <w:r>
        <w:rPr>
          <w:rFonts w:ascii="Arial" w:hAnsi="Arial" w:cs="Arial"/>
          <w:b/>
          <w:i w:val="0"/>
          <w:sz w:val="25"/>
        </w:rPr>
        <w:t>4.5 Modelagem por vídeo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i w:val="0"/>
          <w:sz w:val="22"/>
        </w:rPr>
        <w:t>A criança assiste, em casa, a um vídeo curto de alguém passando pelo procedimento — de preferência outra criança, ou ela mesma em consulta anterior. Chega ao consultório sabendo o que vai acontecer.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i/>
          <w:sz w:val="21"/>
        </w:rPr>
        <w:t>Ensaio clínico randomizado brasileiro, de Da Silva Moro et al. (2024): a modelagem por vídeo reduziu o número de consultas necessárias para o atendimento não invasivo.</w:t>
      </w:r>
    </w:p>
    <w:p>
      <w:pPr>
        <w:spacing w:line="276" w:lineRule="auto" w:before="0" w:after="80"/>
        <w:jc w:val="left"/>
      </w:pPr>
      <w:r>
        <w:rPr>
          <w:rFonts w:ascii="Arial" w:hAnsi="Arial" w:cs="Arial"/>
          <w:b/>
          <w:i w:val="0"/>
          <w:sz w:val="25"/>
        </w:rPr>
        <w:t>4.6 Reforço positivo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i w:val="0"/>
          <w:sz w:val="22"/>
        </w:rPr>
        <w:t>Elogio descritivo e recompensa imediata a cada etapa cumprida — não só no fim. "Você abriu a boca, muito bem" vale mais que "você foi bem hoje". A recompensa deve ser algo que importa para aquela criança, definido com o cuidador na anamnese.</w:t>
      </w:r>
    </w:p>
    <w:p>
      <w:pPr>
        <w:spacing w:line="276" w:lineRule="auto" w:before="0" w:after="80"/>
        <w:jc w:val="left"/>
      </w:pPr>
      <w:r>
        <w:rPr>
          <w:rFonts w:ascii="Arial" w:hAnsi="Arial" w:cs="Arial"/>
          <w:b/>
          <w:i w:val="0"/>
          <w:sz w:val="25"/>
        </w:rPr>
        <w:t>4.7 Ambiente sensorialmente adaptado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i w:val="0"/>
          <w:sz w:val="22"/>
        </w:rPr>
        <w:t>Reduzir a carga sensorial da sala: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Luz — diminuir o refletor, oferecer óculos escuros.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Som — abafador de ruído ou fone com música calma; evitar conversa cruzada na sala.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Cheiro — evitar eugenol e produtos de odor forte.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Tato — colete com peso ou cobertor pesado, que dá sensação de contenção calmante.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Visual — retirar do campo de visão os instrumentos que não serão usados.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i/>
          <w:sz w:val="21"/>
        </w:rPr>
        <w:t>Cermak et al. (2015), estudo piloto com 44 crianças, e Stein Duker et al. (2023), ensaio cruzado com 162 crianças autistas: o ambiente adaptado reduziu o estresse fisiológico, medido no corpo da criança, em todas as fases da consulta, além do sofrimento comportamental.</w:t>
      </w:r>
    </w:p>
    <w:p>
      <w:r>
        <w:br w:type="page"/>
      </w:r>
    </w:p>
    <w:p>
      <w:pPr>
        <w:spacing w:line="276" w:lineRule="auto" w:before="0" w:after="200"/>
        <w:jc w:val="left"/>
      </w:pPr>
      <w:r>
        <w:rPr>
          <w:rFonts w:ascii="Arial" w:hAnsi="Arial" w:cs="Arial"/>
          <w:b/>
          <w:i w:val="0"/>
          <w:color w:val="000066"/>
          <w:sz w:val="30"/>
        </w:rPr>
        <w:t>PARTE 5 — MANEJO AVANÇADO</w:t>
      </w:r>
    </w:p>
    <w:p>
      <w:pPr>
        <w:spacing w:line="276" w:lineRule="auto" w:before="0" w:after="160"/>
        <w:jc w:val="both"/>
      </w:pPr>
      <w:r>
        <w:rPr>
          <w:rFonts w:ascii="Arial" w:hAnsi="Arial" w:cs="Arial"/>
          <w:b w:val="0"/>
          <w:i w:val="0"/>
          <w:sz w:val="22"/>
        </w:rPr>
        <w:t>Entra quando o básico não é suficiente. Nunca é a primeira escolha, e sempre exige consentimento informado e registro em prontuário.</w:t>
      </w:r>
    </w:p>
    <w:p>
      <w:pPr>
        <w:spacing w:line="276" w:lineRule="auto" w:before="0" w:after="80"/>
        <w:jc w:val="left"/>
      </w:pPr>
      <w:r>
        <w:rPr>
          <w:rFonts w:ascii="Arial" w:hAnsi="Arial" w:cs="Arial"/>
          <w:b/>
          <w:i w:val="0"/>
          <w:sz w:val="25"/>
        </w:rPr>
        <w:t>5.1 Estabilização protetora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i w:val="0"/>
          <w:sz w:val="22"/>
        </w:rPr>
        <w:t>Restrição do movimento para proteger a criança e a equipe durante o procedimento. Regras: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Só quando necessário, nunca por conveniência ou pressa.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Sempre a técnica menos restritiva que permita atender com segurança.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Com consentimento informado dos riscos, benefícios e alternativas, inclusive a de não tratar ou adiar.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Registrada em prontuário: indicação, tipo, duração e resposta do paciente.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Nunca como punição, e nunca sem supervisão contínua.</w:t>
      </w:r>
    </w:p>
    <w:p>
      <w:pPr>
        <w:spacing w:line="276" w:lineRule="auto" w:before="0" w:after="80"/>
        <w:jc w:val="left"/>
      </w:pPr>
      <w:r>
        <w:rPr>
          <w:rFonts w:ascii="Arial" w:hAnsi="Arial" w:cs="Arial"/>
          <w:b/>
          <w:i w:val="0"/>
          <w:sz w:val="25"/>
        </w:rPr>
        <w:t>5.2 Sedação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i w:val="0"/>
          <w:sz w:val="22"/>
        </w:rPr>
        <w:t>Vai da sedação mínima com óxido nitroso e oxigênio até a sedação moderada e profunda. Exige profissional habilitado, monitorização e estrutura de emergência. Útil quando o procedimento é necessário, a criança não tolera, mas não se justifica a anestesia geral.</w:t>
      </w:r>
    </w:p>
    <w:p>
      <w:pPr>
        <w:spacing w:line="276" w:lineRule="auto" w:before="0" w:after="80"/>
        <w:jc w:val="left"/>
      </w:pPr>
      <w:r>
        <w:rPr>
          <w:rFonts w:ascii="Arial" w:hAnsi="Arial" w:cs="Arial"/>
          <w:b/>
          <w:i w:val="0"/>
          <w:sz w:val="25"/>
        </w:rPr>
        <w:t>5.3 Anestesia geral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i w:val="0"/>
          <w:sz w:val="22"/>
        </w:rPr>
        <w:t>Em ambiente hospitalar. Indicada quando há grande necessidade de tratamento, impossibilidade de manejo e risco de o adiamento agravar o quadro. Resolve a demanda acumulada numa sessão, mas não ensina a criança a aceitar o atendimento — por isso o condicionamento continua depois.</w:t>
      </w:r>
    </w:p>
    <w:p>
      <w:pPr>
        <w:spacing w:line="276" w:lineRule="auto" w:before="0" w:after="80"/>
        <w:jc w:val="left"/>
      </w:pPr>
      <w:r>
        <w:rPr>
          <w:rFonts w:ascii="Arial" w:hAnsi="Arial" w:cs="Arial"/>
          <w:b/>
          <w:i w:val="0"/>
          <w:sz w:val="25"/>
        </w:rPr>
        <w:t>5.4 A escada — como responder se perguntarem a ordem</w:t>
      </w:r>
    </w:p>
    <w:p>
      <w:pPr>
        <w:spacing w:line="276" w:lineRule="auto" w:before="0" w:after="120"/>
        <w:jc w:val="both"/>
      </w:pPr>
      <w:r>
        <w:rPr>
          <w:rFonts w:ascii="Arial" w:hAnsi="Arial" w:cs="Arial"/>
          <w:b w:val="0"/>
          <w:i w:val="0"/>
          <w:sz w:val="22"/>
        </w:rPr>
        <w:t>1. Manejo básico e prevenção. 2. Adaptação do ambiente. 3. Dessensibilização em várias sessões. 4. Sedação mínima. 5. Estabilização protetora, se indicada. 6. Sedação moderada ou profunda. 7. Anestesia geral. Sobe-se um degrau por vez, e só quando o anterior falhou.</w:t>
      </w:r>
    </w:p>
    <w:p>
      <w:r>
        <w:br w:type="page"/>
      </w:r>
    </w:p>
    <w:p>
      <w:pPr>
        <w:spacing w:line="276" w:lineRule="auto" w:before="0" w:after="200"/>
        <w:jc w:val="left"/>
      </w:pPr>
      <w:r>
        <w:rPr>
          <w:rFonts w:ascii="Arial" w:hAnsi="Arial" w:cs="Arial"/>
          <w:b/>
          <w:i w:val="0"/>
          <w:color w:val="000066"/>
          <w:sz w:val="30"/>
        </w:rPr>
        <w:t>PARTE 6 — PREVENÇÃO: O QUE REALMENTE MUDA O DESFECHO</w:t>
      </w:r>
    </w:p>
    <w:p>
      <w:pPr>
        <w:spacing w:line="276" w:lineRule="auto" w:before="0" w:after="160"/>
        <w:jc w:val="both"/>
      </w:pPr>
      <w:r>
        <w:rPr>
          <w:rFonts w:ascii="Arial" w:hAnsi="Arial" w:cs="Arial"/>
          <w:b w:val="0"/>
          <w:i w:val="0"/>
          <w:sz w:val="22"/>
        </w:rPr>
        <w:t>Quanto mais prevenção, menos necessidade dos degraus de cima. É a tese da conclusão do banner.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Escovação supervisionada pelo cuidador, com técnica orientada e posição definida — a posição joelho a joelho, ou a criança deitada com a cabeça no colo do cuidador, funciona bem.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Escova elétrica — útil quando a higiene depende de terceiros; em alguns pacientes a vibração é aversiva, então teste antes.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Creme dental fluoretado em quantidade adequada à idade; se a criança não cospe, usar quantidade reduzida.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Verniz fluoretado em aplicações periódicas — rápido, bem tolerado e de alto impacto.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Selantes nos molares, quando houver cooperação.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Diamino fluoreto de prata — paralisa a lesão de cárie sem preparo cavitário, sem ruído e sem anestesia. Escurece a lesão, o que precisa ser explicado e consentido.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Tratamento restaurador atraumático (ART) — remoção com instrumento manual e restauração com ionômero, sem alta rotação.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Orientação dietética focada em frequência, não só em quantidade.</w:t>
      </w:r>
    </w:p>
    <w:p>
      <w:pPr>
        <w:spacing w:line="276" w:lineRule="auto" w:before="0" w:after="8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•  Retornos curtos e frequentes, que mantêm o vínculo e o condicionamento.</w:t>
      </w:r>
    </w:p>
    <w:p>
      <w:r>
        <w:br w:type="page"/>
      </w:r>
    </w:p>
    <w:p>
      <w:pPr>
        <w:spacing w:line="276" w:lineRule="auto" w:before="0" w:after="200"/>
        <w:jc w:val="left"/>
      </w:pPr>
      <w:r>
        <w:rPr>
          <w:rFonts w:ascii="Arial" w:hAnsi="Arial" w:cs="Arial"/>
          <w:b/>
          <w:i w:val="0"/>
          <w:color w:val="000066"/>
          <w:sz w:val="30"/>
        </w:rPr>
        <w:t>PARTE 7 — DIREITOS E LEGISLAÇÃO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Norma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O que garante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Lei 12.764/2012 — Política Nacional de Proteção dos Direitos da Pessoa com TEA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Considera a pessoa com TEA como pessoa com deficiência para todos os efeitos legais, com direito a atendimento integral em saúde.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Lei 13.977/2020 — Lei Romeo Mion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Cria a Carteira de Identificação da Pessoa com TEA (CIPTEA), que dá acesso a atendimento prioritário.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Lei 13.146/2015 — Lei Brasileira de Inclusão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Define os tipos de barreira (urbanística, arquitetônica, de transporte, de comunicação, atitudinal e tecnológica) que devem ser removidas.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Guia de Atenção à Saúde Bucal da Pessoa com Deficiência (MS, 2019)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Orienta a rede SUS sobre manejo e cuidado, com capítulo sobre TEA.</w:t>
            </w:r>
          </w:p>
        </w:tc>
      </w:tr>
    </w:tbl>
    <w:p>
      <w:pPr>
        <w:spacing w:line="276" w:lineRule="auto" w:before="0" w:after="200"/>
        <w:jc w:val="both"/>
      </w:pPr>
      <w:r>
        <w:rPr>
          <w:rFonts w:ascii="Arial" w:hAnsi="Arial" w:cs="Arial"/>
          <w:b w:val="0"/>
          <w:i w:val="0"/>
          <w:sz w:val="12"/>
        </w:rPr>
      </w:r>
    </w:p>
    <w:p>
      <w:pPr>
        <w:spacing w:line="276" w:lineRule="auto" w:before="0" w:after="200"/>
        <w:jc w:val="left"/>
      </w:pPr>
      <w:r>
        <w:rPr>
          <w:rFonts w:ascii="Arial" w:hAnsi="Arial" w:cs="Arial"/>
          <w:b/>
          <w:i w:val="0"/>
          <w:color w:val="000066"/>
          <w:sz w:val="30"/>
        </w:rPr>
        <w:t>PARTE 8 — AS EVIDÊNCIAS DO BANNER NUMA TABELA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Referência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Tipo de estudo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O que mostrou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AAPD (2024)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Diretriz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Separa manejo básico de avançado e define quando escalar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Balian et al. (2021)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Revisão sistemática com metanálise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Pedagogia visual melhora cooperação e higiene bucal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Stein Duker et al. (2023)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ECR cruzado, 162 crianças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Ambiente adaptado reduz estresse fisiológico e comportamental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Cermak et al. (2015)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ECR piloto, 44 crianças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Mesma linha, primeiro estudo do tema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Da Silva Moro et al. (2024)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ECR, autores brasileiros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Modelagem por vídeo reduz o número de consultas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Drumond et al. (2022)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Metanálise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Cárie em TDAH: OR 3,31 (IC 95% 1,25–8,73)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AlBhaisi et al. (2022)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Revisão sistemática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Técnicas psicológicas funcionam, mas a evidência é inconclusiva quanto à força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Bezerra et al. (2023)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Revisão de literatura, em português</w:t>
            </w:r>
          </w:p>
        </w:tc>
        <w:tc>
          <w:tcPr>
            <w:tcW w:type="dxa" w:w="4422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Panorama nacional do atendimento à criança com TEA</w:t>
            </w:r>
          </w:p>
        </w:tc>
      </w:tr>
    </w:tbl>
    <w:p>
      <w:pPr>
        <w:spacing w:line="276" w:lineRule="auto" w:before="0" w:after="200"/>
        <w:jc w:val="both"/>
      </w:pPr>
      <w:r>
        <w:rPr>
          <w:rFonts w:ascii="Arial" w:hAnsi="Arial" w:cs="Arial"/>
          <w:b w:val="0"/>
          <w:i w:val="0"/>
          <w:sz w:val="12"/>
        </w:rPr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i/>
          <w:sz w:val="21"/>
        </w:rPr>
        <w:t>A referência mais forte do conjunto é Stein Duker (2023). A mais fácil de ler inteira é Bezerra (2023), em português e gratuita. Leia essa primeiro.</w:t>
      </w:r>
    </w:p>
    <w:p>
      <w:r>
        <w:br w:type="page"/>
      </w:r>
    </w:p>
    <w:p>
      <w:pPr>
        <w:spacing w:line="276" w:lineRule="auto" w:before="0" w:after="200"/>
        <w:jc w:val="left"/>
      </w:pPr>
      <w:r>
        <w:rPr>
          <w:rFonts w:ascii="Arial" w:hAnsi="Arial" w:cs="Arial"/>
          <w:b/>
          <w:i w:val="0"/>
          <w:color w:val="000066"/>
          <w:sz w:val="30"/>
        </w:rPr>
        <w:t>PARTE 9 — PERGUNTAS DE BANCA, COM RESPOSTA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i w:val="0"/>
          <w:sz w:val="22"/>
        </w:rPr>
        <w:t>Por que não sedar logo, já que a paciente não colabora?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Porque a AAPD coloca sedação e anestesia geral como manejo avançado, para depois da falha do básico. Além do risco e do custo, a sedação resolve a consulta mas não ensina a criança a aceitar o atendimento. O condicionamento tem efeito duradouro.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i w:val="0"/>
          <w:sz w:val="22"/>
        </w:rPr>
        <w:t>Por que a criança com TEA tem mais cárie?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Não é a condição em si. É a soma de higiene dependente do cuidador, hipersensibilidade oral que dificulta a escovação, dieta seletiva e cariogênica e hipossalivação causada pelos psicofármacos.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i w:val="0"/>
          <w:sz w:val="22"/>
        </w:rPr>
        <w:t>O que muda no atendimento por ser nível 3 e não nível 1?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No nível 3 a comunicação verbal é mínima, então todo o manejo se apoia em recurso visual e em rotina, não em explicação falada. E a alteração sensorial costuma ser mais intensa, o que torna a adaptação do ambiente indispensável, não opcional.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i w:val="0"/>
          <w:sz w:val="22"/>
        </w:rPr>
        <w:t>Qual a diferença entre estabilização protetora e imobilização?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Estabilização protetora é indicada, consentida, registrada em prontuário e feita na técnica menos restritiva possível. Imobilização sem indicação e sem consentimento é conduta inadequada.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i w:val="0"/>
          <w:sz w:val="22"/>
        </w:rPr>
        <w:t>A pedagogia visual funciona mesmo ou é teoria?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A metanálise de Balian mostra melhora de cooperação e de higiene bucal. A limitação é que os estudos são pequenos e heterogêneos, como o próprio AlBhaisi aponta.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i w:val="0"/>
          <w:sz w:val="22"/>
        </w:rPr>
        <w:t>Como vocês lidariam com a hipersensibilidade na hora da escovação?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Dessensibilização gradual do toque, começando fora da boca; escova de cerdas macias e cabeça pequena; testar escova elétrica, que ajuda em parte dos casos e piora em outros; posição joelho a joelho; e creme sem sabor forte, porque o sabor é um gatilho frequente.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i w:val="0"/>
          <w:sz w:val="22"/>
        </w:rPr>
        <w:t>O TDAH muda alguma coisa no manejo, ou é só o TEA?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Muda. O TDAH exige consulta curta e objetiva, com poucas instruções por vez, e aumenta o risco de cárie por falha de rotina de higiene e por impulsividade alimentar. É ele que justifica sessões de 15 minutos em vez de 45.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i w:val="0"/>
          <w:sz w:val="22"/>
        </w:rPr>
        <w:t>E a ansiedade, como vocês abordam?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Com previsibilidade. A ansiedade generalizada faz a criança antecipar o pior, então saber exatamente o que vai acontecer, na mesma ordem, com a mesma equipe, é o que reduz a antecipação. Vídeo e agenda visual em casa atacam exatamente isso.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i w:val="0"/>
          <w:sz w:val="22"/>
        </w:rPr>
        <w:t>Qual recurso vocês implantariam amanhã na clínica?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Agenda visual impressa e vídeo gravado com o celular. Custo quase zero, e são justamente os dois com ensaio clínico mostrando ganho de cooperação e redução do número de consultas.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i w:val="0"/>
          <w:sz w:val="22"/>
        </w:rPr>
        <w:t>Se nada funcionar, o que vocês fazem?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Mantemos a adequação do meio bucal e o controle preventivo, e escalamos conforme a necessidade e a urgência: sedação e, se indicado, anestesia geral, sempre com consentimento e em conjunto com a família e com o médico que acompanha a criança.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i w:val="0"/>
          <w:sz w:val="22"/>
        </w:rPr>
        <w:t>Vocês citam que não existe protocolo único. Então o que o trabalho conclui?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Que a conduta é individualizada, mas os princípios são constantes: anamnese ampliada, previsibilidade, suporte visual, adaptação sensorial, reforço positivo e prevenção. O que varia é a combinação e o ritmo, não os princípios.</w:t>
      </w:r>
    </w:p>
    <w:p>
      <w:pPr>
        <w:spacing w:line="276" w:lineRule="auto" w:before="0" w:after="0"/>
        <w:jc w:val="left"/>
      </w:pPr>
      <w:r>
        <w:rPr>
          <w:rFonts w:ascii="Arial" w:hAnsi="Arial" w:cs="Arial"/>
          <w:b/>
          <w:i w:val="0"/>
          <w:sz w:val="22"/>
        </w:rPr>
        <w:t>Por que a primeira consulta sem procedimento não é perda de tempo?</w:t>
      </w:r>
    </w:p>
    <w:p>
      <w:pPr>
        <w:spacing w:line="276" w:lineRule="auto" w:before="0" w:after="160"/>
        <w:ind w:left="340"/>
        <w:jc w:val="both"/>
      </w:pPr>
      <w:r>
        <w:rPr>
          <w:rFonts w:ascii="Arial" w:hAnsi="Arial" w:cs="Arial"/>
          <w:b w:val="0"/>
          <w:i w:val="0"/>
          <w:sz w:val="22"/>
        </w:rPr>
        <w:t>Porque o custo de uma primeira consulta malsucedida é a recusa nas seguintes. A consulta de adaptação constrói o vínculo que permite todas as outras — é investimento, não desperdício.</w:t>
      </w:r>
    </w:p>
    <w:p>
      <w:r>
        <w:br w:type="page"/>
      </w:r>
    </w:p>
    <w:p>
      <w:pPr>
        <w:spacing w:line="276" w:lineRule="auto" w:before="0" w:after="200"/>
        <w:jc w:val="left"/>
      </w:pPr>
      <w:r>
        <w:rPr>
          <w:rFonts w:ascii="Arial" w:hAnsi="Arial" w:cs="Arial"/>
          <w:b/>
          <w:i w:val="0"/>
          <w:color w:val="000066"/>
          <w:sz w:val="30"/>
        </w:rPr>
        <w:t>PARTE 10 — GLOSSÁRIO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Termo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Significado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DSM-5-TR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Manual Diagnóstico e Estatístico de Transtornos Mentais, 5ª edição, texto revisado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Dessensibilização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Exposição gradual e repetida ao estímulo aversivo até que seja tolerado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Dizer-mostrar-fazer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Explicar, demonstrar e só então executar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Pedagogia visual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Uso de imagens em sequência para antecipar e organizar o procedimento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PECS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Sistema de comunicação por troca de figuras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TEACCH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Método de ensino estruturado por pistas visuais de espaço, tempo e tarefa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Modelagem por vídeo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Assistir a alguém passando pelo procedimento antes de vivê-lo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Escala de Frankl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Classificação do comportamento infantil na cadeira, de 1 a 4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Estabilização protetora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Restrição de movimento indicada, consentida e registrada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ART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Tratamento restaurador atraumático, sem alta rotação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Diamino fluoreto de prata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Agente que paralisa a lesão de cárie sem preparo cavitário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Xerostomia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Sensação de boca seca, geralmente por redução do fluxo salivar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CIPTEA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Arial" w:hAnsi="Arial"/>
                <w:sz w:val="20"/>
              </w:rPr>
              <w:t>Carteira de Identificação da Pessoa com Transtorno do Espectro Autista</w:t>
            </w:r>
          </w:p>
        </w:tc>
      </w:tr>
    </w:tbl>
    <w:p>
      <w:pPr>
        <w:spacing w:line="276" w:lineRule="auto" w:before="0" w:after="200"/>
        <w:jc w:val="both"/>
      </w:pPr>
      <w:r>
        <w:rPr>
          <w:rFonts w:ascii="Arial" w:hAnsi="Arial" w:cs="Arial"/>
          <w:b w:val="0"/>
          <w:i w:val="0"/>
          <w:sz w:val="12"/>
        </w:rPr>
      </w:r>
    </w:p>
    <w:p>
      <w:pPr>
        <w:spacing w:line="276" w:lineRule="auto" w:before="0" w:after="200"/>
        <w:jc w:val="left"/>
      </w:pPr>
      <w:r>
        <w:rPr>
          <w:rFonts w:ascii="Arial" w:hAnsi="Arial" w:cs="Arial"/>
          <w:b/>
          <w:i w:val="0"/>
          <w:color w:val="000066"/>
          <w:sz w:val="30"/>
        </w:rPr>
        <w:t>PARTE 11 — REVISÃO DE DEZ MINUTOS</w:t>
      </w:r>
    </w:p>
    <w:p>
      <w:pPr>
        <w:spacing w:line="276" w:lineRule="auto" w:before="0" w:after="160"/>
        <w:jc w:val="both"/>
      </w:pPr>
      <w:r>
        <w:rPr>
          <w:rFonts w:ascii="Arial" w:hAnsi="Arial" w:cs="Arial"/>
          <w:b w:val="0"/>
          <w:i w:val="0"/>
          <w:sz w:val="22"/>
        </w:rPr>
        <w:t>Para ler antes de apresentar. Se você souber estes dez pontos, sustenta qualquer conversa sobre o banner.</w:t>
      </w:r>
    </w:p>
    <w:p>
      <w:pPr>
        <w:spacing w:line="276" w:lineRule="auto" w:before="0" w:after="100"/>
        <w:ind w:left="454"/>
        <w:jc w:val="both"/>
      </w:pPr>
      <w:r>
        <w:rPr>
          <w:rFonts w:ascii="Arial" w:hAnsi="Arial" w:cs="Arial"/>
          <w:b w:val="0"/>
          <w:i w:val="0"/>
          <w:sz w:val="22"/>
        </w:rPr>
        <w:t xml:space="preserve"> 1.  TEA nível 3 é o que exige apoio muito substancial: comunicação verbal mínima, comportamento repetitivo e alteração sensorial.</w:t>
      </w:r>
    </w:p>
    <w:p>
      <w:pPr>
        <w:spacing w:line="276" w:lineRule="auto" w:before="0" w:after="100"/>
        <w:ind w:left="454"/>
        <w:jc w:val="both"/>
      </w:pPr>
      <w:r>
        <w:rPr>
          <w:rFonts w:ascii="Arial" w:hAnsi="Arial" w:cs="Arial"/>
          <w:b w:val="0"/>
          <w:i w:val="0"/>
          <w:sz w:val="22"/>
        </w:rPr>
        <w:t xml:space="preserve"> 2.  A alteração sensorial é o que mais importa na Odontologia: luz, ruído, cheiro e toque são sentidos de forma intensificada.</w:t>
      </w:r>
    </w:p>
    <w:p>
      <w:pPr>
        <w:spacing w:line="276" w:lineRule="auto" w:before="0" w:after="100"/>
        <w:ind w:left="454"/>
        <w:jc w:val="both"/>
      </w:pPr>
      <w:r>
        <w:rPr>
          <w:rFonts w:ascii="Arial" w:hAnsi="Arial" w:cs="Arial"/>
          <w:b w:val="0"/>
          <w:i w:val="0"/>
          <w:sz w:val="22"/>
        </w:rPr>
        <w:t xml:space="preserve"> 3.  TDAH impede permanecer parada e seguir instrução; TAG faz a criança chegar já em alerta. Os três juntos derrubam a colaboração.</w:t>
      </w:r>
    </w:p>
    <w:p>
      <w:pPr>
        <w:spacing w:line="276" w:lineRule="auto" w:before="0" w:after="100"/>
        <w:ind w:left="454"/>
        <w:jc w:val="both"/>
      </w:pPr>
      <w:r>
        <w:rPr>
          <w:rFonts w:ascii="Arial" w:hAnsi="Arial" w:cs="Arial"/>
          <w:b w:val="0"/>
          <w:i w:val="0"/>
          <w:sz w:val="22"/>
        </w:rPr>
        <w:t xml:space="preserve"> 4.  O risco de cárie não vem da condição: vem de higiene dependente do cuidador, hipersensibilidade oral, dieta seletiva e boca seca por medicamento.</w:t>
      </w:r>
    </w:p>
    <w:p>
      <w:pPr>
        <w:spacing w:line="276" w:lineRule="auto" w:before="0" w:after="100"/>
        <w:ind w:left="454"/>
        <w:jc w:val="both"/>
      </w:pPr>
      <w:r>
        <w:rPr>
          <w:rFonts w:ascii="Arial" w:hAnsi="Arial" w:cs="Arial"/>
          <w:b w:val="0"/>
          <w:i w:val="0"/>
          <w:sz w:val="22"/>
        </w:rPr>
        <w:t xml:space="preserve"> 5.  Metanálise de 2022: crianças com TDAH têm OR 3,31 para cárie.</w:t>
      </w:r>
    </w:p>
    <w:p>
      <w:pPr>
        <w:spacing w:line="276" w:lineRule="auto" w:before="0" w:after="100"/>
        <w:ind w:left="454"/>
        <w:jc w:val="both"/>
      </w:pPr>
      <w:r>
        <w:rPr>
          <w:rFonts w:ascii="Arial" w:hAnsi="Arial" w:cs="Arial"/>
          <w:b w:val="0"/>
          <w:i w:val="0"/>
          <w:sz w:val="22"/>
        </w:rPr>
        <w:t xml:space="preserve"> 6.  A anamnese ampliada é o plano de tratamento: rotina, comunicação, gatilhos, reforços, medicamentos.</w:t>
      </w:r>
    </w:p>
    <w:p>
      <w:pPr>
        <w:spacing w:line="276" w:lineRule="auto" w:before="0" w:after="100"/>
        <w:ind w:left="454"/>
        <w:jc w:val="both"/>
      </w:pPr>
      <w:r>
        <w:rPr>
          <w:rFonts w:ascii="Arial" w:hAnsi="Arial" w:cs="Arial"/>
          <w:b w:val="0"/>
          <w:i w:val="0"/>
          <w:sz w:val="22"/>
        </w:rPr>
        <w:t xml:space="preserve"> 7.  Previsibilidade é o princípio central: consulta curta, mesmo horário, mesma sala, mesma equipe, primeira sessão só de adaptação.</w:t>
      </w:r>
    </w:p>
    <w:p>
      <w:pPr>
        <w:spacing w:line="276" w:lineRule="auto" w:before="0" w:after="100"/>
        <w:ind w:left="454"/>
        <w:jc w:val="both"/>
      </w:pPr>
      <w:r>
        <w:rPr>
          <w:rFonts w:ascii="Arial" w:hAnsi="Arial" w:cs="Arial"/>
          <w:b w:val="0"/>
          <w:i w:val="0"/>
          <w:sz w:val="22"/>
        </w:rPr>
        <w:t xml:space="preserve"> 8.  O condicionamento é gradual: dessensibilização, dizer-mostrar-fazer, pedagogia visual, vídeo e reforço positivo a cada etapa.</w:t>
      </w:r>
    </w:p>
    <w:p>
      <w:pPr>
        <w:spacing w:line="276" w:lineRule="auto" w:before="0" w:after="100"/>
        <w:ind w:left="454"/>
        <w:jc w:val="both"/>
      </w:pPr>
      <w:r>
        <w:rPr>
          <w:rFonts w:ascii="Arial" w:hAnsi="Arial" w:cs="Arial"/>
          <w:b w:val="0"/>
          <w:i w:val="0"/>
          <w:sz w:val="22"/>
        </w:rPr>
        <w:t xml:space="preserve"> 9.  O ambiente adaptado reduz estresse fisiológico comprovadamente — ECR com 162 crianças, 2023.</w:t>
      </w:r>
    </w:p>
    <w:p>
      <w:pPr>
        <w:spacing w:line="276" w:lineRule="auto" w:before="0" w:after="100"/>
        <w:ind w:left="454"/>
        <w:jc w:val="both"/>
      </w:pPr>
      <w:r>
        <w:rPr>
          <w:rFonts w:ascii="Arial" w:hAnsi="Arial" w:cs="Arial"/>
          <w:b w:val="0"/>
          <w:i w:val="0"/>
          <w:sz w:val="22"/>
        </w:rPr>
        <w:t>10.  Contenção, sedação e anestesia geral só depois da falha do básico, com consentimento. E a prevenção é o que evita chegar lá.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