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80"/>
        <w:jc w:val="center"/>
      </w:pPr>
      <w:r>
        <w:rPr>
          <w:rFonts w:ascii="Arial" w:hAnsi="Arial" w:cs="Arial"/>
          <w:b/>
          <w:sz w:val="28"/>
        </w:rPr>
        <w:t>GUIA DE ESTUDO — BANNER DE PNE</w:t>
      </w:r>
    </w:p>
    <w:p>
      <w:pPr>
        <w:spacing w:line="276" w:lineRule="auto" w:before="0" w:after="320"/>
        <w:jc w:val="center"/>
      </w:pPr>
      <w:r>
        <w:rPr>
          <w:rFonts w:ascii="Arial" w:hAnsi="Arial" w:cs="Arial"/>
          <w:b w:val="0"/>
          <w:sz w:val="24"/>
        </w:rPr>
        <w:t>Manejo odontológico do paciente com TEA nível 3, TDAH e TAG</w:t>
      </w:r>
    </w:p>
    <w:p>
      <w:pPr>
        <w:spacing w:line="276" w:lineRule="auto" w:before="0" w:after="160"/>
        <w:jc w:val="left"/>
      </w:pPr>
      <w:r>
        <w:rPr>
          <w:rFonts w:ascii="Arial" w:hAnsi="Arial" w:cs="Arial"/>
          <w:b/>
          <w:sz w:val="26"/>
        </w:rPr>
        <w:t>1. DE ONDE SAIU CADA PARTE DO RESUMO</w:t>
      </w:r>
    </w:p>
    <w:p>
      <w:pPr>
        <w:spacing w:line="276" w:lineRule="auto" w:before="0" w:after="160"/>
        <w:jc w:val="both"/>
      </w:pPr>
      <w:r>
        <w:rPr>
          <w:rFonts w:ascii="Arial" w:hAnsi="Arial" w:cs="Arial"/>
          <w:b w:val="0"/>
          <w:sz w:val="22"/>
        </w:rPr>
        <w:t>Cada trecho do resumo está sustentado por uma das referências. É isso que você responde se a banca perguntar "de onde você tirou isso?".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"TEA nível 3 é o que exige maior suporte"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Classificação do DSM-5-TR por nível de suporte (1, 2 e 3). O nível 3 é descrito como "exigindo apoio muito substancial". Base conceitual, aparece também em BEZERRA et al. (2023).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"maior risco de cárie e doença periodontal"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DRUMOND et al. (2022) — metanálise em crianças com TDAH. BEZERRA et al. (2023) para o TEA.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"higiene depende do cuidador, dieta seletiva, psicofármacos reduzem o fluxo salivar"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BEZERRA et al. (2023) e a literatura nacional sobre TEA; a hipossalivação é efeito adverso conhecido de metilfenidato, risperidona e antidepressivos.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"anamnese detalhada com o responsável"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AAPD (2024) — a diretriz exige registrar histórico médico, temperamento, comportamento em atendimentos anteriores e técnicas já utilizadas antes de escolher o manejo.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"consultas curtas, mesmo horário, mesma sala, mesma equipe"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BEZERRA et al. (2023) e AAPD (2024): previsibilidade e redução de estímulos.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"dizer-mostrar-fazer e reforço positivo"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AAPD (2024) — as duas estão na lista de manejo básico (basic behavior guidance).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"dessensibilização"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AAPD (2024) e ALBHAISI et al. (2022): aproximação gradual e repetida do procedimento.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"pranchas e agendas de figuras" (pedagogia visual)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BALIAN et al. (2021) — revisão sistemática com metanálise; é a referência mais forte do resumo para esse ponto.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"vídeos que mostram o procedimento antes da consulta"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ALBHAISI et al. (2022) — video modeling entre as técnicas psicológicas revisadas.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"diminuir luz, ruído e odores"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CERMAK et al. (2015) e STEIN DUKER et al. (2023) — ambiente sensorialmente adaptado.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"contenção protetora, sedação e anestesia geral reservadas"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AAPD (2024) — são classificadas como manejo avançado, usadas quando o básico não basta e sempre com consentimento informado.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"não existe um protocolo único"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ALBHAISI et al. (2022) — a própria revisão conclui que a evidência ainda é inconclusiva e heterogênea, o que impede um protocolo universal.</w:t>
      </w:r>
    </w:p>
    <w:p>
      <w:r>
        <w:br w:type="page"/>
      </w:r>
    </w:p>
    <w:p>
      <w:pPr>
        <w:spacing w:line="276" w:lineRule="auto" w:before="0" w:after="160"/>
        <w:jc w:val="left"/>
      </w:pPr>
      <w:r>
        <w:rPr>
          <w:rFonts w:ascii="Arial" w:hAnsi="Arial" w:cs="Arial"/>
          <w:b/>
          <w:sz w:val="26"/>
        </w:rPr>
        <w:t>2. RESUMO DAS REFERÊNCIAS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3"/>
        </w:rPr>
        <w:t>AAPD (2024) — Behavior guidance for the pediatric dental patient</w:t>
      </w:r>
    </w:p>
    <w:p>
      <w:pPr>
        <w:spacing w:line="276" w:lineRule="auto" w:before="0" w:after="80"/>
        <w:jc w:val="both"/>
      </w:pPr>
      <w:r>
        <w:rPr>
          <w:rFonts w:ascii="Arial" w:hAnsi="Arial" w:cs="Arial"/>
          <w:b w:val="0"/>
          <w:sz w:val="21"/>
        </w:rPr>
        <w:t>Reference Manual of Pediatric Dentistry, p. 358-378. Diretriz da Academia Americana de Odontopediatria, revisada periodicamente.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O que é: não é pesquisa, é diretriz. Serve para justificar conduta.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Divide o manejo em básico e avançado. Básico: comunicação, imagens positivas antes da consulta, observação de outro paciente, dizer-mostrar-fazer, perguntar-dizer-perguntar, controle de voz, comunicação não verbal, reforço positivo, distração e dessensibilização.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Avançado: contenção protetora, sedação e anestesia geral.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Manda documentar histórico médico, temperamento, consentimento informado com riscos e alternativas, avaliação de dor, urgência do tratamento e comportamento em consultas anteriores.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Sobre contenção: usar apenas quando necessário para proteger a criança e a equipe, e sempre a técnica menos restritiva possível (há uma diretriz específica só sobre isso).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Por que usei: sustenta quase toda a parte de conduta do resumo.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sz w:val="16"/>
        </w:rPr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3"/>
        </w:rPr>
        <w:t>BALIAN et al. (2021) — Pedagogia visual</w:t>
      </w:r>
    </w:p>
    <w:p>
      <w:pPr>
        <w:spacing w:line="276" w:lineRule="auto" w:before="0" w:after="80"/>
        <w:jc w:val="both"/>
      </w:pPr>
      <w:r>
        <w:rPr>
          <w:rFonts w:ascii="Arial" w:hAnsi="Arial" w:cs="Arial"/>
          <w:b w:val="0"/>
          <w:sz w:val="21"/>
        </w:rPr>
        <w:t>Int J Environ Res Public Health, v. 18, n. 2, p. 789. Revisão sistemática com metanálise.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Pergunta: a pedagogia visual melhora a cooperação e a higiene bucal em crianças com TEA?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Pedagogia visual = pranchas, sequências de figuras, agenda visual, histórias sociais, cartões que mostram cada etapa do que vai acontecer.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Resultado: melhora as habilidades de escovação e a higiene bucal, e aumenta o nível de cooperação durante o atendimento. Material visual adaptado culturalmente reduziu a ansiedade em comparação ao grupo controle.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Por que usei: é a evidência mais forte a favor das pranchas e agendas de figuras.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sz w:val="16"/>
        </w:rPr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3"/>
        </w:rPr>
        <w:t>ALBHAISI et al. (2022) — Técnicas psicológicas</w:t>
      </w:r>
    </w:p>
    <w:p>
      <w:pPr>
        <w:spacing w:line="276" w:lineRule="auto" w:before="0" w:after="80"/>
        <w:jc w:val="both"/>
      </w:pPr>
      <w:r>
        <w:rPr>
          <w:rFonts w:ascii="Arial" w:hAnsi="Arial" w:cs="Arial"/>
          <w:b w:val="0"/>
          <w:sz w:val="21"/>
        </w:rPr>
        <w:t>BMC Oral Health, v. 22. Revisão sistemática de literatura.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Revisa as técnicas não farmacológicas usadas com crianças com TEA: dizer-mostrar-fazer, dessensibilização, modelagem por vídeo, reforço positivo, suportes visuais.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Resultado: os estudos mostram efeitos favoráveis, mas a evidência é considerada inconclusiva quanto à força, por causa da heterogeneidade metodológica e das amostras pequenas.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Por que usei: sustenta a frase da conclusão sobre não existir protocolo único. É um ponto honesto do trabalho, e a banca costuma gostar quando o aluno reconhece a limitação.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sz w:val="16"/>
        </w:rPr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3"/>
        </w:rPr>
        <w:t>CERMAK et al. (2015) — Ambiente sensorialmente adaptado (estudo piloto)</w:t>
      </w:r>
    </w:p>
    <w:p>
      <w:pPr>
        <w:spacing w:line="276" w:lineRule="auto" w:before="0" w:after="80"/>
        <w:jc w:val="both"/>
      </w:pPr>
      <w:r>
        <w:rPr>
          <w:rFonts w:ascii="Arial" w:hAnsi="Arial" w:cs="Arial"/>
          <w:b w:val="0"/>
          <w:sz w:val="21"/>
        </w:rPr>
        <w:t>J Autism Dev Disord, v. 45, n. 9, p. 2876-2888. Ensaio clínico randomizado piloto.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44 crianças de 6 a 12 anos: 22 com TEA e 22 com desenvolvimento típico.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Cada criança passou por duas profilaxias, uma em ambiente convencional e outra em ambiente adaptado, em ordem sorteada, com 3 a 4 meses de intervalo.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Adaptações: luz reduzida, projeção em movimento no teto (peixes, bolhas), música calma e colete com peso que envolve a criança.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Resultado: menos estresse, menos desconforto sensorial e menor percepção de dor no ambiente adaptado.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Por que usei: é a origem do conceito de adaptação sensorial do consultório.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sz w:val="16"/>
        </w:rPr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3"/>
        </w:rPr>
        <w:t>STEIN DUKER et al. (2023) — Ambiente sensorialmente adaptado (estudo grande)</w:t>
      </w:r>
    </w:p>
    <w:p>
      <w:pPr>
        <w:spacing w:line="276" w:lineRule="auto" w:before="0" w:after="80"/>
        <w:jc w:val="both"/>
      </w:pPr>
      <w:r>
        <w:rPr>
          <w:rFonts w:ascii="Arial" w:hAnsi="Arial" w:cs="Arial"/>
          <w:b w:val="0"/>
          <w:sz w:val="21"/>
        </w:rPr>
        <w:t>JAMA Network Open, v. 6, n. 6, e2316346. Ensaio clínico randomizado cruzado.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É a continuação do estudo do Cermak, agora com 162 crianças autistas.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Resultado: estresse fisiológico significativamente menor no ambiente adaptado em todas as fases da consulta, indicando menor ativação simpática, ou seja, a criança mais relaxada.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Também reduziu o sofrimento comportamental, e o método foi considerado seguro.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Por que usei: é a evidência de melhor qualidade do resumo. Se a banca perguntar qual o estudo mais forte que você citou, é este.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sz w:val="16"/>
        </w:rPr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3"/>
        </w:rPr>
        <w:t>DRUMOND et al. (2022) — Cárie e TDAH</w:t>
      </w:r>
    </w:p>
    <w:p>
      <w:pPr>
        <w:spacing w:line="276" w:lineRule="auto" w:before="0" w:after="80"/>
        <w:jc w:val="both"/>
      </w:pPr>
      <w:r>
        <w:rPr>
          <w:rFonts w:ascii="Arial" w:hAnsi="Arial" w:cs="Arial"/>
          <w:b w:val="0"/>
          <w:sz w:val="21"/>
        </w:rPr>
        <w:t>Caries Research, v. 56, n. 1, p. 3-14. Revisão sistemática com metanálise.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Compara a ocorrência de cárie em crianças com TDAH e sem TDAH.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Resultado: crianças com TDAH têm mais chance de apresentar cárie (OR = 3,31; IC 95% 1,25-8,73).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Explicações apontadas: dificuldade de manter rotina de higiene, falta de motivação, maior acúmulo de biofilme, sangramento gengival e consumo de alimentos cariogênicos por impulsividade.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Por que usei: sustenta a frase sobre maior risco de cárie, na parte do TDAH.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sz w:val="16"/>
        </w:rPr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3"/>
        </w:rPr>
        <w:t>BEZERRA; ASSIS; SANTOS (2023) — Atendimento odontológico de crianças com TEA</w:t>
      </w:r>
    </w:p>
    <w:p>
      <w:pPr>
        <w:spacing w:line="276" w:lineRule="auto" w:before="0" w:after="80"/>
        <w:jc w:val="both"/>
      </w:pPr>
      <w:r>
        <w:rPr>
          <w:rFonts w:ascii="Arial" w:hAnsi="Arial" w:cs="Arial"/>
          <w:b w:val="0"/>
          <w:sz w:val="21"/>
        </w:rPr>
        <w:t>Brazilian Journal of Health Review, v. 6, n. 3, p. 13155-13171. Revisão de literatura, em português e com acesso livre.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Revisão nacional sobre as características das crianças com TEA e as estratégias de atendimento.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Aborda as alterações bucais mais comuns, a dificuldade de higiene, a importância do cuidador e as técnicas de manejo.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Por que usei: é a referência em português, a mais fácil de ler inteira e a melhor para você estudar primeiro. Leia esta antes das outras.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sz w:val="16"/>
        </w:rPr>
      </w:r>
    </w:p>
    <w:p>
      <w:r>
        <w:br w:type="page"/>
      </w:r>
    </w:p>
    <w:p>
      <w:pPr>
        <w:spacing w:line="276" w:lineRule="auto" w:before="0" w:after="160"/>
        <w:jc w:val="left"/>
      </w:pPr>
      <w:r>
        <w:rPr>
          <w:rFonts w:ascii="Arial" w:hAnsi="Arial" w:cs="Arial"/>
          <w:b/>
          <w:sz w:val="26"/>
        </w:rPr>
        <w:t>3. O QUE ESTUDAR ALÉM DAS REFERÊNCIAS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DSM-5-TR: os três níveis de suporte do TEA e o que muda entre eles. Você precisa saber explicar por que o nível 3 é o mais grave.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TDAH: os três tipos (desatento, hiperativo-impulsivo e combinado) e os medicamentos mais usados (metilfenidato, lisdexanfetamina) com seus efeitos na boca.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TAG: como a ansiedade aparece na criança (irritabilidade, queixas físicas, recusa) e por que ela piora a aceitação do atendimento.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Medicamentos e boca seca: metilfenidato, risperidona, aripiprazol e antidepressivos. Saiba dizer qual o efeito bucal de cada um.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Seletividade alimentar no TEA: por que a dieta costuma ser pastosa, doce e repetitiva.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Bruxismo, automutilação e traumatismo dentário nesses pacientes.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TEACCH e PECS: são os dois métodos de comunicação estruturada citados na literatura de TEA. Vale saber o que cada sigla significa.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Lei 12.764/2012 (Política Nacional de Proteção dos Direitos da Pessoa com TEA, que garante à pessoa com autismo os mesmos direitos da pessoa com deficiência) e Lei 13.977/2020, a Lei Romeo Mion, que criou a carteira de identificação (CIPTEA).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Prevalência: dados do CDC de 2025 (ano de vigilância 2022) apontam 1 em cada 31 crianças de 8 anos identificadas com TEA nos EUA, contra 1 em 36 no levantamento anterior. Bom número de abertura para a apresentação.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2"/>
        </w:rPr>
        <w:t>•  Prevenção: verniz fluoretado, selantes, escovação supervisionada pelo cuidador e ART. É o que você vai defender como prioridade.</w:t>
      </w:r>
    </w:p>
    <w:p>
      <w:pPr>
        <w:spacing w:line="276" w:lineRule="auto" w:before="0" w:after="200"/>
        <w:jc w:val="both"/>
      </w:pPr>
      <w:r>
        <w:rPr>
          <w:rFonts w:ascii="Arial" w:hAnsi="Arial" w:cs="Arial"/>
          <w:b w:val="0"/>
          <w:sz w:val="16"/>
        </w:rPr>
      </w:r>
    </w:p>
    <w:p>
      <w:pPr>
        <w:spacing w:line="276" w:lineRule="auto" w:before="0" w:after="160"/>
        <w:jc w:val="left"/>
      </w:pPr>
      <w:r>
        <w:rPr>
          <w:rFonts w:ascii="Arial" w:hAnsi="Arial" w:cs="Arial"/>
          <w:b/>
          <w:sz w:val="26"/>
        </w:rPr>
        <w:t>4. PERGUNTAS QUE PODEM TE FAZER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Por que não sedar logo, já que a paciente não colabora?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Porque a AAPD coloca sedação e anestesia geral como manejo avançado, indicado quando o básico falha. Além do risco e do custo, a sedação resolve a consulta, mas não ensina a criança a aceitar o atendimento. O condicionamento tem efeito duradouro.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Qual a diferença entre contenção protetora e imobilização?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Contenção protetora é a estabilização, com consentimento e registro em prontuário, na técnica menos restritiva que permita atender com segurança. Imobilização sem consentimento e sem indicação é conduta inadequada.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A pedagogia visual funciona mesmo ou é só teoria?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Funciona: a metanálise do Balian mostra melhora da cooperação e da higiene bucal. A limitação é que os estudos são pequenos e heterogêneos.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Por que a criança com TEA tem mais cárie?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Não é a condição em si. É a soma de higiene dependente do cuidador, dieta seletiva e cariogênica, boca seca por medicamento e dificuldade de escovar por hipersensibilidade na boca.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sz w:val="22"/>
        </w:rPr>
        <w:t>O que você faria se nada disso funcionasse?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sz w:val="22"/>
        </w:rPr>
        <w:t>Manteria a adequação do meio bucal e o controle preventivo, escalaria para sedação ou anestesia geral conforme a necessidade e a urgência do tratamento, sempre com consentimento e em conjunto com a família e o médico que acompanha a criança.</w:t>
      </w:r>
    </w:p>
    <w:p>
      <w:pPr>
        <w:spacing w:line="276" w:lineRule="auto" w:before="0" w:after="200"/>
        <w:jc w:val="both"/>
      </w:pPr>
      <w:r>
        <w:rPr>
          <w:rFonts w:ascii="Arial" w:hAnsi="Arial" w:cs="Arial"/>
          <w:b w:val="0"/>
          <w:sz w:val="16"/>
        </w:rPr>
      </w:r>
    </w:p>
    <w:p>
      <w:pPr>
        <w:spacing w:line="276" w:lineRule="auto" w:before="0" w:after="160"/>
        <w:jc w:val="left"/>
      </w:pPr>
      <w:r>
        <w:rPr>
          <w:rFonts w:ascii="Arial" w:hAnsi="Arial" w:cs="Arial"/>
          <w:b/>
          <w:sz w:val="26"/>
        </w:rPr>
        <w:t>5. ONDE LER CADA UMA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1"/>
        </w:rPr>
        <w:t>•  BEZERRA et al. (2023): ojs.brazilianjournals.com.br/ojs/index.php/BJHR/article/view/60794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1"/>
        </w:rPr>
        <w:t>•  AAPD (2024): aapd.org/globalassets/media/policies_guidelines/bp_behavguide.pdf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1"/>
        </w:rPr>
        <w:t>•  AAPD, contenção protetora: aapd.org/media/Policies_Guidelines/BP_Protective.pdf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1"/>
        </w:rPr>
        <w:t>•  BALIAN et al. (2021): ncbi.nlm.nih.gov/pmc/articles/PMC7832292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1"/>
        </w:rPr>
        <w:t>•  ALBHAISI et al. (2022): bmcoralhealth.biomedcentral.com/articles/10.1186/s12903-022-02200-7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1"/>
        </w:rPr>
        <w:t>•  CERMAK et al. (2015): pubmed.ncbi.nlm.nih.gov/25931290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1"/>
        </w:rPr>
        <w:t>•  STEIN DUKER et al. (2023): ncbi.nlm.nih.gov/pmc/articles/PMC10238943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sz w:val="21"/>
        </w:rPr>
        <w:t>•  DRUMOND et al. (2022): karger.com/cre/article/56/1/3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