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4E533E" w14:textId="77777777" w:rsidR="00443F0D" w:rsidRDefault="00443F0D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443F0D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CF4816F" w14:textId="77777777" w:rsidR="00443F0D" w:rsidRDefault="00087660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52F2B8CA" w14:textId="77777777" w:rsidR="00671A61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3B4A8401" w14:textId="77777777" w:rsidR="00671A61" w:rsidRDefault="00671A61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90056B" w14:textId="77777777" w:rsidR="00671A61" w:rsidRDefault="00671A61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B5ACA7" w14:textId="34B6DED9" w:rsidR="00443F0D" w:rsidRDefault="00087660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36092D5A" w14:textId="42D6C7A4" w:rsidR="00087660" w:rsidRDefault="00087660" w:rsidP="00443F0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6BA7DABF" w:rsidR="003E09A2" w:rsidRDefault="00443F0D" w:rsidP="00443F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70BE6512" w14:textId="77777777" w:rsidR="003E09A2" w:rsidRDefault="003E09A2" w:rsidP="00443F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075501" w14:textId="77777777" w:rsidR="00443F0D" w:rsidRDefault="00443F0D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443F0D" w:rsidSect="00443F0D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5F3A4942" w14:textId="77777777" w:rsidR="00671A61" w:rsidRPr="008311B2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5A194B5B" w14:textId="77777777" w:rsidR="00671A61" w:rsidRPr="00B9647D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Due Date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176CCEDB" w14:textId="77777777" w:rsidR="00671A61" w:rsidRPr="003B592E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{{SERIAL_NUMBER}}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Range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44487782" w14:textId="77777777" w:rsidR="00671A61" w:rsidRPr="00EB1EB9" w:rsidRDefault="00671A61" w:rsidP="00671A6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{{MANUFACTURER}}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004B1F5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6D22A0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 w:rsidR="006D22A0">
        <w:rPr>
          <w:rFonts w:ascii="TH SarabunPSK" w:hAnsi="TH SarabunPSK" w:cs="TH SarabunPSK"/>
          <w:sz w:val="32"/>
          <w:szCs w:val="32"/>
        </w:rPr>
        <w:tab/>
      </w:r>
      <w:r w:rsidR="006D22A0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r w:rsidR="006D22A0" w:rsidRPr="005A11A0">
        <w:rPr>
          <w:rFonts w:ascii="TH SarabunPSK" w:hAnsi="TH SarabunPSK" w:cs="TH SarabunPSK"/>
          <w:color w:val="EE0000"/>
          <w:sz w:val="32"/>
          <w:szCs w:val="32"/>
        </w:rPr>
        <w:t>{{APPROVER}}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70BC0306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967BAD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062B202F" w14:textId="77777777" w:rsidR="007E0879" w:rsidRDefault="007E0879" w:rsidP="007E0879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{{STANDARD_ASSET_NO}}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{{STANDARD_DESCRIPTION}}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{{STANDARD_MAKER_MODEL}}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{{STANDARD_SERIAL}}</w:t>
      </w:r>
    </w:p>
    <w:p w14:paraId="3F7E666B" w14:textId="77777777" w:rsidR="007E0879" w:rsidRPr="00CB1C14" w:rsidRDefault="007E0879" w:rsidP="007E0879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{{STANDARD_ASSET_NO_2}}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{{STANDARD_DESCRIPTION_2}}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{{STANDARD_MAKER_MODEL_2}}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{{STANDARD_SERIAL_2}}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2C57AA00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FC4CD9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3F326A9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>
        <w:rPr>
          <w:rFonts w:ascii="TH SarabunPSK" w:hAnsi="TH SarabunPSK" w:cs="TH SarabunPSK"/>
          <w:b/>
          <w:bCs/>
          <w:sz w:val="32"/>
          <w:szCs w:val="32"/>
        </w:rPr>
        <w:t>Torque Verification Type ||</w:t>
      </w:r>
    </w:p>
    <w:p w14:paraId="621F02F3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AC11126" w14:textId="77777777" w:rsidR="006B355E" w:rsidRPr="00486ED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CW</w:t>
      </w:r>
    </w:p>
    <w:p w14:paraId="3BBBB5B9" w14:textId="77777777" w:rsidR="006B355E" w:rsidRPr="00DA469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994"/>
        <w:gridCol w:w="2893"/>
      </w:tblGrid>
      <w:tr w:rsidR="006B355E" w:rsidRPr="00100F3C" w14:paraId="6350F769" w14:textId="77777777" w:rsidTr="00F83596">
        <w:trPr>
          <w:jc w:val="center"/>
        </w:trPr>
        <w:tc>
          <w:tcPr>
            <w:tcW w:w="2263" w:type="dxa"/>
          </w:tcPr>
          <w:p w14:paraId="2B3748A9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2127" w:type="dxa"/>
          </w:tcPr>
          <w:p w14:paraId="02EB35B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994" w:type="dxa"/>
          </w:tcPr>
          <w:p w14:paraId="147786EB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893" w:type="dxa"/>
          </w:tcPr>
          <w:p w14:paraId="487FA104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6B355E" w:rsidRPr="00100F3C" w14:paraId="69A1BE51" w14:textId="77777777" w:rsidTr="00F83596">
        <w:trPr>
          <w:jc w:val="center"/>
        </w:trPr>
        <w:tc>
          <w:tcPr>
            <w:tcW w:w="2263" w:type="dxa"/>
          </w:tcPr>
          <w:p w14:paraId="343052A2" w14:textId="3390AEF5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{{CW_SET}}</w:t>
            </w:r>
          </w:p>
        </w:tc>
        <w:tc>
          <w:tcPr>
            <w:tcW w:w="2127" w:type="dxa"/>
          </w:tcPr>
          <w:p w14:paraId="3CDEE260" w14:textId="5EC5031B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{{CW_ACTUAL}}</w:t>
            </w:r>
          </w:p>
        </w:tc>
        <w:tc>
          <w:tcPr>
            <w:tcW w:w="1994" w:type="dxa"/>
          </w:tcPr>
          <w:p w14:paraId="72A694FB" w14:textId="6852A37E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{{CW_ERROR}}</w:t>
            </w:r>
          </w:p>
        </w:tc>
        <w:tc>
          <w:tcPr>
            <w:tcW w:w="2893" w:type="dxa"/>
          </w:tcPr>
          <w:p w14:paraId="7BAE528C" w14:textId="33D2161D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{{CW_TOLERANCE_LIMIT}}</w:t>
            </w:r>
          </w:p>
        </w:tc>
      </w:tr>
      <w:tr w:rsidR="006B355E" w14:paraId="0864769C" w14:textId="77777777" w:rsidTr="00F83596">
        <w:trPr>
          <w:jc w:val="center"/>
        </w:trPr>
        <w:tc>
          <w:tcPr>
            <w:tcW w:w="2263" w:type="dxa"/>
          </w:tcPr>
          <w:p w14:paraId="7D0F1432" w14:textId="1E879A0E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{{CW_SET_2}}</w:t>
            </w:r>
          </w:p>
        </w:tc>
        <w:tc>
          <w:tcPr>
            <w:tcW w:w="2127" w:type="dxa"/>
          </w:tcPr>
          <w:p w14:paraId="4686BC26" w14:textId="6D4B49B5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{{CW_ACTUAL_2}}</w:t>
            </w:r>
          </w:p>
        </w:tc>
        <w:tc>
          <w:tcPr>
            <w:tcW w:w="1994" w:type="dxa"/>
          </w:tcPr>
          <w:p w14:paraId="39ECCC8E" w14:textId="7430EF6B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{{CW_ERROR_2}}</w:t>
            </w:r>
          </w:p>
        </w:tc>
        <w:tc>
          <w:tcPr>
            <w:tcW w:w="2893" w:type="dxa"/>
          </w:tcPr>
          <w:p w14:paraId="4C7039C1" w14:textId="136FD547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{{CW_TOLERANCE_LIMIT_2}}</w:t>
            </w:r>
          </w:p>
        </w:tc>
      </w:tr>
      <w:tr w:rsidR="006B355E" w14:paraId="0B59D053" w14:textId="77777777" w:rsidTr="00F83596">
        <w:trPr>
          <w:jc w:val="center"/>
        </w:trPr>
        <w:tc>
          <w:tcPr>
            <w:tcW w:w="2263" w:type="dxa"/>
          </w:tcPr>
          <w:p w14:paraId="1126FBD1" w14:textId="0350E35D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{{CW_SET_3}}</w:t>
            </w:r>
          </w:p>
        </w:tc>
        <w:tc>
          <w:tcPr>
            <w:tcW w:w="2127" w:type="dxa"/>
          </w:tcPr>
          <w:p w14:paraId="1F973CCC" w14:textId="6FA73A26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{{CW_ACTUAL_3}}</w:t>
            </w:r>
          </w:p>
        </w:tc>
        <w:tc>
          <w:tcPr>
            <w:tcW w:w="1994" w:type="dxa"/>
          </w:tcPr>
          <w:p w14:paraId="0804169C" w14:textId="75246E3C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{{CW_ERROR_3}}</w:t>
            </w:r>
          </w:p>
        </w:tc>
        <w:tc>
          <w:tcPr>
            <w:tcW w:w="2893" w:type="dxa"/>
          </w:tcPr>
          <w:p w14:paraId="1FE41080" w14:textId="3728CB31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{{CW_TOLERANCE_LIMIT_3}}</w:t>
            </w:r>
          </w:p>
        </w:tc>
      </w:tr>
    </w:tbl>
    <w:p w14:paraId="0EE68838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D047EC5" w14:textId="77777777" w:rsidR="006B355E" w:rsidRPr="00486ED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CCW</w:t>
      </w:r>
    </w:p>
    <w:p w14:paraId="70802EC5" w14:textId="77777777" w:rsidR="006B355E" w:rsidRPr="00DA469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994"/>
        <w:gridCol w:w="3023"/>
      </w:tblGrid>
      <w:tr w:rsidR="006B355E" w:rsidRPr="00100F3C" w14:paraId="531B2E0E" w14:textId="77777777" w:rsidTr="00F83596">
        <w:trPr>
          <w:jc w:val="center"/>
        </w:trPr>
        <w:tc>
          <w:tcPr>
            <w:tcW w:w="2263" w:type="dxa"/>
          </w:tcPr>
          <w:p w14:paraId="008F284B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2127" w:type="dxa"/>
          </w:tcPr>
          <w:p w14:paraId="0F0967F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994" w:type="dxa"/>
          </w:tcPr>
          <w:p w14:paraId="76E53FD9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3023" w:type="dxa"/>
          </w:tcPr>
          <w:p w14:paraId="53CF4F1F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6B355E" w:rsidRPr="00100F3C" w14:paraId="2B518472" w14:textId="77777777" w:rsidTr="00F83596">
        <w:trPr>
          <w:jc w:val="center"/>
        </w:trPr>
        <w:tc>
          <w:tcPr>
            <w:tcW w:w="2263" w:type="dxa"/>
          </w:tcPr>
          <w:p w14:paraId="54C2A81A" w14:textId="32024775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{{CCW_SET}}</w:t>
            </w:r>
          </w:p>
        </w:tc>
        <w:tc>
          <w:tcPr>
            <w:tcW w:w="2127" w:type="dxa"/>
          </w:tcPr>
          <w:p w14:paraId="4AB7BF31" w14:textId="66ED014B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{{CCW_AVG}}</w:t>
            </w:r>
          </w:p>
        </w:tc>
        <w:tc>
          <w:tcPr>
            <w:tcW w:w="1994" w:type="dxa"/>
          </w:tcPr>
          <w:p w14:paraId="45033E00" w14:textId="6DE56970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{{CCW_ERROR}}</w:t>
            </w:r>
          </w:p>
        </w:tc>
        <w:tc>
          <w:tcPr>
            <w:tcW w:w="3023" w:type="dxa"/>
          </w:tcPr>
          <w:p w14:paraId="286E5221" w14:textId="75CB9E7D" w:rsidR="006B355E" w:rsidRPr="00100F3C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A41CCB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{{CCW_TOLERANCE_LIMIT}}</w:t>
            </w:r>
          </w:p>
        </w:tc>
      </w:tr>
      <w:tr w:rsidR="006B355E" w14:paraId="5D9D21DD" w14:textId="77777777" w:rsidTr="00F83596">
        <w:trPr>
          <w:jc w:val="center"/>
        </w:trPr>
        <w:tc>
          <w:tcPr>
            <w:tcW w:w="2263" w:type="dxa"/>
          </w:tcPr>
          <w:p w14:paraId="7152D5B0" w14:textId="2B184626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{{CCW_SET_2}}</w:t>
            </w:r>
          </w:p>
        </w:tc>
        <w:tc>
          <w:tcPr>
            <w:tcW w:w="2127" w:type="dxa"/>
          </w:tcPr>
          <w:p w14:paraId="11DCBDB2" w14:textId="30609D4C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{{CCW_ACTUAL_2}}</w:t>
            </w:r>
          </w:p>
        </w:tc>
        <w:tc>
          <w:tcPr>
            <w:tcW w:w="1994" w:type="dxa"/>
          </w:tcPr>
          <w:p w14:paraId="5C6619C6" w14:textId="08E951AF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{{CCW_ERROR_2}}</w:t>
            </w:r>
          </w:p>
        </w:tc>
        <w:tc>
          <w:tcPr>
            <w:tcW w:w="3023" w:type="dxa"/>
          </w:tcPr>
          <w:p w14:paraId="53F79F0A" w14:textId="460D99B2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{{CCW_TOLERANCE_LIMIT_2}}</w:t>
            </w:r>
          </w:p>
        </w:tc>
      </w:tr>
      <w:tr w:rsidR="006B355E" w14:paraId="47024820" w14:textId="77777777" w:rsidTr="00F83596">
        <w:trPr>
          <w:jc w:val="center"/>
        </w:trPr>
        <w:tc>
          <w:tcPr>
            <w:tcW w:w="2263" w:type="dxa"/>
          </w:tcPr>
          <w:p w14:paraId="70291651" w14:textId="34FCC702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{{CCW_SET_3}}</w:t>
            </w:r>
          </w:p>
        </w:tc>
        <w:tc>
          <w:tcPr>
            <w:tcW w:w="2127" w:type="dxa"/>
          </w:tcPr>
          <w:p w14:paraId="734A0501" w14:textId="7C8394AB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{{CCW_ACTUAL_3}}</w:t>
            </w:r>
          </w:p>
        </w:tc>
        <w:tc>
          <w:tcPr>
            <w:tcW w:w="1994" w:type="dxa"/>
          </w:tcPr>
          <w:p w14:paraId="79AEE0A2" w14:textId="71F0415A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{{CCW_ERROR_3}}</w:t>
            </w:r>
          </w:p>
        </w:tc>
        <w:tc>
          <w:tcPr>
            <w:tcW w:w="3023" w:type="dxa"/>
          </w:tcPr>
          <w:p w14:paraId="44ECAEFF" w14:textId="03F17414" w:rsidR="006B355E" w:rsidRDefault="00A41CCB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1CCB">
              <w:rPr>
                <w:rFonts w:ascii="TH SarabunPSK" w:hAnsi="TH SarabunPSK" w:cs="TH SarabunPSK"/>
                <w:sz w:val="32"/>
                <w:szCs w:val="32"/>
              </w:rPr>
              <w:t>{{CCW_TOLERANCE_LIMIT_3}}</w:t>
            </w:r>
          </w:p>
        </w:tc>
      </w:tr>
    </w:tbl>
    <w:p w14:paraId="5D798D8E" w14:textId="77777777" w:rsidR="006B355E" w:rsidRPr="00B5043B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B3877B9" w14:textId="77777777" w:rsidR="006B355E" w:rsidRDefault="006B355E" w:rsidP="006B355E"/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443F0D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63173"/>
    <w:rsid w:val="002C0FB5"/>
    <w:rsid w:val="003A211D"/>
    <w:rsid w:val="003E09A2"/>
    <w:rsid w:val="00401BCB"/>
    <w:rsid w:val="00443F0D"/>
    <w:rsid w:val="00486EDC"/>
    <w:rsid w:val="004E07BA"/>
    <w:rsid w:val="00622408"/>
    <w:rsid w:val="00671A61"/>
    <w:rsid w:val="006B355E"/>
    <w:rsid w:val="006D22A0"/>
    <w:rsid w:val="007E0879"/>
    <w:rsid w:val="00967BAD"/>
    <w:rsid w:val="00976625"/>
    <w:rsid w:val="009D5F88"/>
    <w:rsid w:val="00A23A8A"/>
    <w:rsid w:val="00A41CCB"/>
    <w:rsid w:val="00A85B69"/>
    <w:rsid w:val="00B17373"/>
    <w:rsid w:val="00B3783F"/>
    <w:rsid w:val="00B5043B"/>
    <w:rsid w:val="00B9647D"/>
    <w:rsid w:val="00BE6C7A"/>
    <w:rsid w:val="00C1024E"/>
    <w:rsid w:val="00CB3A34"/>
    <w:rsid w:val="00D0752A"/>
    <w:rsid w:val="00D22D92"/>
    <w:rsid w:val="00DA469C"/>
    <w:rsid w:val="00F675B3"/>
    <w:rsid w:val="00F8014C"/>
    <w:rsid w:val="00F83596"/>
    <w:rsid w:val="00FB2573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13</cp:revision>
  <dcterms:created xsi:type="dcterms:W3CDTF">2025-09-20T13:29:00Z</dcterms:created>
  <dcterms:modified xsi:type="dcterms:W3CDTF">2025-10-02T01:06:00Z</dcterms:modified>
</cp:coreProperties>
</file>