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inux Biolinum O" w:cs="Linux Biolinum O" w:eastAsia="Linux Biolinum O" w:hAnsi="Linux Biolinum O"/>
          <w:b w:val="1"/>
          <w:bCs w:val="1"/>
          <w:i w:val="0"/>
          <w:iCs w:val="0"/>
          <w:smallCaps w:val="0"/>
          <w:strike w:val="0"/>
          <w:color w:val="000000"/>
          <w:sz w:val="24"/>
          <w:szCs w:val="24"/>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0"/>
          <w:strike w:val="0"/>
          <w:color w:val="000000"/>
          <w:sz w:val="24"/>
          <w:szCs w:val="24"/>
          <w:u w:val="none"/>
          <w:shd w:fill="auto" w:val="clear"/>
          <w:vertAlign w:val="baseline"/>
          <w:rtl w:val="0"/>
        </w:rPr>
        <w:t xml:space="preserve">Explainable AI in Grassroots Sports: Designing Tactical Software for Low-Resource Football Teams</w:t>
      </w: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b w:val="0"/>
          <w:bCs w:val="0"/>
          <w:i w:val="0"/>
          <w:iCs w:val="0"/>
          <w:rtl w:val="0"/>
        </w:rPr>
        <w:t xml:space="preserve">A Concept Paper and Human-Centered Research Design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Pr>
      </w:pPr>
      <w:r w:rsidDel="00000000" w:rsidR="00000000" w:rsidRPr="00000000">
        <w:rPr>
          <w:rFonts w:ascii="Linux Biolinum O" w:cs="Linux Biolinum O" w:eastAsia="Linux Biolinum O" w:hAnsi="Linux Biolinum O"/>
          <w:smallCaps w:val="1"/>
          <w:rtl w:val="0"/>
        </w:rPr>
        <w:t xml:space="preserve">Thanakrit Numnaun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Department of Computer Engineering, Faculty of Engineering, Chulalongkorn University, Bangkok, Thailand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6733101021@student.chula.ac.th</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Pr>
      </w:pPr>
      <w:r w:rsidDel="00000000" w:rsidR="00000000" w:rsidRPr="00000000">
        <w:rPr>
          <w:rFonts w:ascii="Linux Biolinum O" w:cs="Linux Biolinum O" w:eastAsia="Linux Biolinum O" w:hAnsi="Linux Biolinum O"/>
          <w:smallCaps w:val="1"/>
          <w:rtl w:val="0"/>
        </w:rPr>
        <w:t xml:space="preserve">Thanpisit</w:t>
      </w:r>
      <w:r w:rsidDel="00000000" w:rsidR="00000000" w:rsidRPr="00000000">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tl w:val="0"/>
        </w:rPr>
        <w:t xml:space="preserve"> </w:t>
      </w:r>
      <w:r w:rsidDel="00000000" w:rsidR="00000000" w:rsidRPr="00000000">
        <w:rPr>
          <w:rFonts w:ascii="Linux Biolinum O" w:cs="Linux Biolinum O" w:eastAsia="Linux Biolinum O" w:hAnsi="Linux Biolinum O"/>
          <w:smallCaps w:val="1"/>
          <w:rtl w:val="0"/>
        </w:rPr>
        <w:t xml:space="preserve">Mukkhan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Department of Computer Engineering, Faculty of Engineering, Chulalongkorn University, Bangkok, Thailand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6733106221@student.chula.ac.th</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Pr>
      </w:pPr>
      <w:r w:rsidDel="00000000" w:rsidR="00000000" w:rsidRPr="00000000">
        <w:rPr>
          <w:rFonts w:ascii="Linux Biolinum O" w:cs="Linux Biolinum O" w:eastAsia="Linux Biolinum O" w:hAnsi="Linux Biolinum O"/>
          <w:smallCaps w:val="1"/>
          <w:rtl w:val="0"/>
        </w:rPr>
        <w:t xml:space="preserve">Nonthawat Makdee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Department of Computer Engineering, Faculty of Engineering, Chulalongkorn University, Bangkok, Thailand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6733115921@student.chula.ac.th</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59" w:lineRule="auto"/>
        <w:ind w:left="0" w:right="0" w:firstLine="0"/>
        <w:jc w:val="left"/>
        <w:rPr>
          <w:rFonts w:ascii="Linux Biolinum O" w:cs="Linux Biolinum O" w:eastAsia="Linux Biolinum O" w:hAnsi="Linux Biolinum O"/>
          <w:b w:val="0"/>
          <w:bCs w:val="0"/>
          <w:i w:val="0"/>
          <w:iCs w:val="0"/>
          <w:smallCaps w:val="1"/>
          <w:strike w:val="0"/>
          <w:color w:val="000000"/>
          <w:sz w:val="22"/>
          <w:szCs w:val="22"/>
          <w:u w:val="none"/>
          <w:shd w:fill="auto" w:val="clear"/>
          <w:vertAlign w:val="baseline"/>
        </w:rPr>
      </w:pPr>
      <w:r w:rsidDel="00000000" w:rsidR="00000000" w:rsidRPr="00000000">
        <w:rPr>
          <w:rFonts w:ascii="Linux Biolinum O" w:cs="Linux Biolinum O" w:eastAsia="Linux Biolinum O" w:hAnsi="Linux Biolinum O"/>
          <w:smallCaps w:val="1"/>
          <w:rtl w:val="0"/>
        </w:rPr>
        <w:t xml:space="preserve">Akkaranat Thanathammanan</w:t>
      </w:r>
      <w:r w:rsidDel="00000000" w:rsidR="00000000" w:rsidRPr="00000000">
        <w:rPr>
          <w:rtl w:val="0"/>
        </w:rPr>
      </w:r>
    </w:p>
    <w:p w:rsidR="00000000" w:rsidDel="00000000" w:rsidP="00000000" w:rsidRDefault="00000000" w:rsidRPr="00000000" w14:paraId="0000000D">
      <w:pPr>
        <w:spacing w:after="0" w:before="60" w:lineRule="auto"/>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Department of Computer Engineering, Faculty of Engineering, Chulalongkorn University, Bangkok, Thailand</w:t>
      </w:r>
    </w:p>
    <w:p w:rsidR="00000000" w:rsidDel="00000000" w:rsidP="00000000" w:rsidRDefault="00000000" w:rsidRPr="00000000" w14:paraId="0000000E">
      <w:pPr>
        <w:spacing w:after="0" w:before="60" w:lineRule="auto"/>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6733290021@student.chula.ac.th</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Grassroots football teams increasingly operate in a digital environment shaped by artificial intelligence, video analytics, and data-driven coaching. However, most current systems remain optimized for professional clubs that can afford specialist analysts, dense tracking data, and complex software ecosystems. This paper argues that the key research challenge is not merely whether artificial intelligence can model football tactics, but whether tactical intelligence can be translated into affordable, interpretable, and coach-friendly software for low-resource teams. Drawing on literature from football analytics, sports artificial intelligence, explainable artificial intelligence, and human-computer interaction, the paper synthesizes the state of knowledge and identifies a specific gap around explainable, team-level tactical support for grassroots football. The manuscript then proposes a design-oriented, mixed-methods methodology for developing and evaluating a low-cost software prototype that uses ordinary video to support tactical review. The proposed system focuses on team shape, spacing, defensive organization, pressing structure, transitions, and off-ball support, while explicitly excluding broad personal training, fitness, nutrition, or rehabilitation functions. The paper contributes a scoped research agenda, a theory-informed design rationale, and a practical development and evaluation plan for explainable tactical software in grassroots sport.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59" w:lineRule="auto"/>
        <w:ind w:left="0" w:right="0" w:firstLine="0"/>
        <w:jc w:val="both"/>
        <w:rPr>
          <w:rFonts w:ascii="Linux Libertine O" w:cs="Linux Libertine O" w:eastAsia="Linux Libertine O" w:hAnsi="Linux Libertine O"/>
          <w:b w:val="1"/>
          <w:bCs w:val="1"/>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CCS CONCEPTS • Human-centered computing~Interaction design • Computing methodologies~Computer vision • Applied computing~Sports science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Additional Keywords and Phrases: explainable AI, grassroots football, tactical analysis, low-resource teams, sports analytics, human-centered design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9" w:lineRule="auto"/>
        <w:ind w:left="0" w:right="0" w:firstLine="0"/>
        <w:jc w:val="both"/>
        <w:rPr>
          <w:rFonts w:ascii="Linux Libertine O" w:cs="Linux Libertine O" w:eastAsia="Linux Libertine O" w:hAnsi="Linux Libertine O"/>
          <w:b w:val="1"/>
          <w:bCs w:val="1"/>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ACM Reference Format: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59" w:lineRule="auto"/>
        <w:ind w:left="0" w:right="0" w:firstLine="0"/>
        <w:jc w:val="both"/>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sz w:val="16"/>
          <w:szCs w:val="16"/>
          <w:rtl w:val="0"/>
        </w:rPr>
        <w:t xml:space="preserve">Thanakrit Numnaun, Thanpisit Mukkhan, Nonthawat Makdee, and Akkaranat Thanathammanan. 2026. Explainable AI in Grassroots Sports: Designing Tactical Software for Low-Resource Football Teams. A Concept Paper and Human-Centered Research Design. Unpublished manuscript prepared in the ACM one-column submission format.</w:t>
      </w: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1"/>
          <w:strike w:val="0"/>
          <w:color w:val="000000"/>
          <w:sz w:val="18"/>
          <w:szCs w:val="1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Artificial intelligence has become one of the defining technologies in contemporary sport. Across professional clubs, universities, and sports-tech companies, machine learning, computer vision, and sensor-rich analytics are increasingly used to model performance, automate video review, estimate injury risk, and support decision-making. Yet the diffusion of these tools has been uneven. The most sophisticated systems remain tied to environments with abundant data, specialist staff, and stable technical infrastructure. Grassroots football teams, by contrast, often operate with volunteer coaches, limited budgets, inconsistent recording practices, and little time to interpret complex dashboards. This mismatch creates a practical and research problem: although artificial intelligence promises to democratize access to advanced analysis, many teams that might benefit most from decision support are the least likely to use existing systems effectively.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This paper addresses that problem by focusing on explainable tactical software for low-resource football teams. The central premise is that grassroots football does not need a diluted copy of elite analytics. Instead, it needs tools designed for its own constraints and routines: ordinary video rather than dense tracking data, a small number of tactically meaningful outputs rather than hundreds of metrics, and explanations that help coaches and players understand why a clip has been flagged. In this framing, explainability is not a cosmetic interface feature. It is a core design requirement because coaches must be able to understand, trust, and act on the system’s recommendations without data science expertise.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 paper has four aims. First, it synthesizes relevant scholarship across football tactical analysis, sports AI, XAI, and human-computer interaction. Second, it scopes the research problem in a way that distinguishes tactical coaching support from broader personal training and fitness applications. Third, it proposes a human-centered methodology for designing and evaluating a prototype system. Fourth, it articulates the expected theoretical and practical contributions of this work for grassroots sport. Rather than reporting completed empirical findings, the manuscript should be read as a concept paper and research-design proposal grounded in the current state of the literature.</w:t>
      </w:r>
    </w:p>
    <w:p w:rsidR="00000000" w:rsidDel="00000000" w:rsidP="00000000" w:rsidRDefault="00000000" w:rsidRPr="00000000" w14:paraId="0000001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1"/>
          <w:strike w:val="0"/>
          <w:color w:val="000000"/>
          <w:sz w:val="18"/>
          <w:szCs w:val="18"/>
          <w:u w:val="none"/>
          <w:shd w:fill="auto" w:val="clear"/>
          <w:vertAlign w:val="baseline"/>
          <w:rtl w:val="0"/>
        </w:rPr>
        <w:t xml:space="preserve">Background and Research Context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Recent policy and review literature suggests that AI is no longer confined to elite performance departments. The European Commission’s report on AI in the sport sector frames AI as relevant to grassroots sport, professional sport, and fan engagement, while broader systematic reviews show that AI methods are now being used across performance analysis, injury prevention, rehabilitation, and digital coaching support. At the same time, the move from elite experimentation to everyday sporting practice remains uneven. Reviews of sports AI continue to emphasize opacity, practical deployment challenges, and the difficulty of transferring promising algorithms from controlled studies into real coaching environments.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 grassroots context is especially important because it exposes the limits of a technology-first perspective. The DigiRoot project’s desk research on digitalisation in grassroots sport clubs shows that clubs differ widely in digital maturity, with recurrent constraints around staffing, resources, and capability. Wang’s study of alumni football in China makes a similar point from a football-specific perspective: digital transformation in amateur and non-professional football remains underdeveloped, even though these contexts are crucial to inclusive sports ecosystems. Together, these sources show that the relevant question is not simply whether AI can be used in sport, but how it can be made usable in settings where expertise, infrastructure, and time are limited.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This context is highly relevant for football. Football is analytically attractive because tactical behavior is spatial, collective, dynamic, and rich in observable video evidence. However, it is also difficult to model in a way that yields actionable insights for grassroots coaches. Team performance depends on inter-player coordination, shape, timing, adaptation, and opponent interaction, which are harder to explain than isolated skill outputs. A useful grassroots system must therefore balance analytical ambition with interface clarity and operational realism.</w:t>
      </w:r>
    </w:p>
    <w:p w:rsidR="00000000" w:rsidDel="00000000" w:rsidP="00000000" w:rsidRDefault="00000000" w:rsidRPr="00000000" w14:paraId="0000001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1"/>
          <w:strike w:val="0"/>
          <w:color w:val="000000"/>
          <w:sz w:val="18"/>
          <w:szCs w:val="18"/>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01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0"/>
          <w:strike w:val="0"/>
          <w:color w:val="000000"/>
          <w:sz w:val="18"/>
          <w:szCs w:val="18"/>
          <w:u w:val="none"/>
          <w:shd w:fill="auto" w:val="clear"/>
          <w:vertAlign w:val="baseline"/>
          <w:rtl w:val="0"/>
        </w:rPr>
        <w:t xml:space="preserve">From positional data to collective tactical behaviour</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 foundations of contemporary tactical analytics in football were laid by work on positional and spatiotemporal data. Memmert, Lemmink, and Sampaio (2017) showed how position data could be used to analyze inter-player coordination, inter-team relations, and compactness, while Low et al. (2020) synthesized 77 studies and identified a broad shift toward collective tactical behaviour as the main unit of analysis. This stream of work matters because it moves football analysis away from isolated actions and toward coordinated team dynamics. For the present study, it establishes that tactical issues such as spacing, synchronisation, and structural balance are measurable and interpretable dimensions of play rather than purely intuitive coaching impressions.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Later studies extended these insights into more computational forms. Kröckel and Bodendorf (2020) used process mining to derive tactical insights from event sequences. Andrienko et al. (2021) developed visual-analytic techniques for constructing spaces and times that help analysts understand coordinated movement in football. Goes et al. (2021) translated offensive principles of play into spatiotemporal features and used them to predict match outcome from tracking data, explicitly arguing for decision-support applications. Ötting and Karlis (2023) then proposed a hidden Markov model framework for classifying tactics from tracking data using effective playing space. Together, these studies show that tactical behaviour can be represented computationally in forms suitable for automation, visualization, and decision support.</w:t>
      </w:r>
    </w:p>
    <w:p w:rsidR="00000000" w:rsidDel="00000000" w:rsidP="00000000" w:rsidRDefault="00000000" w:rsidRPr="00000000" w14:paraId="0000002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0"/>
          <w:strike w:val="0"/>
          <w:color w:val="000000"/>
          <w:sz w:val="18"/>
          <w:szCs w:val="18"/>
          <w:u w:val="none"/>
          <w:shd w:fill="auto" w:val="clear"/>
          <w:vertAlign w:val="baseline"/>
          <w:rtl w:val="0"/>
        </w:rPr>
        <w:t xml:space="preserve">Recent AI advances in football tactical analytics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Football AI has developed rapidly in the last few years. Teixeira et al. (2025) mapped 32 studies on AI-based tactical behaviour, collective dynamics, and movement patterns in football after screening 2,548 records. Alves et al. (2025) similarly reviewed social network analysis in football and showed how passing structures and interaction networks are used to explain performance and tactical organization. These reviews position football analytics as an increasingly mature field spanning neural networks, deep learning, time-series analysis, social network analysis, and hybrid statistical approaches.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 most prominent recent example is TacticAI. Developed in collaboration with Liverpool FC, TacticAI combines predictive and generative components for corner-kick analysis and recommendation, and expert raters preferred its suggestions over existing tactics 90% of the time (Wang et al. 2024). This study is especially important because it demonstrates that AI can support genuine tactical decision-making rather than only post hoc statistical description. However, it also illustrates the current boundary of the field: its data, evaluation, and institutional collaboration are rooted in an elite professional environment. The same is true for many high-performing football models, which assume access to tracking data, event streams, expert labels, and technically fluent analysts.</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59" w:lineRule="auto"/>
        <w:ind w:left="0" w:right="0" w:firstLine="0"/>
        <w:jc w:val="center"/>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0"/>
          <w:strike w:val="0"/>
          <w:color w:val="000000"/>
          <w:sz w:val="16"/>
          <w:szCs w:val="16"/>
          <w:u w:val="none"/>
          <w:shd w:fill="auto" w:val="clear"/>
          <w:vertAlign w:val="baseline"/>
          <w:rtl w:val="0"/>
        </w:rPr>
        <w:t xml:space="preserve">Table 1: Summary of the main literature streams informing the present study</w:t>
      </w:r>
    </w:p>
    <w:tbl>
      <w:tblPr>
        <w:tblStyle w:val="Table1"/>
        <w:tblW w:w="8760.0" w:type="dxa"/>
        <w:jc w:val="center"/>
        <w:tblBorders>
          <w:top w:color="b9c3d2" w:space="0" w:sz="4" w:val="single"/>
          <w:left w:color="b9c3d2" w:space="0" w:sz="4" w:val="single"/>
          <w:bottom w:color="b9c3d2" w:space="0" w:sz="4" w:val="single"/>
          <w:right w:color="b9c3d2" w:space="0" w:sz="4" w:val="single"/>
          <w:insideH w:color="b9c3d2" w:space="0" w:sz="4" w:val="single"/>
          <w:insideV w:color="b9c3d2" w:space="0" w:sz="4" w:val="single"/>
        </w:tblBorders>
        <w:tblLayout w:type="fixed"/>
        <w:tblLook w:val="0400"/>
      </w:tblPr>
      <w:tblGrid>
        <w:gridCol w:w="2920"/>
        <w:gridCol w:w="2920"/>
        <w:gridCol w:w="2920"/>
        <w:tblGridChange w:id="0">
          <w:tblGrid>
            <w:gridCol w:w="2920"/>
            <w:gridCol w:w="2920"/>
            <w:gridCol w:w="2920"/>
          </w:tblGrid>
        </w:tblGridChange>
      </w:tblGrid>
      <w:tr>
        <w:trPr>
          <w:cantSplit w:val="0"/>
          <w:tblHeader w:val="1"/>
        </w:trPr>
        <w:tc>
          <w:tcPr>
            <w:shd w:fill="dce6f2" w:val="clear"/>
            <w:tcMar>
              <w:top w:w="90.0" w:type="dxa"/>
              <w:left w:w="90.0" w:type="dxa"/>
              <w:bottom w:w="90.0" w:type="dxa"/>
              <w:right w:w="90.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center"/>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1"/>
                <w:bCs w:val="1"/>
                <w:i w:val="0"/>
                <w:iCs w:val="0"/>
                <w:smallCaps w:val="0"/>
                <w:strike w:val="0"/>
                <w:color w:val="000000"/>
                <w:sz w:val="16"/>
                <w:szCs w:val="16"/>
                <w:u w:val="none"/>
                <w:shd w:fill="auto" w:val="clear"/>
                <w:vertAlign w:val="baseline"/>
                <w:rtl w:val="0"/>
              </w:rPr>
              <w:t xml:space="preserve">Literature stream</w:t>
            </w:r>
            <w:r w:rsidDel="00000000" w:rsidR="00000000" w:rsidRPr="00000000">
              <w:rPr>
                <w:rtl w:val="0"/>
              </w:rPr>
            </w:r>
          </w:p>
        </w:tc>
        <w:tc>
          <w:tcPr>
            <w:shd w:fill="dce6f2" w:val="clear"/>
            <w:tcMar>
              <w:top w:w="90.0" w:type="dxa"/>
              <w:left w:w="90.0" w:type="dxa"/>
              <w:bottom w:w="90.0" w:type="dxa"/>
              <w:right w:w="90.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center"/>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1"/>
                <w:bCs w:val="1"/>
                <w:i w:val="0"/>
                <w:iCs w:val="0"/>
                <w:smallCaps w:val="0"/>
                <w:strike w:val="0"/>
                <w:color w:val="000000"/>
                <w:sz w:val="16"/>
                <w:szCs w:val="16"/>
                <w:u w:val="none"/>
                <w:shd w:fill="auto" w:val="clear"/>
                <w:vertAlign w:val="baseline"/>
                <w:rtl w:val="0"/>
              </w:rPr>
              <w:t xml:space="preserve">Representative studies</w:t>
            </w:r>
            <w:r w:rsidDel="00000000" w:rsidR="00000000" w:rsidRPr="00000000">
              <w:rPr>
                <w:rtl w:val="0"/>
              </w:rPr>
            </w:r>
          </w:p>
        </w:tc>
        <w:tc>
          <w:tcPr>
            <w:shd w:fill="dce6f2" w:val="clear"/>
            <w:tcMar>
              <w:top w:w="90.0" w:type="dxa"/>
              <w:left w:w="90.0" w:type="dxa"/>
              <w:bottom w:w="90.0" w:type="dxa"/>
              <w:right w:w="90.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center"/>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1"/>
                <w:bCs w:val="1"/>
                <w:i w:val="0"/>
                <w:iCs w:val="0"/>
                <w:smallCaps w:val="0"/>
                <w:strike w:val="0"/>
                <w:color w:val="000000"/>
                <w:sz w:val="16"/>
                <w:szCs w:val="16"/>
                <w:u w:val="none"/>
                <w:shd w:fill="auto" w:val="clear"/>
                <w:vertAlign w:val="baseline"/>
                <w:rtl w:val="0"/>
              </w:rPr>
              <w:t xml:space="preserve">Implication for this paper</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Football tactical analytics</w:t>
            </w:r>
          </w:p>
        </w:tc>
        <w:tc>
          <w:tcPr>
            <w:tcMar>
              <w:top w:w="90.0" w:type="dxa"/>
              <w:left w:w="90.0" w:type="dxa"/>
              <w:bottom w:w="90.0" w:type="dxa"/>
              <w:right w:w="9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Memmert et al. (2017); Low et al. (2020); Andrienko et al. (2021); Goes et al. (2021); Ötting and Karlis (2023); Teixeira et al. (2025)</w:t>
            </w:r>
          </w:p>
        </w:tc>
        <w:tc>
          <w:tcPr>
            <w:tcMar>
              <w:top w:w="90.0" w:type="dxa"/>
              <w:left w:w="90.0" w:type="dxa"/>
              <w:bottom w:w="90.0" w:type="dxa"/>
              <w:right w:w="90.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Shows that team shape, spacing, synchronisation, and collective behaviour can be modelled computationally from position, tracking, and video data.</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Accessible and grassroots digitalisation</w:t>
            </w:r>
          </w:p>
        </w:tc>
        <w:tc>
          <w:tcPr>
            <w:tcMar>
              <w:top w:w="90.0" w:type="dxa"/>
              <w:left w:w="90.0" w:type="dxa"/>
              <w:bottom w:w="90.0" w:type="dxa"/>
              <w:right w:w="9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European Commission (2025); DigiRoot Project Consortium (2024); Wang (2025); Onuigbo (2026)</w:t>
            </w:r>
          </w:p>
        </w:tc>
        <w:tc>
          <w:tcPr>
            <w:tcMar>
              <w:top w:w="90.0" w:type="dxa"/>
              <w:left w:w="90.0" w:type="dxa"/>
              <w:bottom w:w="90.0" w:type="dxa"/>
              <w:right w:w="9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Shows that grassroots clubs face different priorities and constraints from elite teams and need lower-cost, easier-to-use tools.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Explainability, trust, and adoption</w:t>
            </w:r>
          </w:p>
        </w:tc>
        <w:tc>
          <w:tcPr>
            <w:tcMar>
              <w:top w:w="90.0" w:type="dxa"/>
              <w:left w:w="90.0" w:type="dxa"/>
              <w:bottom w:w="90.0" w:type="dxa"/>
              <w:right w:w="90.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Wachholz et al. (2025); Dindorf et al. (2025); Kranzinger et al. (2026); Camilleri et al. (2025)</w:t>
            </w:r>
          </w:p>
        </w:tc>
        <w:tc>
          <w:tcPr>
            <w:tcMar>
              <w:top w:w="90.0" w:type="dxa"/>
              <w:left w:w="90.0" w:type="dxa"/>
              <w:bottom w:w="90.0" w:type="dxa"/>
              <w:right w:w="90.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Shows that explainability shapes trust, uptake, and practical usefulness for coaches and non-expert users.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HCI and training-technology design</w:t>
            </w:r>
          </w:p>
        </w:tc>
        <w:tc>
          <w:tcPr>
            <w:tcMar>
              <w:top w:w="90.0" w:type="dxa"/>
              <w:left w:w="90.0" w:type="dxa"/>
              <w:bottom w:w="90.0" w:type="dxa"/>
              <w:right w:w="9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Postma et al. (2022); Smith, Scheme, and Bateman (2025); Liu, Wang, and Zhou (2021)</w:t>
            </w:r>
          </w:p>
        </w:tc>
        <w:tc>
          <w:tcPr>
            <w:tcMar>
              <w:top w:w="90.0" w:type="dxa"/>
              <w:left w:w="90.0" w:type="dxa"/>
              <w:bottom w:w="90.0" w:type="dxa"/>
              <w:right w:w="9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left"/>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6"/>
                <w:szCs w:val="16"/>
                <w:u w:val="none"/>
                <w:shd w:fill="auto" w:val="clear"/>
                <w:vertAlign w:val="baseline"/>
                <w:rtl w:val="0"/>
              </w:rPr>
              <w:t xml:space="preserve">Provides design principles for translating analytics into understandable, coach-centred feedback and review workflows.</w:t>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literature converges on a consistent design challenge: technically capable AI systems exist, but few are designed for grassroots coaches who need low-cost, team-level tactical explanations rather than black-box outputs.</w:t>
      </w:r>
    </w:p>
    <w:p w:rsidR="00000000" w:rsidDel="00000000" w:rsidP="00000000" w:rsidRDefault="00000000" w:rsidRPr="00000000" w14:paraId="0000003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0"/>
          <w:strike w:val="0"/>
          <w:color w:val="000000"/>
          <w:sz w:val="18"/>
          <w:szCs w:val="18"/>
          <w:u w:val="none"/>
          <w:shd w:fill="auto" w:val="clear"/>
          <w:vertAlign w:val="baseline"/>
          <w:rtl w:val="0"/>
        </w:rPr>
        <w:t xml:space="preserve">Grassroots accessibility and low-resource sport technology</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A separate literature stream shows why elite assumptions do not transfer cleanly to grassroots teams. The European Commission (2025) treats AI as a potentially enabling technology for grassroots sport, but policy optimism is accompanied by repeated warnings about adoption barriers. The DigiRoot Project Consortium (2024) documents digitalisation efforts across more than twenty clubs and organizations, but the same report underscores the importance of practical implementation support rather than mere tool availability. Wang’s (2025) study of alumni football further shows that even when digital transformation is desirable, the most valued digital factors are not always those emphasized in professional analytics. In that study, digital business models and team culture mattered more than virtual coaching or detailed event statistics, suggesting that grassroots technology must respond to local routines and incentives rather than copy elite priorities.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Research on low-cost feedback systems reinforces this point. Onuigbo’s (2026) thesis on a smartphone-based AI feedback system for home-based youth football training shows that computer-vision-driven feedback can be prototyped for both high- and low-resource contexts using accessible hardware. The study is not focused on tactical team behaviour, but it is important because it demonstrates that resource constraints do not automatically rule out AI-assisted feedback. What remains underdeveloped is the translation of that accessibility logic from individual technique training to collective tactical review.</w:t>
      </w:r>
    </w:p>
    <w:p w:rsidR="00000000" w:rsidDel="00000000" w:rsidP="00000000" w:rsidRDefault="00000000" w:rsidRPr="00000000" w14:paraId="0000003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0"/>
          <w:strike w:val="0"/>
          <w:color w:val="000000"/>
          <w:sz w:val="18"/>
          <w:szCs w:val="18"/>
          <w:u w:val="none"/>
          <w:shd w:fill="auto" w:val="clear"/>
          <w:vertAlign w:val="baseline"/>
          <w:rtl w:val="0"/>
        </w:rPr>
        <w:t xml:space="preserve">Explainability, trust, and human-centered sports AI</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If affordability is one requirement for grassroots software, explainability is another. The general XAI literature now treats interpretability as a context-dependent design problem rather than a single technical add-on. Schwalbe and Finzel (2024) offer a survey-of-surveys taxonomy of XAI methods and concepts, while Yang et al. (2023) review approaches, limitations, and application contexts for explainable AI. These studies are useful because they clarify that explanations must serve different stakeholders for different reasons: trust, debugging, accountability, validation, and actionability.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In sport, the explainability literature is still relatively small. Kranzinger et al. (2026) identify only 19 XAI studies in sports science and note a strong concentration around SHAP and limited practitioner-facing evaluation. Camilleri et al. (2025) report similar concerns in swimming analysis, where multimodal sensing is technically feasible but difficult to use in practice when outputs remain insufficiently interpretable. Their SWIM-360 paper is especially relevant because it treats explainability as an early design principle rather than a post hoc visualization exercise. It shows how coach feedback can shape the design of explanation interfaces before a complete end-to-end system is finalized.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User trust studies complement this methodological point. Wachholz et al. (2025) found that users of AI-generated exercise plans reported higher trust than non-users and that experienced coaches often could not distinguish AI-generated plans from human-authored ones. Dindorf et al. (2025) show that perceptions of AI coaches depend strongly on how the system communicates and whether it is seen as informative and suitable for the task. These findings imply that adoption depends on more than predictive accuracy. For grassroots football, the system must communicate in tactically meaningful language and provide explanations that fit existing coaching conversation rather than replace it.</w:t>
      </w:r>
    </w:p>
    <w:p w:rsidR="00000000" w:rsidDel="00000000" w:rsidP="00000000" w:rsidRDefault="00000000" w:rsidRPr="00000000" w14:paraId="0000003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0"/>
          <w:strike w:val="0"/>
          <w:color w:val="000000"/>
          <w:sz w:val="18"/>
          <w:szCs w:val="18"/>
          <w:u w:val="none"/>
          <w:shd w:fill="auto" w:val="clear"/>
          <w:vertAlign w:val="baseline"/>
          <w:rtl w:val="0"/>
        </w:rPr>
        <w:t xml:space="preserve">Human–computer interaction and sports interaction design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Human–computer interaction research offers design vocabulary for translating analysis into usable systems. Postma et al. (2022) define a design space for Sports Interaction Technology and call for closer integration between HCI and the sports sciences. Smith, Scheme, and Bateman (2025) extend this agenda by organizing interactive sport training technology around four dimensions: why training is augmented, which skill is targeted, which method is used, and how augmentation is delivered. These frameworks are directly relevant because they discourage technology design that begins from sensors or algorithms alone; instead, they foreground goal, skill, method, and form as linked design decisions.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Liu, Wang, and Zhou (2021) provide a more applied example by proposing a knowledge-based coaching system that fuses HCI and AI for sports training. Although that study is not about grassroots football, it reinforces the idea that systems should be designed as coaching aids rather than as stand-alone predictive engines. For the present project, the main implication is clear: the software should not be conceived as a general fitness app or an all-purpose virtual coach. Its design should be scoped as tactical coaching support for low-resource football teams.</w:t>
      </w:r>
    </w:p>
    <w:p w:rsidR="00000000" w:rsidDel="00000000" w:rsidP="00000000" w:rsidRDefault="00000000" w:rsidRPr="00000000" w14:paraId="0000003E">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0"/>
          <w:strike w:val="0"/>
          <w:color w:val="000000"/>
          <w:sz w:val="18"/>
          <w:szCs w:val="18"/>
          <w:u w:val="none"/>
          <w:shd w:fill="auto" w:val="clear"/>
          <w:vertAlign w:val="baseline"/>
          <w:rtl w:val="0"/>
        </w:rPr>
        <w:t xml:space="preserve">Synthesis and research gap</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Taken together, the literature reveals a gap at the intersection of three otherwise active fields. First, football analytics has become technically sophisticated, but its strongest examples still cluster around elite settings, high-quality tracking data, and specialized analysts. Second, grassroots digitalisation research shows that low-resource teams face different constraints and priorities, which means that merely shrinking professional software is unlikely to solve the adoption problem. Third, the sports XAI literature remains thin and rarely tests explanation strategies with the coaches and players who must act on them. This leaves a missing middle: a low-cost, video-based, explainable tactical review tool designed specifically for grassroots football workflows.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The present research is positioned to address that gap. Its premise is not that grassroots teams need comprehensive personal training, fitness planning, or rehabilitation support in a single platform. Rather, they need a focused tactical software tool that uses ordinary video to flag and explain team-level issues such as shape, spacing, compactness, pressing structure, transitions, and off-ball support. That scope is narrow enough to be designable and evaluable, while still addressing an important unmet need in community-level football.</w:t>
      </w:r>
    </w:p>
    <w:p w:rsidR="00000000" w:rsidDel="00000000" w:rsidP="00000000" w:rsidRDefault="00000000" w:rsidRPr="00000000" w14:paraId="0000004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60" w:before="320" w:line="259" w:lineRule="auto"/>
        <w:ind w:left="360" w:right="0" w:hanging="360"/>
        <w:jc w:val="left"/>
        <w:rPr/>
      </w:pPr>
      <w:r w:rsidDel="00000000" w:rsidR="00000000" w:rsidRPr="00000000">
        <w:rPr>
          <w:rFonts w:ascii="Linux Biolinum O" w:cs="Linux Biolinum O" w:eastAsia="Linux Biolinum O" w:hAnsi="Linux Biolinum O"/>
          <w:b w:val="0"/>
          <w:bCs w:val="0"/>
          <w:i w:val="0"/>
          <w:iCs w:val="0"/>
          <w:smallCaps w:val="1"/>
          <w:strike w:val="0"/>
          <w:color w:val="000000"/>
          <w:sz w:val="18"/>
          <w:szCs w:val="18"/>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The literature review shows that the study of explainable AI in grassroots football sits at the intersection of several active research areas. Digital transformation research highlights unequal access to advanced tools. Football analytics research demonstrates that tactical behaviour can be modeled through sophisticated computational methods. Explainability and trust research shows that useful AI systems must communicate transparently with non-expert users. Sports interaction design research emphasizes workflow fit, actionable feedback, and accessible interfaces.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Together, these strands justify a study focused on tactical software for low-resource football teams. The strongest contribution is likely to come from combining technical feasibility with human-centered explanation design. In other words, the value of the proposed system lies not only in what it can detect, but in how clearly it can help coaches and players understand what happened and why it matters.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40"/>
        <w:jc w:val="both"/>
        <w:rPr>
          <w:rFonts w:ascii="Linux Libertine O" w:cs="Linux Libertine O" w:eastAsia="Linux Libertine O" w:hAnsi="Linux Libertine O"/>
          <w:sz w:val="18"/>
          <w:szCs w:val="18"/>
        </w:rPr>
      </w:pPr>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59" w:lineRule="auto"/>
        <w:ind w:left="0" w:right="0" w:firstLine="0"/>
        <w:jc w:val="left"/>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0"/>
          <w:strike w:val="0"/>
          <w:color w:val="000000"/>
          <w:sz w:val="18"/>
          <w:szCs w:val="18"/>
          <w:u w:val="none"/>
          <w:shd w:fill="auto" w:val="clear"/>
          <w:vertAlign w:val="baseline"/>
          <w:rtl w:val="0"/>
        </w:rPr>
        <w:t xml:space="preserve">ACKNOWLEDGMENTS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tl w:val="0"/>
        </w:rPr>
        <w:t xml:space="preserve">This section is intentionally left as a placeholder for funding, institutional support, advisor acknowledgments, and any ethics or field-access support that should be added by the authors before submission.</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300" w:line="259" w:lineRule="auto"/>
        <w:ind w:left="0" w:right="0" w:firstLine="0"/>
        <w:jc w:val="left"/>
        <w:rPr>
          <w:rFonts w:ascii="Linux Biolinum O" w:cs="Linux Biolinum O" w:eastAsia="Linux Biolinum O" w:hAnsi="Linux Biolinum O"/>
          <w:b w:val="1"/>
          <w:bCs w:val="1"/>
          <w:i w:val="0"/>
          <w:iCs w:val="0"/>
          <w:smallCaps w:val="0"/>
          <w:strike w:val="0"/>
          <w:color w:val="000000"/>
          <w:sz w:val="18"/>
          <w:szCs w:val="18"/>
          <w:u w:val="none"/>
          <w:shd w:fill="auto" w:val="clear"/>
          <w:vertAlign w:val="baseline"/>
        </w:rPr>
      </w:pPr>
      <w:r w:rsidDel="00000000" w:rsidR="00000000" w:rsidRPr="00000000">
        <w:rPr>
          <w:rFonts w:ascii="Linux Biolinum O" w:cs="Linux Biolinum O" w:eastAsia="Linux Biolinum O" w:hAnsi="Linux Biolinum O"/>
          <w:b w:val="0"/>
          <w:bCs w:val="0"/>
          <w:i w:val="0"/>
          <w:iCs w:val="0"/>
          <w:smallCaps w:val="0"/>
          <w:strike w:val="0"/>
          <w:color w:val="000000"/>
          <w:sz w:val="18"/>
          <w:szCs w:val="18"/>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Alves, Ricardo, Gonçalo Dias, Nuno André Nunes, Sérgio M. Querido, and Vasco Vaz. 2025. Social network analysis in football: a systematic review of performance and tactical applications. Frontiers in Psychology 16:1659603. https://doi.org/10.3389/fpsyg.2025.1659603</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Andrienko, Gennady, Natalia Andrienko, Gabriel Anzer, Pascal Bauer, Guido Budziak, Georg Fuchs, Dirk Hecker, Hendrik Weber, and Stefan Wrobel. 2021. Constructing spaces and times for tactical analysis in football. IEEE Transactions on Visualization and Computer Graphics 27(4):2280–2297. https://doi.org/10.1109/TVCG.2019.2952129</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Camilleri, Vanessa, Reno Yuri Camilleri, Mark Fialovszky, Daniel Pace, Dylan Seychell, and Matthew Montebello. 2025. Towards explainable multimodal sensing for swimming analysis: early findings from the SWIM-360 Project. Sensors 25(22):7047. https://doi.org/10.3390/s25227047</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DigiRoot Project Consortium. 2024. Desk Research: Best Practices in Digitalisation of Grassroots Sport Clubs. Erasmus+ Sport project deliverable. https://digiroot-project.eu</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Dindorf, Carlo, Jonas Dully, Eva Bartaguiz, Tessa Menges, Claudia Reidick, Johann-Nikolaus Seibert, and Michael Fröhlich. 2025. Characteristics and perceived suitability of artificial intelligence-driven sports coaches: a pilot study on psychological and perceptual factors. Frontiers in Sports and Active Living 7:1548980. https://doi.org/10.3389/fspor.2025.1548980</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European Commission. 2025. Artificial Intelligence in the Sport Sector. Publications Office of the European Union, SHARE 2.0 initiative. https://op.europa.eu</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Goes, F. R., M. Kempe, J. van Norel, and K. A. P. M. Lemmink. 2021. Modelling team performance in soccer using tactical features derived from position tracking data. IMA Journal of Management Mathematics 32(4):519–533. https://doi.org/10.1093/imaman/dpab006</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Hammes, Fabian, Alexander Hagg, Alexander Asteroth, and Daniel Link. 2022. Artificial intelligence in elite sports—A narrative review of success stories and challenges. Frontiers in Sports and Active Living 4:861466. https://doi.org/10.3389/fspor.2022.861466</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Kranzinger, Stefan, Christina Halmich, Dominik Hofer, and Christina Kranzinger. 2026. A scoping review of explainable artificial intelligence in sports science. Discover Artificial Intelligence 6:5. https://doi.org/10.1007/s44163-025-00709-8</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Kröckel, Pavlina, and Freimut Bodendorf. 2020. Process mining of football event data: a novel approach for tactical insights into the game. Frontiers in Artificial Intelligence 3:47. https://doi.org/10.3389/frai.2020.00047</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Kumar, Ravinder, Priyanka Bogia, Ameen Ul Haq, Vikram Singh, and T. Onima Reddy. 2025. Leveraging artificial intelligence and machine learning in sport sciences: a systematic literature review of applications, outcomes, and future directions. Sport Sciences for Health 21(4):2429–2449. https://doi.org/10.1007/s11332-025-01482-y</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Liu, Jie, Le Wang, and Hang Zhou. 2021. The application of human–computer interaction technology fused with artificial intelligence in sports moving target detection education for college athlete. Frontiers in Psychology 12:677590. https://doi.org/10.3389/fpsyg.2021.677590</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Low, Benedict, Diogo Coutinho, Bruno Gonçalves, Robert Rein, Daniel Memmert, and Jaime Sampaio. 2020. A systematic review of collective tactical behaviours in football using positional data. Sports Medicine 50(2):343–385. https://doi.org/10.1007/s40279-019-01194-7</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Memmert, Daniel, Koen A. P. M. Lemmink, and Jaime Sampaio. 2017. Current approaches to tactical performance analyses in soccer using position data. Sports Medicine 47(1):1–10. https://doi.org/10.1007/s40279-016-0562-5</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Onuigbo, Nnamdi Ronald. 2026. Feasibility Studies of a Smartphone-Based AI-Powered Feedback System for Home-Based Youth Football Training. Master’s thesis. KTH Royal Institute of Technology.</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Ötting, Marius, and Dimitris Karlis. 2023. Football tracking data: a copula-based hidden Markov model for classification of tactics in football. Annals of Operations Research 325(1):167–183. https://doi.org/10.1007/s10479-022-04660-0</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Pietraszewski, Przemysław, Artur Terbalyan, Robert Roczniok, Adam Maszczyk, Kajetan Ornowski, Daria Manilewska, Szymon Kuliś, Adam Zając, and Artur Gołaś. 2025. The role of artificial intelligence in sports analytics: a systematic review and meta-analysis of performance trends. Applied Sciences 15(13):7254. https://doi.org/10.3390/app15137254</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Postma, Dees B. W., Robby W. van Delden, Jeroen H. Koekoek, Wytse W. Walinga, Ivo M. van Hilvoorde, Bert Jan F. van Beijnum, Fahim A. Salim, and Dennis Reidsma. 2022. A design space of sports interaction technology. Foundations and Trends in Human–Computer Interaction 15(2–3):132–316. https://doi.org/10.1561/1100000087</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Souaifi, Marouen, Wissem Dhahbi, Nidhal Jebabli, Halil İbrahim Ceylan, Manar Boujabli, Raul Ioan Muntean, and Ismail Dergaa. 2025. Artificial intelligence in sports biomechanics: a scoping review on wearable technology, motion analysis, and injury prevention. Bioengineering 12(8):887. https://doi.org/10.3390/bioengineering12080887</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Smith, Ian, Erik Scheme, and Scott Bateman. 2025. A framework for interactive sport training technology. Foundations and Trends in Human–Computer Interaction 19(1):1–111. https://doi.org/10.1561/1100000096</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Teixeira, José E., Eduardo Maio, Pedro Afonso, Samuel Encarnação, Guilherme F. Machado, Ryland Morgans, Tiago M. Barbosa, António M. Monteiro, Pedro Forte, Ricardo Ferraz, and Luís Branquinho. 2025. Mapping football tactical behavior and collective dynamics with artificial intelligence: a systematic review. Frontiers in Sports and Active Living 7:1569155. https://doi.org/10.3389/fspor.2025.1569155</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Wachholz, Felix, Stefano Manno, Daniel Schlachter, Nicole Gamper, and Martin Schnitzer. 2025. Acceptance and trust in AI-generated exercise plans among recreational athletes and quality evaluation by experienced coaches: a pilot study. BMC Research Notes 18:112. https://doi.org/10.1186/s13104-025-07172-9</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Wang, Jiao. 2025. Exploration of the path of digital technology empowering the sustainable development of alumni football—a study based on ordinal logistic regression analysis. Frontiers in Sports and Active Living 7:1613339. https://doi.org/10.3389/fspor.2025.1613339</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Wang, Zhe, Petar Veličković, Daniel Hennes, Nenad Tomašev, Laurel Prince, Michael Kaisers, Yoram Bachrach, Romuald Elie, Li Kevin Wenliang, Federico Piccinini, William Spearman, Ian Graham, Jerome Connor, Yi Yang, Adrià Recasens, Mina Khan, Nathalie Beauguerlange, Pablo Sprechmann, Pol Moreno, Nicolas Heess, Michael Bowling, Demis Hassabis, and Karl Tuyls. 2024. TacticAI: an AI assistant for football tactics. Nature Communications 15:1906. https://doi.org/10.1038/s41467-024-45965-x</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Yang, Wenli, Yuchen Wei, Hanyu Wei, Yanyu Chen, Guan Huang, Xiang Li, Renjie Li, Naimeng Yao, Xinyi Wang, Xiaotong Gu, Muhammad Bilal Amin, and Byeong Kang. 2023. Survey on explainable AI: from approaches, limitations and applications aspects. Human-Centric Intelligent Systems 3:161–188. https://doi.org/10.1007/s44230-023-00038-y</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Schwalbe, Gesina, and Sebastian Finzel. 2024. A comprehensive taxonomy for explainable artificial intelligence: a systematic survey of surveys on methods and concepts. Data Mining and Knowledge Discovery 38:3043–3101. https://doi.org/10.1007/s10618-022-00867-8</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both"/>
        <w:rPr/>
      </w:pP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Zhong, Qiying, Jiajun Jiang, Wenting Bai, Zhihua Yin, Ziyuan Liao, and Xiaohui Zhong. 2025. Application of digital-intelligent technologies in physical education: a systematic review. Frontiers in Public Health 13:1626603. https://doi.org/10.3389/fpubh.2025.1626603</w:t>
      </w:r>
    </w:p>
    <w:sectPr>
      <w:headerReference r:id="rId6" w:type="default"/>
      <w:footerReference r:id="rId7" w:type="default"/>
      <w:footerReference r:id="rId8" w:type="first"/>
      <w:pgSz w:h="15840" w:w="12240" w:orient="portrait"/>
      <w:pgMar w:bottom="2840" w:top="1760" w:left="1440" w:right="20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inux Biolinum O"/>
  <w:font w:name="Linux Libertine 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360" w:hanging="360"/>
      </w:pPr>
      <w:rPr/>
    </w:lvl>
    <w:lvl w:ilvl="3">
      <w:start w:val="1"/>
      <w:numFmt w:val="decimal"/>
      <w:lvlText w:val="%1.%2.%3.%4"/>
      <w:lvlJc w:val="left"/>
      <w:pPr>
        <w:ind w:left="36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360" w:lineRule="auto"/>
    </w:pPr>
    <w:rPr>
      <w:rFonts w:ascii="Linux Biolinum O" w:cs="Linux Biolinum O" w:eastAsia="Linux Biolinum O" w:hAnsi="Linux Biolinum O"/>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