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0"/>
        </w:rPr>
        <w:t>Football AI Literature Review Package</w:t>
      </w:r>
    </w:p>
    <w:p>
      <w:pPr>
        <w:jc w:val="center"/>
      </w:pPr>
      <w:r>
        <w:rPr>
          <w:i/>
          <w:sz w:val="22"/>
        </w:rPr>
        <w:t>Verified master table, APA 7-style references, and a ready-to-use literature review draft</w:t>
      </w:r>
    </w:p>
    <w:p>
      <w:pPr>
        <w:jc w:val="center"/>
      </w:pPr>
      <w:r>
        <w:rPr>
          <w:sz w:val="20"/>
        </w:rPr>
        <w:t>Prepared from the uploaded source list and cross-checked against publisher/DOI records</w:t>
      </w:r>
    </w:p>
    <w:p/>
    <w:p>
      <w:pPr>
        <w:spacing w:after="120"/>
      </w:pPr>
      <w:r>
        <w:rPr>
          <w:b/>
          <w:color w:val="1F3864"/>
          <w:sz w:val="26"/>
        </w:rPr>
        <w:t>What is in this document</w:t>
      </w:r>
    </w:p>
    <w:tbl>
      <w:tblPr>
        <w:tblW w:type="auto" w:w="0"/>
        <w:jc w:val="center"/>
        <w:tblLook w:firstColumn="1" w:firstRow="1" w:lastColumn="0" w:lastRow="0" w:noHBand="0" w:noVBand="1" w:val="04A0"/>
        <w:tblBorders>
          <w:top w:val="single" w:sz="4" w:space="0" w:color="AFC1DA"/>
          <w:left w:val="single" w:sz="4" w:space="0" w:color="AFC1DA"/>
          <w:bottom w:val="single" w:sz="4" w:space="0" w:color="AFC1DA"/>
          <w:right w:val="single" w:sz="4" w:space="0" w:color="AFC1DA"/>
          <w:insideH w:val="single" w:sz="4" w:space="0" w:color="AFC1DA"/>
          <w:insideV w:val="single" w:sz="4" w:space="0" w:color="AFC1DA"/>
        </w:tblBorders>
      </w:tblPr>
      <w:tblGrid>
        <w:gridCol w:w="10224"/>
      </w:tblGrid>
      <w:tr>
        <w:tc>
          <w:tcPr>
            <w:tcW w:type="dxa" w:w="10224"/>
            <w:shd w:fill="EEF4FB"/>
            <w:tcMar>
              <w:top w:w="110" w:type="dxa"/>
              <w:start w:w="120" w:type="dxa"/>
              <w:bottom w:w="110" w:type="dxa"/>
              <w:end w:w="120" w:type="dxa"/>
            </w:tcMar>
          </w:tcPr>
          <w:p>
            <w:pPr>
              <w:spacing w:after="0"/>
            </w:pPr>
            <w:r>
              <w:rPr>
                <w:sz w:val="20"/>
              </w:rPr>
              <w:t>This package includes 37 papers from the uploaded note, with official title normalization where the note used shorthand or a variant title. The evidence table is grouped to support a literature review on football tactical analytics, sports AI, explainability, and coach-facing design. A few country fields are intentionally left blank where author affiliation was not sufficiently clear from the source metadata.</w:t>
            </w:r>
          </w:p>
        </w:tc>
      </w:tr>
    </w:tbl>
    <w:p/>
    <w:p>
      <w:r>
        <w:rPr>
          <w:b/>
          <w:color w:val="1F3864"/>
          <w:sz w:val="28"/>
        </w:rPr>
        <w:t>Section 1. Master evidence table</w:t>
      </w:r>
    </w:p>
    <w:p>
      <w:pPr>
        <w:spacing w:after="160"/>
      </w:pPr>
      <w:r>
        <w:t>The table below is designed for scanning and for easy transfer into a thesis or coursework appendix.</w:t>
      </w:r>
    </w:p>
    <w:p>
      <w:pPr>
        <w:sectPr>
          <w:pgSz w:w="12240" w:h="15840"/>
          <w:pgMar w:top="936" w:right="1008" w:bottom="864" w:left="1008" w:header="720" w:footer="720" w:gutter="0"/>
          <w:cols w:space="720"/>
          <w:docGrid w:linePitch="360"/>
        </w:sectPr>
      </w:pPr>
    </w:p>
    <w:p>
      <w:r>
        <w:rPr>
          <w:b/>
          <w:color w:val="1F3864"/>
          <w:sz w:val="26"/>
        </w:rPr>
        <w:t>Master Literature Table</w:t>
      </w:r>
    </w:p>
    <w:tbl>
      <w:tblPr>
        <w:tblStyle w:val="TableGrid"/>
        <w:tblW w:type="auto" w:w="0"/>
        <w:jc w:val="center"/>
        <w:tblLook w:firstColumn="1" w:firstRow="1" w:lastColumn="0" w:lastRow="0" w:noHBand="0" w:noVBand="1" w:val="04A0"/>
        <w:tblBorders>
          <w:top w:val="single" w:sz="4" w:space="0" w:color="C6D3E1"/>
          <w:left w:val="single" w:sz="4" w:space="0" w:color="C6D3E1"/>
          <w:bottom w:val="single" w:sz="4" w:space="0" w:color="C6D3E1"/>
          <w:right w:val="single" w:sz="4" w:space="0" w:color="C6D3E1"/>
          <w:insideH w:val="single" w:sz="4" w:space="0" w:color="C6D3E1"/>
          <w:insideV w:val="single" w:sz="4" w:space="0" w:color="C6D3E1"/>
        </w:tblBorders>
      </w:tblPr>
      <w:tblGrid>
        <w:gridCol w:w="1322"/>
        <w:gridCol w:w="1322"/>
        <w:gridCol w:w="1322"/>
        <w:gridCol w:w="1322"/>
        <w:gridCol w:w="1322"/>
        <w:gridCol w:w="1322"/>
        <w:gridCol w:w="1322"/>
        <w:gridCol w:w="1322"/>
        <w:gridCol w:w="1322"/>
        <w:gridCol w:w="1322"/>
        <w:gridCol w:w="1322"/>
      </w:tblGrid>
      <w:tr>
        <w:trPr>
          <w:tblHeader w:val="true"/>
        </w:trPr>
        <w:tc>
          <w:tcPr>
            <w:tcW w:type="dxa" w:w="2808"/>
            <w:vAlign w:val="center"/>
            <w:shd w:fill="DCE6F2"/>
            <w:tcMar>
              <w:top w:w="70" w:type="dxa"/>
              <w:start w:w="80" w:type="dxa"/>
              <w:bottom w:w="70" w:type="dxa"/>
              <w:end w:w="80" w:type="dxa"/>
            </w:tcMar>
          </w:tcPr>
          <w:p>
            <w:pPr>
              <w:spacing w:after="0"/>
              <w:jc w:val="center"/>
            </w:pPr>
            <w:r>
              <w:rPr>
                <w:b/>
                <w:sz w:val="16"/>
              </w:rPr>
              <w:t>Paper Title</w:t>
            </w:r>
          </w:p>
        </w:tc>
        <w:tc>
          <w:tcPr>
            <w:tcW w:type="dxa" w:w="1944"/>
            <w:vAlign w:val="center"/>
            <w:shd w:fill="DCE6F2"/>
            <w:tcMar>
              <w:top w:w="70" w:type="dxa"/>
              <w:start w:w="80" w:type="dxa"/>
              <w:bottom w:w="70" w:type="dxa"/>
              <w:end w:w="80" w:type="dxa"/>
            </w:tcMar>
          </w:tcPr>
          <w:p>
            <w:pPr>
              <w:spacing w:after="0"/>
              <w:jc w:val="center"/>
            </w:pPr>
            <w:r>
              <w:rPr>
                <w:b/>
                <w:sz w:val="16"/>
              </w:rPr>
              <w:t>Authors (Year)</w:t>
            </w:r>
          </w:p>
        </w:tc>
        <w:tc>
          <w:tcPr>
            <w:tcW w:type="dxa" w:w="648"/>
            <w:vAlign w:val="center"/>
            <w:shd w:fill="DCE6F2"/>
            <w:tcMar>
              <w:top w:w="70" w:type="dxa"/>
              <w:start w:w="80" w:type="dxa"/>
              <w:bottom w:w="70" w:type="dxa"/>
              <w:end w:w="80" w:type="dxa"/>
            </w:tcMar>
          </w:tcPr>
          <w:p>
            <w:pPr>
              <w:spacing w:after="0"/>
              <w:jc w:val="center"/>
            </w:pPr>
            <w:r>
              <w:rPr>
                <w:b/>
                <w:sz w:val="16"/>
              </w:rPr>
              <w:t>Year</w:t>
            </w:r>
          </w:p>
        </w:tc>
        <w:tc>
          <w:tcPr>
            <w:tcW w:type="dxa" w:w="2232"/>
            <w:vAlign w:val="center"/>
            <w:shd w:fill="DCE6F2"/>
            <w:tcMar>
              <w:top w:w="70" w:type="dxa"/>
              <w:start w:w="80" w:type="dxa"/>
              <w:bottom w:w="70" w:type="dxa"/>
              <w:end w:w="80" w:type="dxa"/>
            </w:tcMar>
          </w:tcPr>
          <w:p>
            <w:pPr>
              <w:spacing w:after="0"/>
              <w:jc w:val="center"/>
            </w:pPr>
            <w:r>
              <w:rPr>
                <w:b/>
                <w:sz w:val="16"/>
              </w:rPr>
              <w:t>Journal</w:t>
            </w:r>
          </w:p>
        </w:tc>
        <w:tc>
          <w:tcPr>
            <w:tcW w:type="dxa" w:w="1224"/>
            <w:vAlign w:val="center"/>
            <w:shd w:fill="DCE6F2"/>
            <w:tcMar>
              <w:top w:w="70" w:type="dxa"/>
              <w:start w:w="80" w:type="dxa"/>
              <w:bottom w:w="70" w:type="dxa"/>
              <w:end w:w="80" w:type="dxa"/>
            </w:tcMar>
          </w:tcPr>
          <w:p>
            <w:pPr>
              <w:spacing w:after="0"/>
              <w:jc w:val="center"/>
            </w:pPr>
            <w:r>
              <w:rPr>
                <w:b/>
                <w:sz w:val="16"/>
              </w:rPr>
              <w:t>Association</w:t>
            </w:r>
          </w:p>
        </w:tc>
        <w:tc>
          <w:tcPr>
            <w:tcW w:type="dxa" w:w="1152"/>
            <w:vAlign w:val="center"/>
            <w:shd w:fill="DCE6F2"/>
            <w:tcMar>
              <w:top w:w="70" w:type="dxa"/>
              <w:start w:w="80" w:type="dxa"/>
              <w:bottom w:w="70" w:type="dxa"/>
              <w:end w:w="80" w:type="dxa"/>
            </w:tcMar>
          </w:tcPr>
          <w:p>
            <w:pPr>
              <w:spacing w:after="0"/>
              <w:jc w:val="center"/>
            </w:pPr>
            <w:r>
              <w:rPr>
                <w:b/>
                <w:sz w:val="16"/>
              </w:rPr>
              <w:t>Country</w:t>
            </w:r>
          </w:p>
        </w:tc>
        <w:tc>
          <w:tcPr>
            <w:tcW w:type="dxa" w:w="1944"/>
            <w:vAlign w:val="center"/>
            <w:shd w:fill="DCE6F2"/>
            <w:tcMar>
              <w:top w:w="70" w:type="dxa"/>
              <w:start w:w="80" w:type="dxa"/>
              <w:bottom w:w="70" w:type="dxa"/>
              <w:end w:w="80" w:type="dxa"/>
            </w:tcMar>
          </w:tcPr>
          <w:p>
            <w:pPr>
              <w:spacing w:after="0"/>
              <w:jc w:val="center"/>
            </w:pPr>
            <w:r>
              <w:rPr>
                <w:b/>
                <w:sz w:val="16"/>
              </w:rPr>
              <w:t>Purpose</w:t>
            </w:r>
          </w:p>
        </w:tc>
        <w:tc>
          <w:tcPr>
            <w:tcW w:type="dxa" w:w="1368"/>
            <w:vAlign w:val="center"/>
            <w:shd w:fill="DCE6F2"/>
            <w:tcMar>
              <w:top w:w="70" w:type="dxa"/>
              <w:start w:w="80" w:type="dxa"/>
              <w:bottom w:w="70" w:type="dxa"/>
              <w:end w:w="80" w:type="dxa"/>
            </w:tcMar>
          </w:tcPr>
          <w:p>
            <w:pPr>
              <w:spacing w:after="0"/>
              <w:jc w:val="center"/>
            </w:pPr>
            <w:r>
              <w:rPr>
                <w:b/>
                <w:sz w:val="16"/>
              </w:rPr>
              <w:t>Type of source</w:t>
            </w:r>
          </w:p>
        </w:tc>
        <w:tc>
          <w:tcPr>
            <w:tcW w:type="dxa" w:w="3096"/>
            <w:vAlign w:val="center"/>
            <w:shd w:fill="DCE6F2"/>
            <w:tcMar>
              <w:top w:w="70" w:type="dxa"/>
              <w:start w:w="80" w:type="dxa"/>
              <w:bottom w:w="70" w:type="dxa"/>
              <w:end w:w="80" w:type="dxa"/>
            </w:tcMar>
          </w:tcPr>
          <w:p>
            <w:pPr>
              <w:spacing w:after="0"/>
              <w:jc w:val="center"/>
            </w:pPr>
            <w:r>
              <w:rPr>
                <w:b/>
                <w:sz w:val="16"/>
              </w:rPr>
              <w:t>Summary points</w:t>
            </w:r>
          </w:p>
        </w:tc>
        <w:tc>
          <w:tcPr>
            <w:tcW w:type="dxa" w:w="1800"/>
            <w:vAlign w:val="center"/>
            <w:shd w:fill="DCE6F2"/>
            <w:tcMar>
              <w:top w:w="70" w:type="dxa"/>
              <w:start w:w="80" w:type="dxa"/>
              <w:bottom w:w="70" w:type="dxa"/>
              <w:end w:w="80" w:type="dxa"/>
            </w:tcMar>
          </w:tcPr>
          <w:p>
            <w:pPr>
              <w:spacing w:after="0"/>
              <w:jc w:val="center"/>
            </w:pPr>
            <w:r>
              <w:rPr>
                <w:b/>
                <w:sz w:val="16"/>
              </w:rPr>
              <w:t>Accessible link</w:t>
            </w:r>
          </w:p>
        </w:tc>
        <w:tc>
          <w:tcPr>
            <w:tcW w:type="dxa" w:w="1440"/>
            <w:vAlign w:val="center"/>
            <w:shd w:fill="DCE6F2"/>
            <w:tcMar>
              <w:top w:w="70" w:type="dxa"/>
              <w:start w:w="80" w:type="dxa"/>
              <w:bottom w:w="70" w:type="dxa"/>
              <w:end w:w="80" w:type="dxa"/>
            </w:tcMar>
          </w:tcPr>
          <w:p>
            <w:pPr>
              <w:spacing w:after="0"/>
              <w:jc w:val="center"/>
            </w:pPr>
            <w:r>
              <w:rPr>
                <w:b/>
                <w:sz w:val="16"/>
              </w:rPr>
              <w:t>DOI</w:t>
            </w:r>
          </w:p>
        </w:tc>
      </w:tr>
      <w:tr>
        <w:tc>
          <w:tcPr>
            <w:tcW w:type="dxa" w:w="1322"/>
            <w:vAlign w:val="center"/>
            <w:tcMar>
              <w:top w:w="70" w:type="dxa"/>
              <w:start w:w="80" w:type="dxa"/>
              <w:bottom w:w="70" w:type="dxa"/>
              <w:end w:w="80" w:type="dxa"/>
            </w:tcMar>
          </w:tcPr>
          <w:p>
            <w:pPr>
              <w:spacing w:after="0"/>
              <w:jc w:val="left"/>
            </w:pPr>
            <w:r>
              <w:rPr>
                <w:sz w:val="15"/>
              </w:rPr>
              <w:t>Current Approaches to Tactical Performance Analyses in Soccer Using Position Data</w:t>
            </w:r>
          </w:p>
        </w:tc>
        <w:tc>
          <w:tcPr>
            <w:tcW w:type="dxa" w:w="1322"/>
            <w:vAlign w:val="center"/>
            <w:tcMar>
              <w:top w:w="70" w:type="dxa"/>
              <w:start w:w="80" w:type="dxa"/>
              <w:bottom w:w="70" w:type="dxa"/>
              <w:end w:w="80" w:type="dxa"/>
            </w:tcMar>
          </w:tcPr>
          <w:p>
            <w:pPr>
              <w:spacing w:after="0"/>
              <w:jc w:val="left"/>
            </w:pPr>
            <w:r>
              <w:rPr>
                <w:sz w:val="15"/>
              </w:rPr>
              <w:t>Memmert, Lemmink, &amp; Sampaio (2017)</w:t>
            </w:r>
          </w:p>
        </w:tc>
        <w:tc>
          <w:tcPr>
            <w:tcW w:type="dxa" w:w="1322"/>
            <w:vAlign w:val="center"/>
            <w:tcMar>
              <w:top w:w="70" w:type="dxa"/>
              <w:start w:w="80" w:type="dxa"/>
              <w:bottom w:w="70" w:type="dxa"/>
              <w:end w:w="80" w:type="dxa"/>
            </w:tcMar>
          </w:tcPr>
          <w:p>
            <w:pPr>
              <w:spacing w:after="0"/>
              <w:jc w:val="center"/>
            </w:pPr>
            <w:r>
              <w:rPr>
                <w:sz w:val="15"/>
              </w:rPr>
              <w:t>2017</w:t>
            </w:r>
          </w:p>
        </w:tc>
        <w:tc>
          <w:tcPr>
            <w:tcW w:type="dxa" w:w="1322"/>
            <w:vAlign w:val="center"/>
            <w:tcMar>
              <w:top w:w="70" w:type="dxa"/>
              <w:start w:w="80" w:type="dxa"/>
              <w:bottom w:w="70" w:type="dxa"/>
              <w:end w:w="80" w:type="dxa"/>
            </w:tcMar>
          </w:tcPr>
          <w:p>
            <w:pPr>
              <w:spacing w:after="0"/>
              <w:jc w:val="left"/>
            </w:pPr>
            <w:r>
              <w:rPr>
                <w:sz w:val="15"/>
              </w:rPr>
              <w:t>Sports Medicine, 47, 1–10</w:t>
            </w:r>
          </w:p>
        </w:tc>
        <w:tc>
          <w:tcPr>
            <w:tcW w:type="dxa" w:w="1322"/>
            <w:vAlign w:val="center"/>
            <w:tcMar>
              <w:top w:w="70" w:type="dxa"/>
              <w:start w:w="80" w:type="dxa"/>
              <w:bottom w:w="70" w:type="dxa"/>
              <w:end w:w="80" w:type="dxa"/>
            </w:tcMar>
          </w:tcPr>
          <w:p>
            <w:pPr>
              <w:spacing w:after="0"/>
              <w:jc w:val="left"/>
            </w:pPr>
            <w:r>
              <w:rPr>
                <w:sz w:val="15"/>
              </w:rPr>
              <w:t>Association football</w:t>
            </w:r>
          </w:p>
        </w:tc>
        <w:tc>
          <w:tcPr>
            <w:tcW w:type="dxa" w:w="1322"/>
            <w:vAlign w:val="center"/>
            <w:tcMar>
              <w:top w:w="70" w:type="dxa"/>
              <w:start w:w="80" w:type="dxa"/>
              <w:bottom w:w="70" w:type="dxa"/>
              <w:end w:w="80" w:type="dxa"/>
            </w:tcMar>
          </w:tcPr>
          <w:p>
            <w:pPr>
              <w:spacing w:after="0"/>
              <w:jc w:val="left"/>
            </w:pPr>
            <w:r>
              <w:rPr>
                <w:sz w:val="15"/>
              </w:rPr>
              <w:t>Germany</w:t>
            </w:r>
          </w:p>
        </w:tc>
        <w:tc>
          <w:tcPr>
            <w:tcW w:type="dxa" w:w="1322"/>
            <w:vAlign w:val="center"/>
            <w:tcMar>
              <w:top w:w="70" w:type="dxa"/>
              <w:start w:w="80" w:type="dxa"/>
              <w:bottom w:w="70" w:type="dxa"/>
              <w:end w:w="80" w:type="dxa"/>
            </w:tcMar>
          </w:tcPr>
          <w:p>
            <w:pPr>
              <w:spacing w:after="0"/>
              <w:jc w:val="left"/>
            </w:pPr>
            <w:r>
              <w:rPr>
                <w:sz w:val="15"/>
              </w:rPr>
              <w:t>Synthesize early approaches to tactical analysis using positional data in soccer.</w:t>
            </w:r>
          </w:p>
        </w:tc>
        <w:tc>
          <w:tcPr>
            <w:tcW w:type="dxa" w:w="1322"/>
            <w:vAlign w:val="center"/>
            <w:tcMar>
              <w:top w:w="70" w:type="dxa"/>
              <w:start w:w="80" w:type="dxa"/>
              <w:bottom w:w="70" w:type="dxa"/>
              <w:end w:w="80" w:type="dxa"/>
            </w:tcMar>
          </w:tcPr>
          <w:p>
            <w:pPr>
              <w:spacing w:after="0"/>
              <w:jc w:val="left"/>
            </w:pPr>
            <w:r>
              <w:rPr>
                <w:sz w:val="15"/>
              </w:rPr>
              <w:t>Review article</w:t>
            </w:r>
          </w:p>
        </w:tc>
        <w:tc>
          <w:tcPr>
            <w:tcW w:type="dxa" w:w="1322"/>
            <w:vAlign w:val="center"/>
            <w:tcMar>
              <w:top w:w="70" w:type="dxa"/>
              <w:start w:w="80" w:type="dxa"/>
              <w:bottom w:w="70" w:type="dxa"/>
              <w:end w:w="80" w:type="dxa"/>
            </w:tcMar>
          </w:tcPr>
          <w:p>
            <w:pPr>
              <w:spacing w:after="0"/>
              <w:jc w:val="left"/>
            </w:pPr>
            <w:r>
              <w:rPr>
                <w:sz w:val="15"/>
              </w:rPr>
              <w:t>Foundational review of spatiotemporal tactical analysis in soccer. Defines key data sources, metrics, and analytical challenges for movement-based performance analysis.</w:t>
            </w:r>
          </w:p>
        </w:tc>
        <w:tc>
          <w:tcPr>
            <w:tcW w:type="dxa" w:w="1322"/>
            <w:vAlign w:val="center"/>
            <w:tcMar>
              <w:top w:w="70" w:type="dxa"/>
              <w:start w:w="80" w:type="dxa"/>
              <w:bottom w:w="70" w:type="dxa"/>
              <w:end w:w="80" w:type="dxa"/>
            </w:tcMar>
          </w:tcPr>
          <w:p>
            <w:pPr>
              <w:spacing w:after="0"/>
              <w:jc w:val="left"/>
            </w:pPr>
            <w:r>
              <w:rPr>
                <w:color w:val="1E59A3"/>
                <w:sz w:val="15"/>
              </w:rPr>
              <w:t>https://doi.org/10.1007/s40279-016-0562-5</w:t>
            </w:r>
          </w:p>
        </w:tc>
        <w:tc>
          <w:tcPr>
            <w:tcW w:type="dxa" w:w="1322"/>
            <w:vAlign w:val="center"/>
            <w:tcMar>
              <w:top w:w="70" w:type="dxa"/>
              <w:start w:w="80" w:type="dxa"/>
              <w:bottom w:w="70" w:type="dxa"/>
              <w:end w:w="80" w:type="dxa"/>
            </w:tcMar>
          </w:tcPr>
          <w:p>
            <w:pPr>
              <w:spacing w:after="0"/>
              <w:jc w:val="left"/>
            </w:pPr>
            <w:r>
              <w:rPr>
                <w:color w:val="1E59A3"/>
                <w:sz w:val="15"/>
              </w:rPr>
              <w:t>10.1007/s40279-016-0562-5</w:t>
            </w:r>
          </w:p>
        </w:tc>
      </w:tr>
      <w:tr>
        <w:tc>
          <w:tcPr>
            <w:tcW w:type="dxa" w:w="1322"/>
            <w:vAlign w:val="center"/>
            <w:tcMar>
              <w:top w:w="70" w:type="dxa"/>
              <w:start w:w="80" w:type="dxa"/>
              <w:bottom w:w="70" w:type="dxa"/>
              <w:end w:w="80" w:type="dxa"/>
            </w:tcMar>
            <w:shd w:fill="F7FAFD"/>
          </w:tcPr>
          <w:p>
            <w:pPr>
              <w:spacing w:after="0"/>
              <w:jc w:val="left"/>
            </w:pPr>
            <w:r>
              <w:rPr>
                <w:sz w:val="15"/>
              </w:rPr>
              <w:t>A Systematic Review of Collective Tactical Behaviours in Football Using Positional Data</w:t>
            </w:r>
          </w:p>
        </w:tc>
        <w:tc>
          <w:tcPr>
            <w:tcW w:type="dxa" w:w="1322"/>
            <w:vAlign w:val="center"/>
            <w:tcMar>
              <w:top w:w="70" w:type="dxa"/>
              <w:start w:w="80" w:type="dxa"/>
              <w:bottom w:w="70" w:type="dxa"/>
              <w:end w:w="80" w:type="dxa"/>
            </w:tcMar>
            <w:shd w:fill="F7FAFD"/>
          </w:tcPr>
          <w:p>
            <w:pPr>
              <w:spacing w:after="0"/>
              <w:jc w:val="left"/>
            </w:pPr>
            <w:r>
              <w:rPr>
                <w:sz w:val="15"/>
              </w:rPr>
              <w:t>Low et al. (2020)</w:t>
            </w:r>
          </w:p>
        </w:tc>
        <w:tc>
          <w:tcPr>
            <w:tcW w:type="dxa" w:w="1322"/>
            <w:vAlign w:val="center"/>
            <w:tcMar>
              <w:top w:w="70" w:type="dxa"/>
              <w:start w:w="80" w:type="dxa"/>
              <w:bottom w:w="70" w:type="dxa"/>
              <w:end w:w="80" w:type="dxa"/>
            </w:tcMar>
            <w:shd w:fill="F7FAFD"/>
          </w:tcPr>
          <w:p>
            <w:pPr>
              <w:spacing w:after="0"/>
              <w:jc w:val="center"/>
            </w:pPr>
            <w:r>
              <w:rPr>
                <w:sz w:val="15"/>
              </w:rPr>
              <w:t>2020</w:t>
            </w:r>
          </w:p>
        </w:tc>
        <w:tc>
          <w:tcPr>
            <w:tcW w:type="dxa" w:w="1322"/>
            <w:vAlign w:val="center"/>
            <w:tcMar>
              <w:top w:w="70" w:type="dxa"/>
              <w:start w:w="80" w:type="dxa"/>
              <w:bottom w:w="70" w:type="dxa"/>
              <w:end w:w="80" w:type="dxa"/>
            </w:tcMar>
            <w:shd w:fill="F7FAFD"/>
          </w:tcPr>
          <w:p>
            <w:pPr>
              <w:spacing w:after="0"/>
              <w:jc w:val="left"/>
            </w:pPr>
            <w:r>
              <w:rPr>
                <w:sz w:val="15"/>
              </w:rPr>
              <w:t>Sports Medicine, 50, 343–385</w:t>
            </w:r>
          </w:p>
        </w:tc>
        <w:tc>
          <w:tcPr>
            <w:tcW w:type="dxa" w:w="1322"/>
            <w:vAlign w:val="center"/>
            <w:tcMar>
              <w:top w:w="70" w:type="dxa"/>
              <w:start w:w="80" w:type="dxa"/>
              <w:bottom w:w="70" w:type="dxa"/>
              <w:end w:w="80" w:type="dxa"/>
            </w:tcMar>
            <w:shd w:fill="F7FAFD"/>
          </w:tcPr>
          <w:p>
            <w:pPr>
              <w:spacing w:after="0"/>
              <w:jc w:val="left"/>
            </w:pPr>
            <w:r>
              <w:rPr>
                <w:sz w:val="15"/>
              </w:rPr>
              <w:t>Association football</w:t>
            </w:r>
          </w:p>
        </w:tc>
        <w:tc>
          <w:tcPr>
            <w:tcW w:type="dxa" w:w="1322"/>
            <w:vAlign w:val="center"/>
            <w:tcMar>
              <w:top w:w="70" w:type="dxa"/>
              <w:start w:w="80" w:type="dxa"/>
              <w:bottom w:w="70" w:type="dxa"/>
              <w:end w:w="80" w:type="dxa"/>
            </w:tcMar>
            <w:shd w:fill="F7FAFD"/>
          </w:tcPr>
          <w:p>
            <w:pPr>
              <w:spacing w:after="0"/>
              <w:jc w:val="left"/>
            </w:pPr>
            <w:r>
              <w:rPr>
                <w:sz w:val="15"/>
              </w:rPr>
            </w:r>
          </w:p>
        </w:tc>
        <w:tc>
          <w:tcPr>
            <w:tcW w:type="dxa" w:w="1322"/>
            <w:vAlign w:val="center"/>
            <w:tcMar>
              <w:top w:w="70" w:type="dxa"/>
              <w:start w:w="80" w:type="dxa"/>
              <w:bottom w:w="70" w:type="dxa"/>
              <w:end w:w="80" w:type="dxa"/>
            </w:tcMar>
            <w:shd w:fill="F7FAFD"/>
          </w:tcPr>
          <w:p>
            <w:pPr>
              <w:spacing w:after="0"/>
              <w:jc w:val="left"/>
            </w:pPr>
            <w:r>
              <w:rPr>
                <w:sz w:val="15"/>
              </w:rPr>
              <w:t>Review collective tactical behaviours measured through positional data.</w:t>
            </w:r>
          </w:p>
        </w:tc>
        <w:tc>
          <w:tcPr>
            <w:tcW w:type="dxa" w:w="1322"/>
            <w:vAlign w:val="center"/>
            <w:tcMar>
              <w:top w:w="70" w:type="dxa"/>
              <w:start w:w="80" w:type="dxa"/>
              <w:bottom w:w="70" w:type="dxa"/>
              <w:end w:w="80" w:type="dxa"/>
            </w:tcMar>
            <w:shd w:fill="F7FAFD"/>
          </w:tcPr>
          <w:p>
            <w:pPr>
              <w:spacing w:after="0"/>
              <w:jc w:val="left"/>
            </w:pPr>
            <w:r>
              <w:rPr>
                <w:sz w:val="15"/>
              </w:rPr>
              <w:t>Systematic review</w:t>
            </w:r>
          </w:p>
        </w:tc>
        <w:tc>
          <w:tcPr>
            <w:tcW w:type="dxa" w:w="1322"/>
            <w:vAlign w:val="center"/>
            <w:tcMar>
              <w:top w:w="70" w:type="dxa"/>
              <w:start w:w="80" w:type="dxa"/>
              <w:bottom w:w="70" w:type="dxa"/>
              <w:end w:w="80" w:type="dxa"/>
            </w:tcMar>
            <w:shd w:fill="F7FAFD"/>
          </w:tcPr>
          <w:p>
            <w:pPr>
              <w:spacing w:after="0"/>
              <w:jc w:val="left"/>
            </w:pPr>
            <w:r>
              <w:rPr>
                <w:sz w:val="15"/>
              </w:rPr>
              <w:t>Synthesizes positional-data methods for team coordination, spacing, synchronization, and collective behaviour. Useful as a methodological baseline for football tactical analytics.</w:t>
            </w:r>
          </w:p>
        </w:tc>
        <w:tc>
          <w:tcPr>
            <w:tcW w:type="dxa" w:w="1322"/>
            <w:vAlign w:val="center"/>
            <w:tcMar>
              <w:top w:w="70" w:type="dxa"/>
              <w:start w:w="80" w:type="dxa"/>
              <w:bottom w:w="70" w:type="dxa"/>
              <w:end w:w="80" w:type="dxa"/>
            </w:tcMar>
            <w:shd w:fill="F7FAFD"/>
          </w:tcPr>
          <w:p>
            <w:pPr>
              <w:spacing w:after="0"/>
              <w:jc w:val="left"/>
            </w:pPr>
            <w:r>
              <w:rPr>
                <w:color w:val="1E59A3"/>
                <w:sz w:val="15"/>
              </w:rPr>
              <w:t>https://doi.org/10.1007/s40279-019-01194-7</w:t>
            </w:r>
          </w:p>
        </w:tc>
        <w:tc>
          <w:tcPr>
            <w:tcW w:type="dxa" w:w="1322"/>
            <w:vAlign w:val="center"/>
            <w:tcMar>
              <w:top w:w="70" w:type="dxa"/>
              <w:start w:w="80" w:type="dxa"/>
              <w:bottom w:w="70" w:type="dxa"/>
              <w:end w:w="80" w:type="dxa"/>
            </w:tcMar>
            <w:shd w:fill="F7FAFD"/>
          </w:tcPr>
          <w:p>
            <w:pPr>
              <w:spacing w:after="0"/>
              <w:jc w:val="left"/>
            </w:pPr>
            <w:r>
              <w:rPr>
                <w:color w:val="1E59A3"/>
                <w:sz w:val="15"/>
              </w:rPr>
              <w:t>10.1007/s40279-019-01194-7</w:t>
            </w:r>
          </w:p>
        </w:tc>
      </w:tr>
      <w:tr>
        <w:tc>
          <w:tcPr>
            <w:tcW w:type="dxa" w:w="1322"/>
            <w:vAlign w:val="center"/>
            <w:tcMar>
              <w:top w:w="70" w:type="dxa"/>
              <w:start w:w="80" w:type="dxa"/>
              <w:bottom w:w="70" w:type="dxa"/>
              <w:end w:w="80" w:type="dxa"/>
            </w:tcMar>
          </w:tcPr>
          <w:p>
            <w:pPr>
              <w:spacing w:after="0"/>
              <w:jc w:val="left"/>
            </w:pPr>
            <w:r>
              <w:rPr>
                <w:sz w:val="15"/>
              </w:rPr>
              <w:t>Process Mining of Football Event Data: A Novel Approach for Tactical Insights Into the Game</w:t>
            </w:r>
          </w:p>
        </w:tc>
        <w:tc>
          <w:tcPr>
            <w:tcW w:type="dxa" w:w="1322"/>
            <w:vAlign w:val="center"/>
            <w:tcMar>
              <w:top w:w="70" w:type="dxa"/>
              <w:start w:w="80" w:type="dxa"/>
              <w:bottom w:w="70" w:type="dxa"/>
              <w:end w:w="80" w:type="dxa"/>
            </w:tcMar>
          </w:tcPr>
          <w:p>
            <w:pPr>
              <w:spacing w:after="0"/>
              <w:jc w:val="left"/>
            </w:pPr>
            <w:r>
              <w:rPr>
                <w:sz w:val="15"/>
              </w:rPr>
              <w:t>Kröckel &amp; Bodendorf (2020)</w:t>
            </w:r>
          </w:p>
        </w:tc>
        <w:tc>
          <w:tcPr>
            <w:tcW w:type="dxa" w:w="1322"/>
            <w:vAlign w:val="center"/>
            <w:tcMar>
              <w:top w:w="70" w:type="dxa"/>
              <w:start w:w="80" w:type="dxa"/>
              <w:bottom w:w="70" w:type="dxa"/>
              <w:end w:w="80" w:type="dxa"/>
            </w:tcMar>
          </w:tcPr>
          <w:p>
            <w:pPr>
              <w:spacing w:after="0"/>
              <w:jc w:val="center"/>
            </w:pPr>
            <w:r>
              <w:rPr>
                <w:sz w:val="15"/>
              </w:rPr>
              <w:t>2020</w:t>
            </w:r>
          </w:p>
        </w:tc>
        <w:tc>
          <w:tcPr>
            <w:tcW w:type="dxa" w:w="1322"/>
            <w:vAlign w:val="center"/>
            <w:tcMar>
              <w:top w:w="70" w:type="dxa"/>
              <w:start w:w="80" w:type="dxa"/>
              <w:bottom w:w="70" w:type="dxa"/>
              <w:end w:w="80" w:type="dxa"/>
            </w:tcMar>
          </w:tcPr>
          <w:p>
            <w:pPr>
              <w:spacing w:after="0"/>
              <w:jc w:val="left"/>
            </w:pPr>
            <w:r>
              <w:rPr>
                <w:sz w:val="15"/>
              </w:rPr>
              <w:t>Frontiers in Artificial Intelligence, 3, Article 47</w:t>
            </w:r>
          </w:p>
        </w:tc>
        <w:tc>
          <w:tcPr>
            <w:tcW w:type="dxa" w:w="1322"/>
            <w:vAlign w:val="center"/>
            <w:tcMar>
              <w:top w:w="70" w:type="dxa"/>
              <w:start w:w="80" w:type="dxa"/>
              <w:bottom w:w="70" w:type="dxa"/>
              <w:end w:w="80" w:type="dxa"/>
            </w:tcMar>
          </w:tcPr>
          <w:p>
            <w:pPr>
              <w:spacing w:after="0"/>
              <w:jc w:val="left"/>
            </w:pPr>
            <w:r>
              <w:rPr>
                <w:sz w:val="15"/>
              </w:rPr>
              <w:t>Association football</w:t>
            </w:r>
          </w:p>
        </w:tc>
        <w:tc>
          <w:tcPr>
            <w:tcW w:type="dxa" w:w="1322"/>
            <w:vAlign w:val="center"/>
            <w:tcMar>
              <w:top w:w="70" w:type="dxa"/>
              <w:start w:w="80" w:type="dxa"/>
              <w:bottom w:w="70" w:type="dxa"/>
              <w:end w:w="80" w:type="dxa"/>
            </w:tcMar>
          </w:tcPr>
          <w:p>
            <w:pPr>
              <w:spacing w:after="0"/>
              <w:jc w:val="left"/>
            </w:pPr>
            <w:r>
              <w:rPr>
                <w:sz w:val="15"/>
              </w:rPr>
              <w:t>Germany</w:t>
            </w:r>
          </w:p>
        </w:tc>
        <w:tc>
          <w:tcPr>
            <w:tcW w:type="dxa" w:w="1322"/>
            <w:vAlign w:val="center"/>
            <w:tcMar>
              <w:top w:w="70" w:type="dxa"/>
              <w:start w:w="80" w:type="dxa"/>
              <w:bottom w:w="70" w:type="dxa"/>
              <w:end w:w="80" w:type="dxa"/>
            </w:tcMar>
          </w:tcPr>
          <w:p>
            <w:pPr>
              <w:spacing w:after="0"/>
              <w:jc w:val="left"/>
            </w:pPr>
            <w:r>
              <w:rPr>
                <w:sz w:val="15"/>
              </w:rPr>
              <w:t>Use process-mining techniques to uncover tactical patterns from event data.</w:t>
            </w:r>
          </w:p>
        </w:tc>
        <w:tc>
          <w:tcPr>
            <w:tcW w:type="dxa" w:w="1322"/>
            <w:vAlign w:val="center"/>
            <w:tcMar>
              <w:top w:w="70" w:type="dxa"/>
              <w:start w:w="80" w:type="dxa"/>
              <w:bottom w:w="70" w:type="dxa"/>
              <w:end w:w="80" w:type="dxa"/>
            </w:tcMar>
          </w:tcPr>
          <w:p>
            <w:pPr>
              <w:spacing w:after="0"/>
              <w:jc w:val="left"/>
            </w:pPr>
            <w:r>
              <w:rPr>
                <w:sz w:val="15"/>
              </w:rPr>
              <w:t>Research article</w:t>
            </w:r>
          </w:p>
        </w:tc>
        <w:tc>
          <w:tcPr>
            <w:tcW w:type="dxa" w:w="1322"/>
            <w:vAlign w:val="center"/>
            <w:tcMar>
              <w:top w:w="70" w:type="dxa"/>
              <w:start w:w="80" w:type="dxa"/>
              <w:bottom w:w="70" w:type="dxa"/>
              <w:end w:w="80" w:type="dxa"/>
            </w:tcMar>
          </w:tcPr>
          <w:p>
            <w:pPr>
              <w:spacing w:after="0"/>
              <w:jc w:val="left"/>
            </w:pPr>
            <w:r>
              <w:rPr>
                <w:sz w:val="15"/>
              </w:rPr>
              <w:t>Shows how process mining can reveal recurring tactical sequences from football event logs. Extends tactical analysis beyond descriptive event statistics.</w:t>
            </w:r>
          </w:p>
        </w:tc>
        <w:tc>
          <w:tcPr>
            <w:tcW w:type="dxa" w:w="1322"/>
            <w:vAlign w:val="center"/>
            <w:tcMar>
              <w:top w:w="70" w:type="dxa"/>
              <w:start w:w="80" w:type="dxa"/>
              <w:bottom w:w="70" w:type="dxa"/>
              <w:end w:w="80" w:type="dxa"/>
            </w:tcMar>
          </w:tcPr>
          <w:p>
            <w:pPr>
              <w:spacing w:after="0"/>
              <w:jc w:val="left"/>
            </w:pPr>
            <w:r>
              <w:rPr>
                <w:color w:val="1E59A3"/>
                <w:sz w:val="15"/>
              </w:rPr>
              <w:t>https://doi.org/10.3389/frai.2020.00047</w:t>
            </w:r>
          </w:p>
        </w:tc>
        <w:tc>
          <w:tcPr>
            <w:tcW w:type="dxa" w:w="1322"/>
            <w:vAlign w:val="center"/>
            <w:tcMar>
              <w:top w:w="70" w:type="dxa"/>
              <w:start w:w="80" w:type="dxa"/>
              <w:bottom w:w="70" w:type="dxa"/>
              <w:end w:w="80" w:type="dxa"/>
            </w:tcMar>
          </w:tcPr>
          <w:p>
            <w:pPr>
              <w:spacing w:after="0"/>
              <w:jc w:val="left"/>
            </w:pPr>
            <w:r>
              <w:rPr>
                <w:color w:val="1E59A3"/>
                <w:sz w:val="15"/>
              </w:rPr>
              <w:t>10.3389/frai.2020.00047</w:t>
            </w:r>
          </w:p>
        </w:tc>
      </w:tr>
      <w:tr>
        <w:tc>
          <w:tcPr>
            <w:tcW w:type="dxa" w:w="1322"/>
            <w:vAlign w:val="center"/>
            <w:tcMar>
              <w:top w:w="70" w:type="dxa"/>
              <w:start w:w="80" w:type="dxa"/>
              <w:bottom w:w="70" w:type="dxa"/>
              <w:end w:w="80" w:type="dxa"/>
            </w:tcMar>
            <w:shd w:fill="F7FAFD"/>
          </w:tcPr>
          <w:p>
            <w:pPr>
              <w:spacing w:after="0"/>
              <w:jc w:val="left"/>
            </w:pPr>
            <w:r>
              <w:rPr>
                <w:sz w:val="15"/>
              </w:rPr>
              <w:t>An Automated System for Generating Tactical Performance Statistics for Individual Soccer Players From Videos</w:t>
            </w:r>
          </w:p>
        </w:tc>
        <w:tc>
          <w:tcPr>
            <w:tcW w:type="dxa" w:w="1322"/>
            <w:vAlign w:val="center"/>
            <w:tcMar>
              <w:top w:w="70" w:type="dxa"/>
              <w:start w:w="80" w:type="dxa"/>
              <w:bottom w:w="70" w:type="dxa"/>
              <w:end w:w="80" w:type="dxa"/>
            </w:tcMar>
            <w:shd w:fill="F7FAFD"/>
          </w:tcPr>
          <w:p>
            <w:pPr>
              <w:spacing w:after="0"/>
              <w:jc w:val="left"/>
            </w:pPr>
            <w:r>
              <w:rPr>
                <w:sz w:val="15"/>
              </w:rPr>
              <w:t>Theagarajan &amp; Bhanu (2021)</w:t>
            </w:r>
          </w:p>
        </w:tc>
        <w:tc>
          <w:tcPr>
            <w:tcW w:type="dxa" w:w="1322"/>
            <w:vAlign w:val="center"/>
            <w:tcMar>
              <w:top w:w="70" w:type="dxa"/>
              <w:start w:w="80" w:type="dxa"/>
              <w:bottom w:w="70" w:type="dxa"/>
              <w:end w:w="80" w:type="dxa"/>
            </w:tcMar>
            <w:shd w:fill="F7FAFD"/>
          </w:tcPr>
          <w:p>
            <w:pPr>
              <w:spacing w:after="0"/>
              <w:jc w:val="center"/>
            </w:pPr>
            <w:r>
              <w:rPr>
                <w:sz w:val="15"/>
              </w:rPr>
              <w:t>2021</w:t>
            </w:r>
          </w:p>
        </w:tc>
        <w:tc>
          <w:tcPr>
            <w:tcW w:type="dxa" w:w="1322"/>
            <w:vAlign w:val="center"/>
            <w:tcMar>
              <w:top w:w="70" w:type="dxa"/>
              <w:start w:w="80" w:type="dxa"/>
              <w:bottom w:w="70" w:type="dxa"/>
              <w:end w:w="80" w:type="dxa"/>
            </w:tcMar>
            <w:shd w:fill="F7FAFD"/>
          </w:tcPr>
          <w:p>
            <w:pPr>
              <w:spacing w:after="0"/>
              <w:jc w:val="left"/>
            </w:pPr>
            <w:r>
              <w:rPr>
                <w:sz w:val="15"/>
              </w:rPr>
              <w:t>IEEE Transactions on Circuits and Systems for Video Technology, 31(2), 632–646</w:t>
            </w:r>
          </w:p>
        </w:tc>
        <w:tc>
          <w:tcPr>
            <w:tcW w:type="dxa" w:w="1322"/>
            <w:vAlign w:val="center"/>
            <w:tcMar>
              <w:top w:w="70" w:type="dxa"/>
              <w:start w:w="80" w:type="dxa"/>
              <w:bottom w:w="70" w:type="dxa"/>
              <w:end w:w="80" w:type="dxa"/>
            </w:tcMar>
            <w:shd w:fill="F7FAFD"/>
          </w:tcPr>
          <w:p>
            <w:pPr>
              <w:spacing w:after="0"/>
              <w:jc w:val="left"/>
            </w:pPr>
            <w:r>
              <w:rPr>
                <w:sz w:val="15"/>
              </w:rPr>
              <w:t>Association football</w:t>
            </w:r>
          </w:p>
        </w:tc>
        <w:tc>
          <w:tcPr>
            <w:tcW w:type="dxa" w:w="1322"/>
            <w:vAlign w:val="center"/>
            <w:tcMar>
              <w:top w:w="70" w:type="dxa"/>
              <w:start w:w="80" w:type="dxa"/>
              <w:bottom w:w="70" w:type="dxa"/>
              <w:end w:w="80" w:type="dxa"/>
            </w:tcMar>
            <w:shd w:fill="F7FAFD"/>
          </w:tcPr>
          <w:p>
            <w:pPr>
              <w:spacing w:after="0"/>
              <w:jc w:val="left"/>
            </w:pPr>
            <w:r>
              <w:rPr>
                <w:sz w:val="15"/>
              </w:rPr>
              <w:t>United States</w:t>
            </w:r>
          </w:p>
        </w:tc>
        <w:tc>
          <w:tcPr>
            <w:tcW w:type="dxa" w:w="1322"/>
            <w:vAlign w:val="center"/>
            <w:tcMar>
              <w:top w:w="70" w:type="dxa"/>
              <w:start w:w="80" w:type="dxa"/>
              <w:bottom w:w="70" w:type="dxa"/>
              <w:end w:w="80" w:type="dxa"/>
            </w:tcMar>
            <w:shd w:fill="F7FAFD"/>
          </w:tcPr>
          <w:p>
            <w:pPr>
              <w:spacing w:after="0"/>
              <w:jc w:val="left"/>
            </w:pPr>
            <w:r>
              <w:rPr>
                <w:sz w:val="15"/>
              </w:rPr>
              <w:t>Automate extraction of individual tactical statistics from video.</w:t>
            </w:r>
          </w:p>
        </w:tc>
        <w:tc>
          <w:tcPr>
            <w:tcW w:type="dxa" w:w="1322"/>
            <w:vAlign w:val="center"/>
            <w:tcMar>
              <w:top w:w="70" w:type="dxa"/>
              <w:start w:w="80" w:type="dxa"/>
              <w:bottom w:w="70" w:type="dxa"/>
              <w:end w:w="80" w:type="dxa"/>
            </w:tcMar>
            <w:shd w:fill="F7FAFD"/>
          </w:tcPr>
          <w:p>
            <w:pPr>
              <w:spacing w:after="0"/>
              <w:jc w:val="left"/>
            </w:pPr>
            <w:r>
              <w:rPr>
                <w:sz w:val="15"/>
              </w:rPr>
              <w:t>Research article</w:t>
            </w:r>
          </w:p>
        </w:tc>
        <w:tc>
          <w:tcPr>
            <w:tcW w:type="dxa" w:w="1322"/>
            <w:vAlign w:val="center"/>
            <w:tcMar>
              <w:top w:w="70" w:type="dxa"/>
              <w:start w:w="80" w:type="dxa"/>
              <w:bottom w:w="70" w:type="dxa"/>
              <w:end w:w="80" w:type="dxa"/>
            </w:tcMar>
            <w:shd w:fill="F7FAFD"/>
          </w:tcPr>
          <w:p>
            <w:pPr>
              <w:spacing w:after="0"/>
              <w:jc w:val="left"/>
            </w:pPr>
            <w:r>
              <w:rPr>
                <w:sz w:val="15"/>
              </w:rPr>
              <w:t>Uses computer vision to derive player-level tactical statistics directly from match footage. Relevant for video-based systems where tracking infrastructure is unavailable.</w:t>
            </w:r>
          </w:p>
        </w:tc>
        <w:tc>
          <w:tcPr>
            <w:tcW w:type="dxa" w:w="1322"/>
            <w:vAlign w:val="center"/>
            <w:tcMar>
              <w:top w:w="70" w:type="dxa"/>
              <w:start w:w="80" w:type="dxa"/>
              <w:bottom w:w="70" w:type="dxa"/>
              <w:end w:w="80" w:type="dxa"/>
            </w:tcMar>
            <w:shd w:fill="F7FAFD"/>
          </w:tcPr>
          <w:p>
            <w:pPr>
              <w:spacing w:after="0"/>
              <w:jc w:val="left"/>
            </w:pPr>
            <w:r>
              <w:rPr>
                <w:color w:val="1E59A3"/>
                <w:sz w:val="15"/>
              </w:rPr>
              <w:t>https://doi.org/10.1109/TCSVT.2020.2982580</w:t>
            </w:r>
          </w:p>
        </w:tc>
        <w:tc>
          <w:tcPr>
            <w:tcW w:type="dxa" w:w="1322"/>
            <w:vAlign w:val="center"/>
            <w:tcMar>
              <w:top w:w="70" w:type="dxa"/>
              <w:start w:w="80" w:type="dxa"/>
              <w:bottom w:w="70" w:type="dxa"/>
              <w:end w:w="80" w:type="dxa"/>
            </w:tcMar>
            <w:shd w:fill="F7FAFD"/>
          </w:tcPr>
          <w:p>
            <w:pPr>
              <w:spacing w:after="0"/>
              <w:jc w:val="left"/>
            </w:pPr>
            <w:r>
              <w:rPr>
                <w:color w:val="1E59A3"/>
                <w:sz w:val="15"/>
              </w:rPr>
              <w:t>10.1109/TCSVT.2020.2982580</w:t>
            </w:r>
          </w:p>
        </w:tc>
      </w:tr>
      <w:tr>
        <w:tc>
          <w:tcPr>
            <w:tcW w:type="dxa" w:w="1322"/>
            <w:vAlign w:val="center"/>
            <w:tcMar>
              <w:top w:w="70" w:type="dxa"/>
              <w:start w:w="80" w:type="dxa"/>
              <w:bottom w:w="70" w:type="dxa"/>
              <w:end w:w="80" w:type="dxa"/>
            </w:tcMar>
          </w:tcPr>
          <w:p>
            <w:pPr>
              <w:spacing w:after="0"/>
              <w:jc w:val="left"/>
            </w:pPr>
            <w:r>
              <w:rPr>
                <w:sz w:val="15"/>
              </w:rPr>
              <w:t>Constructing Spaces and Times for Tactical Analysis in Football</w:t>
            </w:r>
          </w:p>
        </w:tc>
        <w:tc>
          <w:tcPr>
            <w:tcW w:type="dxa" w:w="1322"/>
            <w:vAlign w:val="center"/>
            <w:tcMar>
              <w:top w:w="70" w:type="dxa"/>
              <w:start w:w="80" w:type="dxa"/>
              <w:bottom w:w="70" w:type="dxa"/>
              <w:end w:w="80" w:type="dxa"/>
            </w:tcMar>
          </w:tcPr>
          <w:p>
            <w:pPr>
              <w:spacing w:after="0"/>
              <w:jc w:val="left"/>
            </w:pPr>
            <w:r>
              <w:rPr>
                <w:sz w:val="15"/>
              </w:rPr>
              <w:t>Andrienko et al. (2021)</w:t>
            </w:r>
          </w:p>
        </w:tc>
        <w:tc>
          <w:tcPr>
            <w:tcW w:type="dxa" w:w="1322"/>
            <w:vAlign w:val="center"/>
            <w:tcMar>
              <w:top w:w="70" w:type="dxa"/>
              <w:start w:w="80" w:type="dxa"/>
              <w:bottom w:w="70" w:type="dxa"/>
              <w:end w:w="80" w:type="dxa"/>
            </w:tcMar>
          </w:tcPr>
          <w:p>
            <w:pPr>
              <w:spacing w:after="0"/>
              <w:jc w:val="center"/>
            </w:pPr>
            <w:r>
              <w:rPr>
                <w:sz w:val="15"/>
              </w:rPr>
              <w:t>2021</w:t>
            </w:r>
          </w:p>
        </w:tc>
        <w:tc>
          <w:tcPr>
            <w:tcW w:type="dxa" w:w="1322"/>
            <w:vAlign w:val="center"/>
            <w:tcMar>
              <w:top w:w="70" w:type="dxa"/>
              <w:start w:w="80" w:type="dxa"/>
              <w:bottom w:w="70" w:type="dxa"/>
              <w:end w:w="80" w:type="dxa"/>
            </w:tcMar>
          </w:tcPr>
          <w:p>
            <w:pPr>
              <w:spacing w:after="0"/>
              <w:jc w:val="left"/>
            </w:pPr>
            <w:r>
              <w:rPr>
                <w:sz w:val="15"/>
              </w:rPr>
              <w:t>IEEE Transactions on Visualization and Computer Graphics, 27(4), 2280–2297</w:t>
            </w:r>
          </w:p>
        </w:tc>
        <w:tc>
          <w:tcPr>
            <w:tcW w:type="dxa" w:w="1322"/>
            <w:vAlign w:val="center"/>
            <w:tcMar>
              <w:top w:w="70" w:type="dxa"/>
              <w:start w:w="80" w:type="dxa"/>
              <w:bottom w:w="70" w:type="dxa"/>
              <w:end w:w="80" w:type="dxa"/>
            </w:tcMar>
          </w:tcPr>
          <w:p>
            <w:pPr>
              <w:spacing w:after="0"/>
              <w:jc w:val="left"/>
            </w:pPr>
            <w:r>
              <w:rPr>
                <w:sz w:val="15"/>
              </w:rPr>
              <w:t>Association football</w:t>
            </w:r>
          </w:p>
        </w:tc>
        <w:tc>
          <w:tcPr>
            <w:tcW w:type="dxa" w:w="1322"/>
            <w:vAlign w:val="center"/>
            <w:tcMar>
              <w:top w:w="70" w:type="dxa"/>
              <w:start w:w="80" w:type="dxa"/>
              <w:bottom w:w="70" w:type="dxa"/>
              <w:end w:w="80" w:type="dxa"/>
            </w:tcMar>
          </w:tcPr>
          <w:p>
            <w:pPr>
              <w:spacing w:after="0"/>
              <w:jc w:val="left"/>
            </w:pPr>
            <w:r>
              <w:rPr>
                <w:sz w:val="15"/>
              </w:rPr>
              <w:t>Germany</w:t>
            </w:r>
          </w:p>
        </w:tc>
        <w:tc>
          <w:tcPr>
            <w:tcW w:type="dxa" w:w="1322"/>
            <w:vAlign w:val="center"/>
            <w:tcMar>
              <w:top w:w="70" w:type="dxa"/>
              <w:start w:w="80" w:type="dxa"/>
              <w:bottom w:w="70" w:type="dxa"/>
              <w:end w:w="80" w:type="dxa"/>
            </w:tcMar>
          </w:tcPr>
          <w:p>
            <w:pPr>
              <w:spacing w:after="0"/>
              <w:jc w:val="left"/>
            </w:pPr>
            <w:r>
              <w:rPr>
                <w:sz w:val="15"/>
              </w:rPr>
              <w:t>Develop spatial-temporal representations for coordinated tactical analysis.</w:t>
            </w:r>
          </w:p>
        </w:tc>
        <w:tc>
          <w:tcPr>
            <w:tcW w:type="dxa" w:w="1322"/>
            <w:vAlign w:val="center"/>
            <w:tcMar>
              <w:top w:w="70" w:type="dxa"/>
              <w:start w:w="80" w:type="dxa"/>
              <w:bottom w:w="70" w:type="dxa"/>
              <w:end w:w="80" w:type="dxa"/>
            </w:tcMar>
          </w:tcPr>
          <w:p>
            <w:pPr>
              <w:spacing w:after="0"/>
              <w:jc w:val="left"/>
            </w:pPr>
            <w:r>
              <w:rPr>
                <w:sz w:val="15"/>
              </w:rPr>
              <w:t>Research article</w:t>
            </w:r>
          </w:p>
        </w:tc>
        <w:tc>
          <w:tcPr>
            <w:tcW w:type="dxa" w:w="1322"/>
            <w:vAlign w:val="center"/>
            <w:tcMar>
              <w:top w:w="70" w:type="dxa"/>
              <w:start w:w="80" w:type="dxa"/>
              <w:bottom w:w="70" w:type="dxa"/>
              <w:end w:w="80" w:type="dxa"/>
            </w:tcMar>
          </w:tcPr>
          <w:p>
            <w:pPr>
              <w:spacing w:after="0"/>
              <w:jc w:val="left"/>
            </w:pPr>
            <w:r>
              <w:rPr>
                <w:sz w:val="15"/>
              </w:rPr>
              <w:t>Introduces visualization and analytic methods for understanding space-time structures in football. Important for coach-facing representations of coordinated movement.</w:t>
            </w:r>
          </w:p>
        </w:tc>
        <w:tc>
          <w:tcPr>
            <w:tcW w:type="dxa" w:w="1322"/>
            <w:vAlign w:val="center"/>
            <w:tcMar>
              <w:top w:w="70" w:type="dxa"/>
              <w:start w:w="80" w:type="dxa"/>
              <w:bottom w:w="70" w:type="dxa"/>
              <w:end w:w="80" w:type="dxa"/>
            </w:tcMar>
          </w:tcPr>
          <w:p>
            <w:pPr>
              <w:spacing w:after="0"/>
              <w:jc w:val="left"/>
            </w:pPr>
            <w:r>
              <w:rPr>
                <w:color w:val="1E59A3"/>
                <w:sz w:val="15"/>
              </w:rPr>
              <w:t>https://doi.org/10.1109/TVCG.2019.2952129</w:t>
            </w:r>
          </w:p>
        </w:tc>
        <w:tc>
          <w:tcPr>
            <w:tcW w:type="dxa" w:w="1322"/>
            <w:vAlign w:val="center"/>
            <w:tcMar>
              <w:top w:w="70" w:type="dxa"/>
              <w:start w:w="80" w:type="dxa"/>
              <w:bottom w:w="70" w:type="dxa"/>
              <w:end w:w="80" w:type="dxa"/>
            </w:tcMar>
          </w:tcPr>
          <w:p>
            <w:pPr>
              <w:spacing w:after="0"/>
              <w:jc w:val="left"/>
            </w:pPr>
            <w:r>
              <w:rPr>
                <w:color w:val="1E59A3"/>
                <w:sz w:val="15"/>
              </w:rPr>
              <w:t>10.1109/TVCG.2019.2952129</w:t>
            </w:r>
          </w:p>
        </w:tc>
      </w:tr>
      <w:tr>
        <w:tc>
          <w:tcPr>
            <w:tcW w:type="dxa" w:w="1322"/>
            <w:vAlign w:val="center"/>
            <w:tcMar>
              <w:top w:w="70" w:type="dxa"/>
              <w:start w:w="80" w:type="dxa"/>
              <w:bottom w:w="70" w:type="dxa"/>
              <w:end w:w="80" w:type="dxa"/>
            </w:tcMar>
            <w:shd w:fill="F7FAFD"/>
          </w:tcPr>
          <w:p>
            <w:pPr>
              <w:spacing w:after="0"/>
              <w:jc w:val="left"/>
            </w:pPr>
            <w:r>
              <w:rPr>
                <w:sz w:val="15"/>
              </w:rPr>
              <w:t>Modelling Team Performance in Soccer Using Tactical Features Derived from Position Tracking Data</w:t>
            </w:r>
          </w:p>
        </w:tc>
        <w:tc>
          <w:tcPr>
            <w:tcW w:type="dxa" w:w="1322"/>
            <w:vAlign w:val="center"/>
            <w:tcMar>
              <w:top w:w="70" w:type="dxa"/>
              <w:start w:w="80" w:type="dxa"/>
              <w:bottom w:w="70" w:type="dxa"/>
              <w:end w:w="80" w:type="dxa"/>
            </w:tcMar>
            <w:shd w:fill="F7FAFD"/>
          </w:tcPr>
          <w:p>
            <w:pPr>
              <w:spacing w:after="0"/>
              <w:jc w:val="left"/>
            </w:pPr>
            <w:r>
              <w:rPr>
                <w:sz w:val="15"/>
              </w:rPr>
              <w:t>Goes et al. (2021)</w:t>
            </w:r>
          </w:p>
        </w:tc>
        <w:tc>
          <w:tcPr>
            <w:tcW w:type="dxa" w:w="1322"/>
            <w:vAlign w:val="center"/>
            <w:tcMar>
              <w:top w:w="70" w:type="dxa"/>
              <w:start w:w="80" w:type="dxa"/>
              <w:bottom w:w="70" w:type="dxa"/>
              <w:end w:w="80" w:type="dxa"/>
            </w:tcMar>
            <w:shd w:fill="F7FAFD"/>
          </w:tcPr>
          <w:p>
            <w:pPr>
              <w:spacing w:after="0"/>
              <w:jc w:val="center"/>
            </w:pPr>
            <w:r>
              <w:rPr>
                <w:sz w:val="15"/>
              </w:rPr>
              <w:t>2021</w:t>
            </w:r>
          </w:p>
        </w:tc>
        <w:tc>
          <w:tcPr>
            <w:tcW w:type="dxa" w:w="1322"/>
            <w:vAlign w:val="center"/>
            <w:tcMar>
              <w:top w:w="70" w:type="dxa"/>
              <w:start w:w="80" w:type="dxa"/>
              <w:bottom w:w="70" w:type="dxa"/>
              <w:end w:w="80" w:type="dxa"/>
            </w:tcMar>
            <w:shd w:fill="F7FAFD"/>
          </w:tcPr>
          <w:p>
            <w:pPr>
              <w:spacing w:after="0"/>
              <w:jc w:val="left"/>
            </w:pPr>
            <w:r>
              <w:rPr>
                <w:sz w:val="15"/>
              </w:rPr>
              <w:t>IMA Journal of Management Mathematics, 32(4), 519–533</w:t>
            </w:r>
          </w:p>
        </w:tc>
        <w:tc>
          <w:tcPr>
            <w:tcW w:type="dxa" w:w="1322"/>
            <w:vAlign w:val="center"/>
            <w:tcMar>
              <w:top w:w="70" w:type="dxa"/>
              <w:start w:w="80" w:type="dxa"/>
              <w:bottom w:w="70" w:type="dxa"/>
              <w:end w:w="80" w:type="dxa"/>
            </w:tcMar>
            <w:shd w:fill="F7FAFD"/>
          </w:tcPr>
          <w:p>
            <w:pPr>
              <w:spacing w:after="0"/>
              <w:jc w:val="left"/>
            </w:pPr>
            <w:r>
              <w:rPr>
                <w:sz w:val="15"/>
              </w:rPr>
              <w:t>Association football</w:t>
            </w:r>
          </w:p>
        </w:tc>
        <w:tc>
          <w:tcPr>
            <w:tcW w:type="dxa" w:w="1322"/>
            <w:vAlign w:val="center"/>
            <w:tcMar>
              <w:top w:w="70" w:type="dxa"/>
              <w:start w:w="80" w:type="dxa"/>
              <w:bottom w:w="70" w:type="dxa"/>
              <w:end w:w="80" w:type="dxa"/>
            </w:tcMar>
            <w:shd w:fill="F7FAFD"/>
          </w:tcPr>
          <w:p>
            <w:pPr>
              <w:spacing w:after="0"/>
              <w:jc w:val="left"/>
            </w:pPr>
            <w:r>
              <w:rPr>
                <w:sz w:val="15"/>
              </w:rPr>
              <w:t>Netherlands</w:t>
            </w:r>
          </w:p>
        </w:tc>
        <w:tc>
          <w:tcPr>
            <w:tcW w:type="dxa" w:w="1322"/>
            <w:vAlign w:val="center"/>
            <w:tcMar>
              <w:top w:w="70" w:type="dxa"/>
              <w:start w:w="80" w:type="dxa"/>
              <w:bottom w:w="70" w:type="dxa"/>
              <w:end w:w="80" w:type="dxa"/>
            </w:tcMar>
            <w:shd w:fill="F7FAFD"/>
          </w:tcPr>
          <w:p>
            <w:pPr>
              <w:spacing w:after="0"/>
              <w:jc w:val="left"/>
            </w:pPr>
            <w:r>
              <w:rPr>
                <w:sz w:val="15"/>
              </w:rPr>
              <w:t>Link tactical features from tracking data to team performance outcomes.</w:t>
            </w:r>
          </w:p>
        </w:tc>
        <w:tc>
          <w:tcPr>
            <w:tcW w:type="dxa" w:w="1322"/>
            <w:vAlign w:val="center"/>
            <w:tcMar>
              <w:top w:w="70" w:type="dxa"/>
              <w:start w:w="80" w:type="dxa"/>
              <w:bottom w:w="70" w:type="dxa"/>
              <w:end w:w="80" w:type="dxa"/>
            </w:tcMar>
            <w:shd w:fill="F7FAFD"/>
          </w:tcPr>
          <w:p>
            <w:pPr>
              <w:spacing w:after="0"/>
              <w:jc w:val="left"/>
            </w:pPr>
            <w:r>
              <w:rPr>
                <w:sz w:val="15"/>
              </w:rPr>
              <w:t>Research article</w:t>
            </w:r>
          </w:p>
        </w:tc>
        <w:tc>
          <w:tcPr>
            <w:tcW w:type="dxa" w:w="1322"/>
            <w:vAlign w:val="center"/>
            <w:tcMar>
              <w:top w:w="70" w:type="dxa"/>
              <w:start w:w="80" w:type="dxa"/>
              <w:bottom w:w="70" w:type="dxa"/>
              <w:end w:w="80" w:type="dxa"/>
            </w:tcMar>
            <w:shd w:fill="F7FAFD"/>
          </w:tcPr>
          <w:p>
            <w:pPr>
              <w:spacing w:after="0"/>
              <w:jc w:val="left"/>
            </w:pPr>
            <w:r>
              <w:rPr>
                <w:sz w:val="15"/>
              </w:rPr>
              <w:t>Demonstrates that tactical features extracted from tracking data can predict team performance. Strong bridge between raw tracking data and decision-support variables.</w:t>
            </w:r>
          </w:p>
        </w:tc>
        <w:tc>
          <w:tcPr>
            <w:tcW w:type="dxa" w:w="1322"/>
            <w:vAlign w:val="center"/>
            <w:tcMar>
              <w:top w:w="70" w:type="dxa"/>
              <w:start w:w="80" w:type="dxa"/>
              <w:bottom w:w="70" w:type="dxa"/>
              <w:end w:w="80" w:type="dxa"/>
            </w:tcMar>
            <w:shd w:fill="F7FAFD"/>
          </w:tcPr>
          <w:p>
            <w:pPr>
              <w:spacing w:after="0"/>
              <w:jc w:val="left"/>
            </w:pPr>
            <w:r>
              <w:rPr>
                <w:color w:val="1E59A3"/>
                <w:sz w:val="15"/>
              </w:rPr>
              <w:t>https://doi.org/10.1093/imaman/dpab006</w:t>
            </w:r>
          </w:p>
        </w:tc>
        <w:tc>
          <w:tcPr>
            <w:tcW w:type="dxa" w:w="1322"/>
            <w:vAlign w:val="center"/>
            <w:tcMar>
              <w:top w:w="70" w:type="dxa"/>
              <w:start w:w="80" w:type="dxa"/>
              <w:bottom w:w="70" w:type="dxa"/>
              <w:end w:w="80" w:type="dxa"/>
            </w:tcMar>
            <w:shd w:fill="F7FAFD"/>
          </w:tcPr>
          <w:p>
            <w:pPr>
              <w:spacing w:after="0"/>
              <w:jc w:val="left"/>
            </w:pPr>
            <w:r>
              <w:rPr>
                <w:color w:val="1E59A3"/>
                <w:sz w:val="15"/>
              </w:rPr>
              <w:t>10.1093/imaman/dpab006</w:t>
            </w:r>
          </w:p>
        </w:tc>
      </w:tr>
      <w:tr>
        <w:tc>
          <w:tcPr>
            <w:tcW w:type="dxa" w:w="1322"/>
            <w:vAlign w:val="center"/>
            <w:tcMar>
              <w:top w:w="70" w:type="dxa"/>
              <w:start w:w="80" w:type="dxa"/>
              <w:bottom w:w="70" w:type="dxa"/>
              <w:end w:w="80" w:type="dxa"/>
            </w:tcMar>
          </w:tcPr>
          <w:p>
            <w:pPr>
              <w:spacing w:after="0"/>
              <w:jc w:val="left"/>
            </w:pPr>
            <w:r>
              <w:rPr>
                <w:sz w:val="15"/>
              </w:rPr>
              <w:t>Football Tracking Data: A Copula-Based Hidden Markov Model for Classification of Tactics in Football</w:t>
            </w:r>
          </w:p>
        </w:tc>
        <w:tc>
          <w:tcPr>
            <w:tcW w:type="dxa" w:w="1322"/>
            <w:vAlign w:val="center"/>
            <w:tcMar>
              <w:top w:w="70" w:type="dxa"/>
              <w:start w:w="80" w:type="dxa"/>
              <w:bottom w:w="70" w:type="dxa"/>
              <w:end w:w="80" w:type="dxa"/>
            </w:tcMar>
          </w:tcPr>
          <w:p>
            <w:pPr>
              <w:spacing w:after="0"/>
              <w:jc w:val="left"/>
            </w:pPr>
            <w:r>
              <w:rPr>
                <w:sz w:val="15"/>
              </w:rPr>
              <w:t>Ötting &amp; Karlis (2023)</w:t>
            </w:r>
          </w:p>
        </w:tc>
        <w:tc>
          <w:tcPr>
            <w:tcW w:type="dxa" w:w="1322"/>
            <w:vAlign w:val="center"/>
            <w:tcMar>
              <w:top w:w="70" w:type="dxa"/>
              <w:start w:w="80" w:type="dxa"/>
              <w:bottom w:w="70" w:type="dxa"/>
              <w:end w:w="80" w:type="dxa"/>
            </w:tcMar>
          </w:tcPr>
          <w:p>
            <w:pPr>
              <w:spacing w:after="0"/>
              <w:jc w:val="center"/>
            </w:pPr>
            <w:r>
              <w:rPr>
                <w:sz w:val="15"/>
              </w:rPr>
              <w:t>2023</w:t>
            </w:r>
          </w:p>
        </w:tc>
        <w:tc>
          <w:tcPr>
            <w:tcW w:type="dxa" w:w="1322"/>
            <w:vAlign w:val="center"/>
            <w:tcMar>
              <w:top w:w="70" w:type="dxa"/>
              <w:start w:w="80" w:type="dxa"/>
              <w:bottom w:w="70" w:type="dxa"/>
              <w:end w:w="80" w:type="dxa"/>
            </w:tcMar>
          </w:tcPr>
          <w:p>
            <w:pPr>
              <w:spacing w:after="0"/>
              <w:jc w:val="left"/>
            </w:pPr>
            <w:r>
              <w:rPr>
                <w:sz w:val="15"/>
              </w:rPr>
              <w:t>Annals of Operations Research, 325(1), 167–183</w:t>
            </w:r>
          </w:p>
        </w:tc>
        <w:tc>
          <w:tcPr>
            <w:tcW w:type="dxa" w:w="1322"/>
            <w:vAlign w:val="center"/>
            <w:tcMar>
              <w:top w:w="70" w:type="dxa"/>
              <w:start w:w="80" w:type="dxa"/>
              <w:bottom w:w="70" w:type="dxa"/>
              <w:end w:w="80" w:type="dxa"/>
            </w:tcMar>
          </w:tcPr>
          <w:p>
            <w:pPr>
              <w:spacing w:after="0"/>
              <w:jc w:val="left"/>
            </w:pPr>
            <w:r>
              <w:rPr>
                <w:sz w:val="15"/>
              </w:rPr>
              <w:t>Association football</w:t>
            </w:r>
          </w:p>
        </w:tc>
        <w:tc>
          <w:tcPr>
            <w:tcW w:type="dxa" w:w="1322"/>
            <w:vAlign w:val="center"/>
            <w:tcMar>
              <w:top w:w="70" w:type="dxa"/>
              <w:start w:w="80" w:type="dxa"/>
              <w:bottom w:w="70" w:type="dxa"/>
              <w:end w:w="80" w:type="dxa"/>
            </w:tcMar>
          </w:tcPr>
          <w:p>
            <w:pPr>
              <w:spacing w:after="0"/>
              <w:jc w:val="left"/>
            </w:pPr>
            <w:r>
              <w:rPr>
                <w:sz w:val="15"/>
              </w:rPr>
            </w:r>
          </w:p>
        </w:tc>
        <w:tc>
          <w:tcPr>
            <w:tcW w:type="dxa" w:w="1322"/>
            <w:vAlign w:val="center"/>
            <w:tcMar>
              <w:top w:w="70" w:type="dxa"/>
              <w:start w:w="80" w:type="dxa"/>
              <w:bottom w:w="70" w:type="dxa"/>
              <w:end w:w="80" w:type="dxa"/>
            </w:tcMar>
          </w:tcPr>
          <w:p>
            <w:pPr>
              <w:spacing w:after="0"/>
              <w:jc w:val="left"/>
            </w:pPr>
            <w:r>
              <w:rPr>
                <w:sz w:val="15"/>
              </w:rPr>
              <w:t>Classify football tactics using a hidden Markov modelling approach.</w:t>
            </w:r>
          </w:p>
        </w:tc>
        <w:tc>
          <w:tcPr>
            <w:tcW w:type="dxa" w:w="1322"/>
            <w:vAlign w:val="center"/>
            <w:tcMar>
              <w:top w:w="70" w:type="dxa"/>
              <w:start w:w="80" w:type="dxa"/>
              <w:bottom w:w="70" w:type="dxa"/>
              <w:end w:w="80" w:type="dxa"/>
            </w:tcMar>
          </w:tcPr>
          <w:p>
            <w:pPr>
              <w:spacing w:after="0"/>
              <w:jc w:val="left"/>
            </w:pPr>
            <w:r>
              <w:rPr>
                <w:sz w:val="15"/>
              </w:rPr>
              <w:t>Research article</w:t>
            </w:r>
          </w:p>
        </w:tc>
        <w:tc>
          <w:tcPr>
            <w:tcW w:type="dxa" w:w="1322"/>
            <w:vAlign w:val="center"/>
            <w:tcMar>
              <w:top w:w="70" w:type="dxa"/>
              <w:start w:w="80" w:type="dxa"/>
              <w:bottom w:w="70" w:type="dxa"/>
              <w:end w:w="80" w:type="dxa"/>
            </w:tcMar>
          </w:tcPr>
          <w:p>
            <w:pPr>
              <w:spacing w:after="0"/>
              <w:jc w:val="left"/>
            </w:pPr>
            <w:r>
              <w:rPr>
                <w:sz w:val="15"/>
              </w:rPr>
              <w:t>Applies a copula-based hidden Markov model to automated tactic classification. Shows the value of probabilistic models for structured tactical states.</w:t>
            </w:r>
          </w:p>
        </w:tc>
        <w:tc>
          <w:tcPr>
            <w:tcW w:type="dxa" w:w="1322"/>
            <w:vAlign w:val="center"/>
            <w:tcMar>
              <w:top w:w="70" w:type="dxa"/>
              <w:start w:w="80" w:type="dxa"/>
              <w:bottom w:w="70" w:type="dxa"/>
              <w:end w:w="80" w:type="dxa"/>
            </w:tcMar>
          </w:tcPr>
          <w:p>
            <w:pPr>
              <w:spacing w:after="0"/>
              <w:jc w:val="left"/>
            </w:pPr>
            <w:r>
              <w:rPr>
                <w:color w:val="1E59A3"/>
                <w:sz w:val="15"/>
              </w:rPr>
              <w:t>https://doi.org/10.1007/s10479-022-04660-0</w:t>
            </w:r>
          </w:p>
        </w:tc>
        <w:tc>
          <w:tcPr>
            <w:tcW w:type="dxa" w:w="1322"/>
            <w:vAlign w:val="center"/>
            <w:tcMar>
              <w:top w:w="70" w:type="dxa"/>
              <w:start w:w="80" w:type="dxa"/>
              <w:bottom w:w="70" w:type="dxa"/>
              <w:end w:w="80" w:type="dxa"/>
            </w:tcMar>
          </w:tcPr>
          <w:p>
            <w:pPr>
              <w:spacing w:after="0"/>
              <w:jc w:val="left"/>
            </w:pPr>
            <w:r>
              <w:rPr>
                <w:color w:val="1E59A3"/>
                <w:sz w:val="15"/>
              </w:rPr>
              <w:t>10.1007/s10479-022-04660-0</w:t>
            </w:r>
          </w:p>
        </w:tc>
      </w:tr>
      <w:tr>
        <w:tc>
          <w:tcPr>
            <w:tcW w:type="dxa" w:w="1322"/>
            <w:vAlign w:val="center"/>
            <w:tcMar>
              <w:top w:w="70" w:type="dxa"/>
              <w:start w:w="80" w:type="dxa"/>
              <w:bottom w:w="70" w:type="dxa"/>
              <w:end w:w="80" w:type="dxa"/>
            </w:tcMar>
            <w:shd w:fill="F7FAFD"/>
          </w:tcPr>
          <w:p>
            <w:pPr>
              <w:spacing w:after="0"/>
              <w:jc w:val="left"/>
            </w:pPr>
            <w:r>
              <w:rPr>
                <w:sz w:val="15"/>
              </w:rPr>
              <w:t>A Machine Learning Approach for Player and Position Adjusted Expected Goals in Football (Soccer)</w:t>
            </w:r>
          </w:p>
        </w:tc>
        <w:tc>
          <w:tcPr>
            <w:tcW w:type="dxa" w:w="1322"/>
            <w:vAlign w:val="center"/>
            <w:tcMar>
              <w:top w:w="70" w:type="dxa"/>
              <w:start w:w="80" w:type="dxa"/>
              <w:bottom w:w="70" w:type="dxa"/>
              <w:end w:w="80" w:type="dxa"/>
            </w:tcMar>
            <w:shd w:fill="F7FAFD"/>
          </w:tcPr>
          <w:p>
            <w:pPr>
              <w:spacing w:after="0"/>
              <w:jc w:val="left"/>
            </w:pPr>
            <w:r>
              <w:rPr>
                <w:sz w:val="15"/>
              </w:rPr>
              <w:t>Hewitt &amp; Karakuş (2023)</w:t>
            </w:r>
          </w:p>
        </w:tc>
        <w:tc>
          <w:tcPr>
            <w:tcW w:type="dxa" w:w="1322"/>
            <w:vAlign w:val="center"/>
            <w:tcMar>
              <w:top w:w="70" w:type="dxa"/>
              <w:start w:w="80" w:type="dxa"/>
              <w:bottom w:w="70" w:type="dxa"/>
              <w:end w:w="80" w:type="dxa"/>
            </w:tcMar>
            <w:shd w:fill="F7FAFD"/>
          </w:tcPr>
          <w:p>
            <w:pPr>
              <w:spacing w:after="0"/>
              <w:jc w:val="center"/>
            </w:pPr>
            <w:r>
              <w:rPr>
                <w:sz w:val="15"/>
              </w:rPr>
              <w:t>2023</w:t>
            </w:r>
          </w:p>
        </w:tc>
        <w:tc>
          <w:tcPr>
            <w:tcW w:type="dxa" w:w="1322"/>
            <w:vAlign w:val="center"/>
            <w:tcMar>
              <w:top w:w="70" w:type="dxa"/>
              <w:start w:w="80" w:type="dxa"/>
              <w:bottom w:w="70" w:type="dxa"/>
              <w:end w:w="80" w:type="dxa"/>
            </w:tcMar>
            <w:shd w:fill="F7FAFD"/>
          </w:tcPr>
          <w:p>
            <w:pPr>
              <w:spacing w:after="0"/>
              <w:jc w:val="left"/>
            </w:pPr>
            <w:r>
              <w:rPr>
                <w:sz w:val="15"/>
              </w:rPr>
              <w:t>The Franklin Open, 4, Article 100034</w:t>
            </w:r>
          </w:p>
        </w:tc>
        <w:tc>
          <w:tcPr>
            <w:tcW w:type="dxa" w:w="1322"/>
            <w:vAlign w:val="center"/>
            <w:tcMar>
              <w:top w:w="70" w:type="dxa"/>
              <w:start w:w="80" w:type="dxa"/>
              <w:bottom w:w="70" w:type="dxa"/>
              <w:end w:w="80" w:type="dxa"/>
            </w:tcMar>
            <w:shd w:fill="F7FAFD"/>
          </w:tcPr>
          <w:p>
            <w:pPr>
              <w:spacing w:after="0"/>
              <w:jc w:val="left"/>
            </w:pPr>
            <w:r>
              <w:rPr>
                <w:sz w:val="15"/>
              </w:rPr>
              <w:t>Association football</w:t>
            </w:r>
          </w:p>
        </w:tc>
        <w:tc>
          <w:tcPr>
            <w:tcW w:type="dxa" w:w="1322"/>
            <w:vAlign w:val="center"/>
            <w:tcMar>
              <w:top w:w="70" w:type="dxa"/>
              <w:start w:w="80" w:type="dxa"/>
              <w:bottom w:w="70" w:type="dxa"/>
              <w:end w:w="80" w:type="dxa"/>
            </w:tcMar>
            <w:shd w:fill="F7FAFD"/>
          </w:tcPr>
          <w:p>
            <w:pPr>
              <w:spacing w:after="0"/>
              <w:jc w:val="left"/>
            </w:pPr>
            <w:r>
              <w:rPr>
                <w:sz w:val="15"/>
              </w:rPr>
            </w:r>
          </w:p>
        </w:tc>
        <w:tc>
          <w:tcPr>
            <w:tcW w:type="dxa" w:w="1322"/>
            <w:vAlign w:val="center"/>
            <w:tcMar>
              <w:top w:w="70" w:type="dxa"/>
              <w:start w:w="80" w:type="dxa"/>
              <w:bottom w:w="70" w:type="dxa"/>
              <w:end w:w="80" w:type="dxa"/>
            </w:tcMar>
            <w:shd w:fill="F7FAFD"/>
          </w:tcPr>
          <w:p>
            <w:pPr>
              <w:spacing w:after="0"/>
              <w:jc w:val="left"/>
            </w:pPr>
            <w:r>
              <w:rPr>
                <w:sz w:val="15"/>
              </w:rPr>
              <w:t>Improve expected-goals modelling with player- and position-sensitive adjustments.</w:t>
            </w:r>
          </w:p>
        </w:tc>
        <w:tc>
          <w:tcPr>
            <w:tcW w:type="dxa" w:w="1322"/>
            <w:vAlign w:val="center"/>
            <w:tcMar>
              <w:top w:w="70" w:type="dxa"/>
              <w:start w:w="80" w:type="dxa"/>
              <w:bottom w:w="70" w:type="dxa"/>
              <w:end w:w="80" w:type="dxa"/>
            </w:tcMar>
            <w:shd w:fill="F7FAFD"/>
          </w:tcPr>
          <w:p>
            <w:pPr>
              <w:spacing w:after="0"/>
              <w:jc w:val="left"/>
            </w:pPr>
            <w:r>
              <w:rPr>
                <w:sz w:val="15"/>
              </w:rPr>
              <w:t>Research article</w:t>
            </w:r>
          </w:p>
        </w:tc>
        <w:tc>
          <w:tcPr>
            <w:tcW w:type="dxa" w:w="1322"/>
            <w:vAlign w:val="center"/>
            <w:tcMar>
              <w:top w:w="70" w:type="dxa"/>
              <w:start w:w="80" w:type="dxa"/>
              <w:bottom w:w="70" w:type="dxa"/>
              <w:end w:w="80" w:type="dxa"/>
            </w:tcMar>
            <w:shd w:fill="F7FAFD"/>
          </w:tcPr>
          <w:p>
            <w:pPr>
              <w:spacing w:after="0"/>
              <w:jc w:val="left"/>
            </w:pPr>
            <w:r>
              <w:rPr>
                <w:sz w:val="15"/>
              </w:rPr>
              <w:t>Moves beyond raw xG by modelling player and position effects. Helpful for interpretable performance analytics that account for contextual differences in shooting opportunities.</w:t>
            </w:r>
          </w:p>
        </w:tc>
        <w:tc>
          <w:tcPr>
            <w:tcW w:type="dxa" w:w="1322"/>
            <w:vAlign w:val="center"/>
            <w:tcMar>
              <w:top w:w="70" w:type="dxa"/>
              <w:start w:w="80" w:type="dxa"/>
              <w:bottom w:w="70" w:type="dxa"/>
              <w:end w:w="80" w:type="dxa"/>
            </w:tcMar>
            <w:shd w:fill="F7FAFD"/>
          </w:tcPr>
          <w:p>
            <w:pPr>
              <w:spacing w:after="0"/>
              <w:jc w:val="left"/>
            </w:pPr>
            <w:r>
              <w:rPr>
                <w:color w:val="1E59A3"/>
                <w:sz w:val="15"/>
              </w:rPr>
              <w:t>https://doi.org/10.1016/j.fraope.2023.100034</w:t>
            </w:r>
          </w:p>
        </w:tc>
        <w:tc>
          <w:tcPr>
            <w:tcW w:type="dxa" w:w="1322"/>
            <w:vAlign w:val="center"/>
            <w:tcMar>
              <w:top w:w="70" w:type="dxa"/>
              <w:start w:w="80" w:type="dxa"/>
              <w:bottom w:w="70" w:type="dxa"/>
              <w:end w:w="80" w:type="dxa"/>
            </w:tcMar>
            <w:shd w:fill="F7FAFD"/>
          </w:tcPr>
          <w:p>
            <w:pPr>
              <w:spacing w:after="0"/>
              <w:jc w:val="left"/>
            </w:pPr>
            <w:r>
              <w:rPr>
                <w:color w:val="1E59A3"/>
                <w:sz w:val="15"/>
              </w:rPr>
              <w:t>10.1016/j.fraope.2023.100034</w:t>
            </w:r>
          </w:p>
        </w:tc>
      </w:tr>
      <w:tr>
        <w:tc>
          <w:tcPr>
            <w:tcW w:type="dxa" w:w="1322"/>
            <w:vAlign w:val="center"/>
            <w:tcMar>
              <w:top w:w="70" w:type="dxa"/>
              <w:start w:w="80" w:type="dxa"/>
              <w:bottom w:w="70" w:type="dxa"/>
              <w:end w:w="80" w:type="dxa"/>
            </w:tcMar>
          </w:tcPr>
          <w:p>
            <w:pPr>
              <w:spacing w:after="0"/>
              <w:jc w:val="left"/>
            </w:pPr>
            <w:r>
              <w:rPr>
                <w:sz w:val="15"/>
              </w:rPr>
              <w:t>TacticAI: An AI Assistant for Football Tactics</w:t>
            </w:r>
          </w:p>
        </w:tc>
        <w:tc>
          <w:tcPr>
            <w:tcW w:type="dxa" w:w="1322"/>
            <w:vAlign w:val="center"/>
            <w:tcMar>
              <w:top w:w="70" w:type="dxa"/>
              <w:start w:w="80" w:type="dxa"/>
              <w:bottom w:w="70" w:type="dxa"/>
              <w:end w:w="80" w:type="dxa"/>
            </w:tcMar>
          </w:tcPr>
          <w:p>
            <w:pPr>
              <w:spacing w:after="0"/>
              <w:jc w:val="left"/>
            </w:pPr>
            <w:r>
              <w:rPr>
                <w:sz w:val="15"/>
              </w:rPr>
              <w:t>Wang et al. (2024)</w:t>
            </w:r>
          </w:p>
        </w:tc>
        <w:tc>
          <w:tcPr>
            <w:tcW w:type="dxa" w:w="1322"/>
            <w:vAlign w:val="center"/>
            <w:tcMar>
              <w:top w:w="70" w:type="dxa"/>
              <w:start w:w="80" w:type="dxa"/>
              <w:bottom w:w="70" w:type="dxa"/>
              <w:end w:w="80" w:type="dxa"/>
            </w:tcMar>
          </w:tcPr>
          <w:p>
            <w:pPr>
              <w:spacing w:after="0"/>
              <w:jc w:val="center"/>
            </w:pPr>
            <w:r>
              <w:rPr>
                <w:sz w:val="15"/>
              </w:rPr>
              <w:t>2024</w:t>
            </w:r>
          </w:p>
        </w:tc>
        <w:tc>
          <w:tcPr>
            <w:tcW w:type="dxa" w:w="1322"/>
            <w:vAlign w:val="center"/>
            <w:tcMar>
              <w:top w:w="70" w:type="dxa"/>
              <w:start w:w="80" w:type="dxa"/>
              <w:bottom w:w="70" w:type="dxa"/>
              <w:end w:w="80" w:type="dxa"/>
            </w:tcMar>
          </w:tcPr>
          <w:p>
            <w:pPr>
              <w:spacing w:after="0"/>
              <w:jc w:val="left"/>
            </w:pPr>
            <w:r>
              <w:rPr>
                <w:sz w:val="15"/>
              </w:rPr>
              <w:t>Nature Communications, 15, Article 1906</w:t>
            </w:r>
          </w:p>
        </w:tc>
        <w:tc>
          <w:tcPr>
            <w:tcW w:type="dxa" w:w="1322"/>
            <w:vAlign w:val="center"/>
            <w:tcMar>
              <w:top w:w="70" w:type="dxa"/>
              <w:start w:w="80" w:type="dxa"/>
              <w:bottom w:w="70" w:type="dxa"/>
              <w:end w:w="80" w:type="dxa"/>
            </w:tcMar>
          </w:tcPr>
          <w:p>
            <w:pPr>
              <w:spacing w:after="0"/>
              <w:jc w:val="left"/>
            </w:pPr>
            <w:r>
              <w:rPr>
                <w:sz w:val="15"/>
              </w:rPr>
              <w:t>Association football</w:t>
            </w:r>
          </w:p>
        </w:tc>
        <w:tc>
          <w:tcPr>
            <w:tcW w:type="dxa" w:w="1322"/>
            <w:vAlign w:val="center"/>
            <w:tcMar>
              <w:top w:w="70" w:type="dxa"/>
              <w:start w:w="80" w:type="dxa"/>
              <w:bottom w:w="70" w:type="dxa"/>
              <w:end w:w="80" w:type="dxa"/>
            </w:tcMar>
          </w:tcPr>
          <w:p>
            <w:pPr>
              <w:spacing w:after="0"/>
              <w:jc w:val="left"/>
            </w:pPr>
            <w:r>
              <w:rPr>
                <w:sz w:val="15"/>
              </w:rPr>
              <w:t>United Kingdom</w:t>
            </w:r>
          </w:p>
        </w:tc>
        <w:tc>
          <w:tcPr>
            <w:tcW w:type="dxa" w:w="1322"/>
            <w:vAlign w:val="center"/>
            <w:tcMar>
              <w:top w:w="70" w:type="dxa"/>
              <w:start w:w="80" w:type="dxa"/>
              <w:bottom w:w="70" w:type="dxa"/>
              <w:end w:w="80" w:type="dxa"/>
            </w:tcMar>
          </w:tcPr>
          <w:p>
            <w:pPr>
              <w:spacing w:after="0"/>
              <w:jc w:val="left"/>
            </w:pPr>
            <w:r>
              <w:rPr>
                <w:sz w:val="15"/>
              </w:rPr>
              <w:t>Build an AI system that assists coaches with set-piece tactical decisions.</w:t>
            </w:r>
          </w:p>
        </w:tc>
        <w:tc>
          <w:tcPr>
            <w:tcW w:type="dxa" w:w="1322"/>
            <w:vAlign w:val="center"/>
            <w:tcMar>
              <w:top w:w="70" w:type="dxa"/>
              <w:start w:w="80" w:type="dxa"/>
              <w:bottom w:w="70" w:type="dxa"/>
              <w:end w:w="80" w:type="dxa"/>
            </w:tcMar>
          </w:tcPr>
          <w:p>
            <w:pPr>
              <w:spacing w:after="0"/>
              <w:jc w:val="left"/>
            </w:pPr>
            <w:r>
              <w:rPr>
                <w:sz w:val="15"/>
              </w:rPr>
              <w:t>Research article</w:t>
            </w:r>
          </w:p>
        </w:tc>
        <w:tc>
          <w:tcPr>
            <w:tcW w:type="dxa" w:w="1322"/>
            <w:vAlign w:val="center"/>
            <w:tcMar>
              <w:top w:w="70" w:type="dxa"/>
              <w:start w:w="80" w:type="dxa"/>
              <w:bottom w:w="70" w:type="dxa"/>
              <w:end w:w="80" w:type="dxa"/>
            </w:tcMar>
          </w:tcPr>
          <w:p>
            <w:pPr>
              <w:spacing w:after="0"/>
              <w:jc w:val="left"/>
            </w:pPr>
            <w:r>
              <w:rPr>
                <w:sz w:val="15"/>
              </w:rPr>
              <w:t>High-profile football AI study focused on corner-kick tactics. Demonstrates how generative and predictive AI can support tactical recommendations in an applied coaching context.</w:t>
            </w:r>
          </w:p>
        </w:tc>
        <w:tc>
          <w:tcPr>
            <w:tcW w:type="dxa" w:w="1322"/>
            <w:vAlign w:val="center"/>
            <w:tcMar>
              <w:top w:w="70" w:type="dxa"/>
              <w:start w:w="80" w:type="dxa"/>
              <w:bottom w:w="70" w:type="dxa"/>
              <w:end w:w="80" w:type="dxa"/>
            </w:tcMar>
          </w:tcPr>
          <w:p>
            <w:pPr>
              <w:spacing w:after="0"/>
              <w:jc w:val="left"/>
            </w:pPr>
            <w:r>
              <w:rPr>
                <w:color w:val="1E59A3"/>
                <w:sz w:val="15"/>
              </w:rPr>
              <w:t>https://doi.org/10.1038/s41467-024-45965-x</w:t>
            </w:r>
          </w:p>
        </w:tc>
        <w:tc>
          <w:tcPr>
            <w:tcW w:type="dxa" w:w="1322"/>
            <w:vAlign w:val="center"/>
            <w:tcMar>
              <w:top w:w="70" w:type="dxa"/>
              <w:start w:w="80" w:type="dxa"/>
              <w:bottom w:w="70" w:type="dxa"/>
              <w:end w:w="80" w:type="dxa"/>
            </w:tcMar>
          </w:tcPr>
          <w:p>
            <w:pPr>
              <w:spacing w:after="0"/>
              <w:jc w:val="left"/>
            </w:pPr>
            <w:r>
              <w:rPr>
                <w:color w:val="1E59A3"/>
                <w:sz w:val="15"/>
              </w:rPr>
              <w:t>10.1038/s41467-024-45965-x</w:t>
            </w:r>
          </w:p>
        </w:tc>
      </w:tr>
      <w:tr>
        <w:tc>
          <w:tcPr>
            <w:tcW w:type="dxa" w:w="1322"/>
            <w:vAlign w:val="center"/>
            <w:tcMar>
              <w:top w:w="70" w:type="dxa"/>
              <w:start w:w="80" w:type="dxa"/>
              <w:bottom w:w="70" w:type="dxa"/>
              <w:end w:w="80" w:type="dxa"/>
            </w:tcMar>
            <w:shd w:fill="F7FAFD"/>
          </w:tcPr>
          <w:p>
            <w:pPr>
              <w:spacing w:after="0"/>
              <w:jc w:val="left"/>
            </w:pPr>
            <w:r>
              <w:rPr>
                <w:sz w:val="15"/>
              </w:rPr>
              <w:t>The Principles of Tactical Formation Identification in Association Football (Soccer): A Survey</w:t>
            </w:r>
          </w:p>
        </w:tc>
        <w:tc>
          <w:tcPr>
            <w:tcW w:type="dxa" w:w="1322"/>
            <w:vAlign w:val="center"/>
            <w:tcMar>
              <w:top w:w="70" w:type="dxa"/>
              <w:start w:w="80" w:type="dxa"/>
              <w:bottom w:w="70" w:type="dxa"/>
              <w:end w:w="80" w:type="dxa"/>
            </w:tcMar>
            <w:shd w:fill="F7FAFD"/>
          </w:tcPr>
          <w:p>
            <w:pPr>
              <w:spacing w:after="0"/>
              <w:jc w:val="left"/>
            </w:pPr>
            <w:r>
              <w:rPr>
                <w:sz w:val="15"/>
              </w:rPr>
              <w:t>Sotudeh (2025)</w:t>
            </w:r>
          </w:p>
        </w:tc>
        <w:tc>
          <w:tcPr>
            <w:tcW w:type="dxa" w:w="1322"/>
            <w:vAlign w:val="center"/>
            <w:tcMar>
              <w:top w:w="70" w:type="dxa"/>
              <w:start w:w="80" w:type="dxa"/>
              <w:bottom w:w="70" w:type="dxa"/>
              <w:end w:w="80" w:type="dxa"/>
            </w:tcMar>
            <w:shd w:fill="F7FAFD"/>
          </w:tcPr>
          <w:p>
            <w:pPr>
              <w:spacing w:after="0"/>
              <w:jc w:val="center"/>
            </w:pPr>
            <w:r>
              <w:rPr>
                <w:sz w:val="15"/>
              </w:rPr>
              <w:t>2025</w:t>
            </w:r>
          </w:p>
        </w:tc>
        <w:tc>
          <w:tcPr>
            <w:tcW w:type="dxa" w:w="1322"/>
            <w:vAlign w:val="center"/>
            <w:tcMar>
              <w:top w:w="70" w:type="dxa"/>
              <w:start w:w="80" w:type="dxa"/>
              <w:bottom w:w="70" w:type="dxa"/>
              <w:end w:w="80" w:type="dxa"/>
            </w:tcMar>
            <w:shd w:fill="F7FAFD"/>
          </w:tcPr>
          <w:p>
            <w:pPr>
              <w:spacing w:after="0"/>
              <w:jc w:val="left"/>
            </w:pPr>
            <w:r>
              <w:rPr>
                <w:sz w:val="15"/>
              </w:rPr>
              <w:t>Frontiers in Sports and Active Living, 6, Article 1512386</w:t>
            </w:r>
          </w:p>
        </w:tc>
        <w:tc>
          <w:tcPr>
            <w:tcW w:type="dxa" w:w="1322"/>
            <w:vAlign w:val="center"/>
            <w:tcMar>
              <w:top w:w="70" w:type="dxa"/>
              <w:start w:w="80" w:type="dxa"/>
              <w:bottom w:w="70" w:type="dxa"/>
              <w:end w:w="80" w:type="dxa"/>
            </w:tcMar>
            <w:shd w:fill="F7FAFD"/>
          </w:tcPr>
          <w:p>
            <w:pPr>
              <w:spacing w:after="0"/>
              <w:jc w:val="left"/>
            </w:pPr>
            <w:r>
              <w:rPr>
                <w:sz w:val="15"/>
              </w:rPr>
              <w:t>Association football</w:t>
            </w:r>
          </w:p>
        </w:tc>
        <w:tc>
          <w:tcPr>
            <w:tcW w:type="dxa" w:w="1322"/>
            <w:vAlign w:val="center"/>
            <w:tcMar>
              <w:top w:w="70" w:type="dxa"/>
              <w:start w:w="80" w:type="dxa"/>
              <w:bottom w:w="70" w:type="dxa"/>
              <w:end w:w="80" w:type="dxa"/>
            </w:tcMar>
            <w:shd w:fill="F7FAFD"/>
          </w:tcPr>
          <w:p>
            <w:pPr>
              <w:spacing w:after="0"/>
              <w:jc w:val="left"/>
            </w:pPr>
            <w:r>
              <w:rPr>
                <w:sz w:val="15"/>
              </w:rPr>
            </w:r>
          </w:p>
        </w:tc>
        <w:tc>
          <w:tcPr>
            <w:tcW w:type="dxa" w:w="1322"/>
            <w:vAlign w:val="center"/>
            <w:tcMar>
              <w:top w:w="70" w:type="dxa"/>
              <w:start w:w="80" w:type="dxa"/>
              <w:bottom w:w="70" w:type="dxa"/>
              <w:end w:w="80" w:type="dxa"/>
            </w:tcMar>
            <w:shd w:fill="F7FAFD"/>
          </w:tcPr>
          <w:p>
            <w:pPr>
              <w:spacing w:after="0"/>
              <w:jc w:val="left"/>
            </w:pPr>
            <w:r>
              <w:rPr>
                <w:sz w:val="15"/>
              </w:rPr>
              <w:t>Survey methods for automatically identifying tactical formations.</w:t>
            </w:r>
          </w:p>
        </w:tc>
        <w:tc>
          <w:tcPr>
            <w:tcW w:type="dxa" w:w="1322"/>
            <w:vAlign w:val="center"/>
            <w:tcMar>
              <w:top w:w="70" w:type="dxa"/>
              <w:start w:w="80" w:type="dxa"/>
              <w:bottom w:w="70" w:type="dxa"/>
              <w:end w:w="80" w:type="dxa"/>
            </w:tcMar>
            <w:shd w:fill="F7FAFD"/>
          </w:tcPr>
          <w:p>
            <w:pPr>
              <w:spacing w:after="0"/>
              <w:jc w:val="left"/>
            </w:pPr>
            <w:r>
              <w:rPr>
                <w:sz w:val="15"/>
              </w:rPr>
              <w:t>Survey</w:t>
            </w:r>
          </w:p>
        </w:tc>
        <w:tc>
          <w:tcPr>
            <w:tcW w:type="dxa" w:w="1322"/>
            <w:vAlign w:val="center"/>
            <w:tcMar>
              <w:top w:w="70" w:type="dxa"/>
              <w:start w:w="80" w:type="dxa"/>
              <w:bottom w:w="70" w:type="dxa"/>
              <w:end w:w="80" w:type="dxa"/>
            </w:tcMar>
            <w:shd w:fill="F7FAFD"/>
          </w:tcPr>
          <w:p>
            <w:pPr>
              <w:spacing w:after="0"/>
              <w:jc w:val="left"/>
            </w:pPr>
            <w:r>
              <w:rPr>
                <w:sz w:val="15"/>
              </w:rPr>
              <w:t>Compares approaches for formation recognition and formation-change detection. Useful for positioning a formation-analysis component in football analytics research.</w:t>
            </w:r>
          </w:p>
        </w:tc>
        <w:tc>
          <w:tcPr>
            <w:tcW w:type="dxa" w:w="1322"/>
            <w:vAlign w:val="center"/>
            <w:tcMar>
              <w:top w:w="70" w:type="dxa"/>
              <w:start w:w="80" w:type="dxa"/>
              <w:bottom w:w="70" w:type="dxa"/>
              <w:end w:w="80" w:type="dxa"/>
            </w:tcMar>
            <w:shd w:fill="F7FAFD"/>
          </w:tcPr>
          <w:p>
            <w:pPr>
              <w:spacing w:after="0"/>
              <w:jc w:val="left"/>
            </w:pPr>
            <w:r>
              <w:rPr>
                <w:color w:val="1E59A3"/>
                <w:sz w:val="15"/>
              </w:rPr>
              <w:t>https://doi.org/10.3389/fspor.2024.1512386</w:t>
            </w:r>
          </w:p>
        </w:tc>
        <w:tc>
          <w:tcPr>
            <w:tcW w:type="dxa" w:w="1322"/>
            <w:vAlign w:val="center"/>
            <w:tcMar>
              <w:top w:w="70" w:type="dxa"/>
              <w:start w:w="80" w:type="dxa"/>
              <w:bottom w:w="70" w:type="dxa"/>
              <w:end w:w="80" w:type="dxa"/>
            </w:tcMar>
            <w:shd w:fill="F7FAFD"/>
          </w:tcPr>
          <w:p>
            <w:pPr>
              <w:spacing w:after="0"/>
              <w:jc w:val="left"/>
            </w:pPr>
            <w:r>
              <w:rPr>
                <w:color w:val="1E59A3"/>
                <w:sz w:val="15"/>
              </w:rPr>
              <w:t>10.3389/fspor.2024.1512386</w:t>
            </w:r>
          </w:p>
        </w:tc>
      </w:tr>
      <w:tr>
        <w:tc>
          <w:tcPr>
            <w:tcW w:type="dxa" w:w="1322"/>
            <w:vAlign w:val="center"/>
            <w:tcMar>
              <w:top w:w="70" w:type="dxa"/>
              <w:start w:w="80" w:type="dxa"/>
              <w:bottom w:w="70" w:type="dxa"/>
              <w:end w:w="80" w:type="dxa"/>
            </w:tcMar>
          </w:tcPr>
          <w:p>
            <w:pPr>
              <w:spacing w:after="0"/>
              <w:jc w:val="left"/>
            </w:pPr>
            <w:r>
              <w:rPr>
                <w:sz w:val="15"/>
              </w:rPr>
              <w:t>Mapping Football Tactical Behavior and Collective Dynamics with Artificial Intelligence: A Systematic Review</w:t>
            </w:r>
          </w:p>
        </w:tc>
        <w:tc>
          <w:tcPr>
            <w:tcW w:type="dxa" w:w="1322"/>
            <w:vAlign w:val="center"/>
            <w:tcMar>
              <w:top w:w="70" w:type="dxa"/>
              <w:start w:w="80" w:type="dxa"/>
              <w:bottom w:w="70" w:type="dxa"/>
              <w:end w:w="80" w:type="dxa"/>
            </w:tcMar>
          </w:tcPr>
          <w:p>
            <w:pPr>
              <w:spacing w:after="0"/>
              <w:jc w:val="left"/>
            </w:pPr>
            <w:r>
              <w:rPr>
                <w:sz w:val="15"/>
              </w:rPr>
              <w:t>Teixeira et al. (2025)</w:t>
            </w:r>
          </w:p>
        </w:tc>
        <w:tc>
          <w:tcPr>
            <w:tcW w:type="dxa" w:w="1322"/>
            <w:vAlign w:val="center"/>
            <w:tcMar>
              <w:top w:w="70" w:type="dxa"/>
              <w:start w:w="80" w:type="dxa"/>
              <w:bottom w:w="70" w:type="dxa"/>
              <w:end w:w="80" w:type="dxa"/>
            </w:tcMar>
          </w:tcPr>
          <w:p>
            <w:pPr>
              <w:spacing w:after="0"/>
              <w:jc w:val="center"/>
            </w:pPr>
            <w:r>
              <w:rPr>
                <w:sz w:val="15"/>
              </w:rPr>
              <w:t>2025</w:t>
            </w:r>
          </w:p>
        </w:tc>
        <w:tc>
          <w:tcPr>
            <w:tcW w:type="dxa" w:w="1322"/>
            <w:vAlign w:val="center"/>
            <w:tcMar>
              <w:top w:w="70" w:type="dxa"/>
              <w:start w:w="80" w:type="dxa"/>
              <w:bottom w:w="70" w:type="dxa"/>
              <w:end w:w="80" w:type="dxa"/>
            </w:tcMar>
          </w:tcPr>
          <w:p>
            <w:pPr>
              <w:spacing w:after="0"/>
              <w:jc w:val="left"/>
            </w:pPr>
            <w:r>
              <w:rPr>
                <w:sz w:val="15"/>
              </w:rPr>
              <w:t>Frontiers in Sports and Active Living, 7, Article 1569155</w:t>
            </w:r>
          </w:p>
        </w:tc>
        <w:tc>
          <w:tcPr>
            <w:tcW w:type="dxa" w:w="1322"/>
            <w:vAlign w:val="center"/>
            <w:tcMar>
              <w:top w:w="70" w:type="dxa"/>
              <w:start w:w="80" w:type="dxa"/>
              <w:bottom w:w="70" w:type="dxa"/>
              <w:end w:w="80" w:type="dxa"/>
            </w:tcMar>
          </w:tcPr>
          <w:p>
            <w:pPr>
              <w:spacing w:after="0"/>
              <w:jc w:val="left"/>
            </w:pPr>
            <w:r>
              <w:rPr>
                <w:sz w:val="15"/>
              </w:rPr>
              <w:t>Association football</w:t>
            </w:r>
          </w:p>
        </w:tc>
        <w:tc>
          <w:tcPr>
            <w:tcW w:type="dxa" w:w="1322"/>
            <w:vAlign w:val="center"/>
            <w:tcMar>
              <w:top w:w="70" w:type="dxa"/>
              <w:start w:w="80" w:type="dxa"/>
              <w:bottom w:w="70" w:type="dxa"/>
              <w:end w:w="80" w:type="dxa"/>
            </w:tcMar>
          </w:tcPr>
          <w:p>
            <w:pPr>
              <w:spacing w:after="0"/>
              <w:jc w:val="left"/>
            </w:pPr>
            <w:r>
              <w:rPr>
                <w:sz w:val="15"/>
              </w:rPr>
              <w:t>Portugal</w:t>
            </w:r>
          </w:p>
        </w:tc>
        <w:tc>
          <w:tcPr>
            <w:tcW w:type="dxa" w:w="1322"/>
            <w:vAlign w:val="center"/>
            <w:tcMar>
              <w:top w:w="70" w:type="dxa"/>
              <w:start w:w="80" w:type="dxa"/>
              <w:bottom w:w="70" w:type="dxa"/>
              <w:end w:w="80" w:type="dxa"/>
            </w:tcMar>
          </w:tcPr>
          <w:p>
            <w:pPr>
              <w:spacing w:after="0"/>
              <w:jc w:val="left"/>
            </w:pPr>
            <w:r>
              <w:rPr>
                <w:sz w:val="15"/>
              </w:rPr>
              <w:t>Map AI techniques used to analyse tactical behaviour and collective dynamics in football.</w:t>
            </w:r>
          </w:p>
        </w:tc>
        <w:tc>
          <w:tcPr>
            <w:tcW w:type="dxa" w:w="1322"/>
            <w:vAlign w:val="center"/>
            <w:tcMar>
              <w:top w:w="70" w:type="dxa"/>
              <w:start w:w="80" w:type="dxa"/>
              <w:bottom w:w="70" w:type="dxa"/>
              <w:end w:w="80" w:type="dxa"/>
            </w:tcMar>
          </w:tcPr>
          <w:p>
            <w:pPr>
              <w:spacing w:after="0"/>
              <w:jc w:val="left"/>
            </w:pPr>
            <w:r>
              <w:rPr>
                <w:sz w:val="15"/>
              </w:rPr>
              <w:t>Systematic review</w:t>
            </w:r>
          </w:p>
        </w:tc>
        <w:tc>
          <w:tcPr>
            <w:tcW w:type="dxa" w:w="1322"/>
            <w:vAlign w:val="center"/>
            <w:tcMar>
              <w:top w:w="70" w:type="dxa"/>
              <w:start w:w="80" w:type="dxa"/>
              <w:bottom w:w="70" w:type="dxa"/>
              <w:end w:w="80" w:type="dxa"/>
            </w:tcMar>
          </w:tcPr>
          <w:p>
            <w:pPr>
              <w:spacing w:after="0"/>
              <w:jc w:val="left"/>
            </w:pPr>
            <w:r>
              <w:rPr>
                <w:sz w:val="15"/>
              </w:rPr>
              <w:t>Synthesizes 32 studies on AI-based tactical behaviour analysis, including neural networks, machine learning, and time-series methods. Directly aligned with football tactical AI research.</w:t>
            </w:r>
          </w:p>
        </w:tc>
        <w:tc>
          <w:tcPr>
            <w:tcW w:type="dxa" w:w="1322"/>
            <w:vAlign w:val="center"/>
            <w:tcMar>
              <w:top w:w="70" w:type="dxa"/>
              <w:start w:w="80" w:type="dxa"/>
              <w:bottom w:w="70" w:type="dxa"/>
              <w:end w:w="80" w:type="dxa"/>
            </w:tcMar>
          </w:tcPr>
          <w:p>
            <w:pPr>
              <w:spacing w:after="0"/>
              <w:jc w:val="left"/>
            </w:pPr>
            <w:r>
              <w:rPr>
                <w:color w:val="1E59A3"/>
                <w:sz w:val="15"/>
              </w:rPr>
              <w:t>https://doi.org/10.3389/fspor.2025.1569155</w:t>
            </w:r>
          </w:p>
        </w:tc>
        <w:tc>
          <w:tcPr>
            <w:tcW w:type="dxa" w:w="1322"/>
            <w:vAlign w:val="center"/>
            <w:tcMar>
              <w:top w:w="70" w:type="dxa"/>
              <w:start w:w="80" w:type="dxa"/>
              <w:bottom w:w="70" w:type="dxa"/>
              <w:end w:w="80" w:type="dxa"/>
            </w:tcMar>
          </w:tcPr>
          <w:p>
            <w:pPr>
              <w:spacing w:after="0"/>
              <w:jc w:val="left"/>
            </w:pPr>
            <w:r>
              <w:rPr>
                <w:color w:val="1E59A3"/>
                <w:sz w:val="15"/>
              </w:rPr>
              <w:t>10.3389/fspor.2025.1569155</w:t>
            </w:r>
          </w:p>
        </w:tc>
      </w:tr>
      <w:tr>
        <w:tc>
          <w:tcPr>
            <w:tcW w:type="dxa" w:w="1322"/>
            <w:vAlign w:val="center"/>
            <w:tcMar>
              <w:top w:w="70" w:type="dxa"/>
              <w:start w:w="80" w:type="dxa"/>
              <w:bottom w:w="70" w:type="dxa"/>
              <w:end w:w="80" w:type="dxa"/>
            </w:tcMar>
            <w:shd w:fill="F7FAFD"/>
          </w:tcPr>
          <w:p>
            <w:pPr>
              <w:spacing w:after="0"/>
              <w:jc w:val="left"/>
            </w:pPr>
            <w:r>
              <w:rPr>
                <w:sz w:val="15"/>
              </w:rPr>
              <w:t>Social Network Analysis in Football: A Systematic Review of Performance and Tactical Applications</w:t>
            </w:r>
          </w:p>
        </w:tc>
        <w:tc>
          <w:tcPr>
            <w:tcW w:type="dxa" w:w="1322"/>
            <w:vAlign w:val="center"/>
            <w:tcMar>
              <w:top w:w="70" w:type="dxa"/>
              <w:start w:w="80" w:type="dxa"/>
              <w:bottom w:w="70" w:type="dxa"/>
              <w:end w:w="80" w:type="dxa"/>
            </w:tcMar>
            <w:shd w:fill="F7FAFD"/>
          </w:tcPr>
          <w:p>
            <w:pPr>
              <w:spacing w:after="0"/>
              <w:jc w:val="left"/>
            </w:pPr>
            <w:r>
              <w:rPr>
                <w:sz w:val="15"/>
              </w:rPr>
              <w:t>Alves et al. (2025)</w:t>
            </w:r>
          </w:p>
        </w:tc>
        <w:tc>
          <w:tcPr>
            <w:tcW w:type="dxa" w:w="1322"/>
            <w:vAlign w:val="center"/>
            <w:tcMar>
              <w:top w:w="70" w:type="dxa"/>
              <w:start w:w="80" w:type="dxa"/>
              <w:bottom w:w="70" w:type="dxa"/>
              <w:end w:w="80" w:type="dxa"/>
            </w:tcMar>
            <w:shd w:fill="F7FAFD"/>
          </w:tcPr>
          <w:p>
            <w:pPr>
              <w:spacing w:after="0"/>
              <w:jc w:val="center"/>
            </w:pPr>
            <w:r>
              <w:rPr>
                <w:sz w:val="15"/>
              </w:rPr>
              <w:t>2025</w:t>
            </w:r>
          </w:p>
        </w:tc>
        <w:tc>
          <w:tcPr>
            <w:tcW w:type="dxa" w:w="1322"/>
            <w:vAlign w:val="center"/>
            <w:tcMar>
              <w:top w:w="70" w:type="dxa"/>
              <w:start w:w="80" w:type="dxa"/>
              <w:bottom w:w="70" w:type="dxa"/>
              <w:end w:w="80" w:type="dxa"/>
            </w:tcMar>
            <w:shd w:fill="F7FAFD"/>
          </w:tcPr>
          <w:p>
            <w:pPr>
              <w:spacing w:after="0"/>
              <w:jc w:val="left"/>
            </w:pPr>
            <w:r>
              <w:rPr>
                <w:sz w:val="15"/>
              </w:rPr>
              <w:t>Frontiers in Psychology, 16, Article 1659603</w:t>
            </w:r>
          </w:p>
        </w:tc>
        <w:tc>
          <w:tcPr>
            <w:tcW w:type="dxa" w:w="1322"/>
            <w:vAlign w:val="center"/>
            <w:tcMar>
              <w:top w:w="70" w:type="dxa"/>
              <w:start w:w="80" w:type="dxa"/>
              <w:bottom w:w="70" w:type="dxa"/>
              <w:end w:w="80" w:type="dxa"/>
            </w:tcMar>
            <w:shd w:fill="F7FAFD"/>
          </w:tcPr>
          <w:p>
            <w:pPr>
              <w:spacing w:after="0"/>
              <w:jc w:val="left"/>
            </w:pPr>
            <w:r>
              <w:rPr>
                <w:sz w:val="15"/>
              </w:rPr>
              <w:t>Association football</w:t>
            </w:r>
          </w:p>
        </w:tc>
        <w:tc>
          <w:tcPr>
            <w:tcW w:type="dxa" w:w="1322"/>
            <w:vAlign w:val="center"/>
            <w:tcMar>
              <w:top w:w="70" w:type="dxa"/>
              <w:start w:w="80" w:type="dxa"/>
              <w:bottom w:w="70" w:type="dxa"/>
              <w:end w:w="80" w:type="dxa"/>
            </w:tcMar>
            <w:shd w:fill="F7FAFD"/>
          </w:tcPr>
          <w:p>
            <w:pPr>
              <w:spacing w:after="0"/>
              <w:jc w:val="left"/>
            </w:pPr>
            <w:r>
              <w:rPr>
                <w:sz w:val="15"/>
              </w:rPr>
              <w:t>Portugal</w:t>
            </w:r>
          </w:p>
        </w:tc>
        <w:tc>
          <w:tcPr>
            <w:tcW w:type="dxa" w:w="1322"/>
            <w:vAlign w:val="center"/>
            <w:tcMar>
              <w:top w:w="70" w:type="dxa"/>
              <w:start w:w="80" w:type="dxa"/>
              <w:bottom w:w="70" w:type="dxa"/>
              <w:end w:w="80" w:type="dxa"/>
            </w:tcMar>
            <w:shd w:fill="F7FAFD"/>
          </w:tcPr>
          <w:p>
            <w:pPr>
              <w:spacing w:after="0"/>
              <w:jc w:val="left"/>
            </w:pPr>
            <w:r>
              <w:rPr>
                <w:sz w:val="15"/>
              </w:rPr>
              <w:t>Review tactical and performance uses of social-network analysis in football.</w:t>
            </w:r>
          </w:p>
        </w:tc>
        <w:tc>
          <w:tcPr>
            <w:tcW w:type="dxa" w:w="1322"/>
            <w:vAlign w:val="center"/>
            <w:tcMar>
              <w:top w:w="70" w:type="dxa"/>
              <w:start w:w="80" w:type="dxa"/>
              <w:bottom w:w="70" w:type="dxa"/>
              <w:end w:w="80" w:type="dxa"/>
            </w:tcMar>
            <w:shd w:fill="F7FAFD"/>
          </w:tcPr>
          <w:p>
            <w:pPr>
              <w:spacing w:after="0"/>
              <w:jc w:val="left"/>
            </w:pPr>
            <w:r>
              <w:rPr>
                <w:sz w:val="15"/>
              </w:rPr>
              <w:t>Systematic review</w:t>
            </w:r>
          </w:p>
        </w:tc>
        <w:tc>
          <w:tcPr>
            <w:tcW w:type="dxa" w:w="1322"/>
            <w:vAlign w:val="center"/>
            <w:tcMar>
              <w:top w:w="70" w:type="dxa"/>
              <w:start w:w="80" w:type="dxa"/>
              <w:bottom w:w="70" w:type="dxa"/>
              <w:end w:w="80" w:type="dxa"/>
            </w:tcMar>
            <w:shd w:fill="F7FAFD"/>
          </w:tcPr>
          <w:p>
            <w:pPr>
              <w:spacing w:after="0"/>
              <w:jc w:val="left"/>
            </w:pPr>
            <w:r>
              <w:rPr>
                <w:sz w:val="15"/>
              </w:rPr>
              <w:t>Reviews passing networks and interaction structures as tools for understanding team coordination. Adds a relational perspective to tactical analysis.</w:t>
            </w:r>
          </w:p>
        </w:tc>
        <w:tc>
          <w:tcPr>
            <w:tcW w:type="dxa" w:w="1322"/>
            <w:vAlign w:val="center"/>
            <w:tcMar>
              <w:top w:w="70" w:type="dxa"/>
              <w:start w:w="80" w:type="dxa"/>
              <w:bottom w:w="70" w:type="dxa"/>
              <w:end w:w="80" w:type="dxa"/>
            </w:tcMar>
            <w:shd w:fill="F7FAFD"/>
          </w:tcPr>
          <w:p>
            <w:pPr>
              <w:spacing w:after="0"/>
              <w:jc w:val="left"/>
            </w:pPr>
            <w:r>
              <w:rPr>
                <w:color w:val="1E59A3"/>
                <w:sz w:val="15"/>
              </w:rPr>
              <w:t>https://doi.org/10.3389/fpsyg.2025.1659603</w:t>
            </w:r>
          </w:p>
        </w:tc>
        <w:tc>
          <w:tcPr>
            <w:tcW w:type="dxa" w:w="1322"/>
            <w:vAlign w:val="center"/>
            <w:tcMar>
              <w:top w:w="70" w:type="dxa"/>
              <w:start w:w="80" w:type="dxa"/>
              <w:bottom w:w="70" w:type="dxa"/>
              <w:end w:w="80" w:type="dxa"/>
            </w:tcMar>
            <w:shd w:fill="F7FAFD"/>
          </w:tcPr>
          <w:p>
            <w:pPr>
              <w:spacing w:after="0"/>
              <w:jc w:val="left"/>
            </w:pPr>
            <w:r>
              <w:rPr>
                <w:color w:val="1E59A3"/>
                <w:sz w:val="15"/>
              </w:rPr>
              <w:t>10.3389/fpsyg.2025.1659603</w:t>
            </w:r>
          </w:p>
        </w:tc>
      </w:tr>
      <w:tr>
        <w:tc>
          <w:tcPr>
            <w:tcW w:type="dxa" w:w="1322"/>
            <w:vAlign w:val="center"/>
            <w:tcMar>
              <w:top w:w="70" w:type="dxa"/>
              <w:start w:w="80" w:type="dxa"/>
              <w:bottom w:w="70" w:type="dxa"/>
              <w:end w:w="80" w:type="dxa"/>
            </w:tcMar>
          </w:tcPr>
          <w:p>
            <w:pPr>
              <w:spacing w:after="0"/>
              <w:jc w:val="left"/>
            </w:pPr>
            <w:r>
              <w:rPr>
                <w:sz w:val="15"/>
              </w:rPr>
              <w:t>Exploration of the Path of Digital Technology Empowering the Sustainable Development of Alumni Football: A Study Based on Ordinal Logistic Regression Analysis</w:t>
            </w:r>
          </w:p>
        </w:tc>
        <w:tc>
          <w:tcPr>
            <w:tcW w:type="dxa" w:w="1322"/>
            <w:vAlign w:val="center"/>
            <w:tcMar>
              <w:top w:w="70" w:type="dxa"/>
              <w:start w:w="80" w:type="dxa"/>
              <w:bottom w:w="70" w:type="dxa"/>
              <w:end w:w="80" w:type="dxa"/>
            </w:tcMar>
          </w:tcPr>
          <w:p>
            <w:pPr>
              <w:spacing w:after="0"/>
              <w:jc w:val="left"/>
            </w:pPr>
            <w:r>
              <w:rPr>
                <w:sz w:val="15"/>
              </w:rPr>
              <w:t>Wang (2025)</w:t>
            </w:r>
          </w:p>
        </w:tc>
        <w:tc>
          <w:tcPr>
            <w:tcW w:type="dxa" w:w="1322"/>
            <w:vAlign w:val="center"/>
            <w:tcMar>
              <w:top w:w="70" w:type="dxa"/>
              <w:start w:w="80" w:type="dxa"/>
              <w:bottom w:w="70" w:type="dxa"/>
              <w:end w:w="80" w:type="dxa"/>
            </w:tcMar>
          </w:tcPr>
          <w:p>
            <w:pPr>
              <w:spacing w:after="0"/>
              <w:jc w:val="center"/>
            </w:pPr>
            <w:r>
              <w:rPr>
                <w:sz w:val="15"/>
              </w:rPr>
              <w:t>2025</w:t>
            </w:r>
          </w:p>
        </w:tc>
        <w:tc>
          <w:tcPr>
            <w:tcW w:type="dxa" w:w="1322"/>
            <w:vAlign w:val="center"/>
            <w:tcMar>
              <w:top w:w="70" w:type="dxa"/>
              <w:start w:w="80" w:type="dxa"/>
              <w:bottom w:w="70" w:type="dxa"/>
              <w:end w:w="80" w:type="dxa"/>
            </w:tcMar>
          </w:tcPr>
          <w:p>
            <w:pPr>
              <w:spacing w:after="0"/>
              <w:jc w:val="left"/>
            </w:pPr>
            <w:r>
              <w:rPr>
                <w:sz w:val="15"/>
              </w:rPr>
              <w:t>Frontiers in Sports and Active Living, 7, Article 1613339</w:t>
            </w:r>
          </w:p>
        </w:tc>
        <w:tc>
          <w:tcPr>
            <w:tcW w:type="dxa" w:w="1322"/>
            <w:vAlign w:val="center"/>
            <w:tcMar>
              <w:top w:w="70" w:type="dxa"/>
              <w:start w:w="80" w:type="dxa"/>
              <w:bottom w:w="70" w:type="dxa"/>
              <w:end w:w="80" w:type="dxa"/>
            </w:tcMar>
          </w:tcPr>
          <w:p>
            <w:pPr>
              <w:spacing w:after="0"/>
              <w:jc w:val="left"/>
            </w:pPr>
            <w:r>
              <w:rPr>
                <w:sz w:val="15"/>
              </w:rPr>
              <w:t>Association football</w:t>
            </w:r>
          </w:p>
        </w:tc>
        <w:tc>
          <w:tcPr>
            <w:tcW w:type="dxa" w:w="1322"/>
            <w:vAlign w:val="center"/>
            <w:tcMar>
              <w:top w:w="70" w:type="dxa"/>
              <w:start w:w="80" w:type="dxa"/>
              <w:bottom w:w="70" w:type="dxa"/>
              <w:end w:w="80" w:type="dxa"/>
            </w:tcMar>
          </w:tcPr>
          <w:p>
            <w:pPr>
              <w:spacing w:after="0"/>
              <w:jc w:val="left"/>
            </w:pPr>
            <w:r>
              <w:rPr>
                <w:sz w:val="15"/>
              </w:rPr>
              <w:t>China</w:t>
            </w:r>
          </w:p>
        </w:tc>
        <w:tc>
          <w:tcPr>
            <w:tcW w:type="dxa" w:w="1322"/>
            <w:vAlign w:val="center"/>
            <w:tcMar>
              <w:top w:w="70" w:type="dxa"/>
              <w:start w:w="80" w:type="dxa"/>
              <w:bottom w:w="70" w:type="dxa"/>
              <w:end w:w="80" w:type="dxa"/>
            </w:tcMar>
          </w:tcPr>
          <w:p>
            <w:pPr>
              <w:spacing w:after="0"/>
              <w:jc w:val="left"/>
            </w:pPr>
            <w:r>
              <w:rPr>
                <w:sz w:val="15"/>
              </w:rPr>
              <w:t>Examine how digital technology supports sustainable football development in non-elite settings.</w:t>
            </w:r>
          </w:p>
        </w:tc>
        <w:tc>
          <w:tcPr>
            <w:tcW w:type="dxa" w:w="1322"/>
            <w:vAlign w:val="center"/>
            <w:tcMar>
              <w:top w:w="70" w:type="dxa"/>
              <w:start w:w="80" w:type="dxa"/>
              <w:bottom w:w="70" w:type="dxa"/>
              <w:end w:w="80" w:type="dxa"/>
            </w:tcMar>
          </w:tcPr>
          <w:p>
            <w:pPr>
              <w:spacing w:after="0"/>
              <w:jc w:val="left"/>
            </w:pPr>
            <w:r>
              <w:rPr>
                <w:sz w:val="15"/>
              </w:rPr>
              <w:t>Research article</w:t>
            </w:r>
          </w:p>
        </w:tc>
        <w:tc>
          <w:tcPr>
            <w:tcW w:type="dxa" w:w="1322"/>
            <w:vAlign w:val="center"/>
            <w:tcMar>
              <w:top w:w="70" w:type="dxa"/>
              <w:start w:w="80" w:type="dxa"/>
              <w:bottom w:w="70" w:type="dxa"/>
              <w:end w:w="80" w:type="dxa"/>
            </w:tcMar>
          </w:tcPr>
          <w:p>
            <w:pPr>
              <w:spacing w:after="0"/>
              <w:jc w:val="left"/>
            </w:pPr>
            <w:r>
              <w:rPr>
                <w:sz w:val="15"/>
              </w:rPr>
              <w:t>Provides a grassroots and non-elite football digitalization perspective. Useful for arguing that AI-enabled football tools matter beyond top professional clubs.</w:t>
            </w:r>
          </w:p>
        </w:tc>
        <w:tc>
          <w:tcPr>
            <w:tcW w:type="dxa" w:w="1322"/>
            <w:vAlign w:val="center"/>
            <w:tcMar>
              <w:top w:w="70" w:type="dxa"/>
              <w:start w:w="80" w:type="dxa"/>
              <w:bottom w:w="70" w:type="dxa"/>
              <w:end w:w="80" w:type="dxa"/>
            </w:tcMar>
          </w:tcPr>
          <w:p>
            <w:pPr>
              <w:spacing w:after="0"/>
              <w:jc w:val="left"/>
            </w:pPr>
            <w:r>
              <w:rPr>
                <w:color w:val="1E59A3"/>
                <w:sz w:val="15"/>
              </w:rPr>
              <w:t>https://doi.org/10.3389/fspor.2025.1613339</w:t>
            </w:r>
          </w:p>
        </w:tc>
        <w:tc>
          <w:tcPr>
            <w:tcW w:type="dxa" w:w="1322"/>
            <w:vAlign w:val="center"/>
            <w:tcMar>
              <w:top w:w="70" w:type="dxa"/>
              <w:start w:w="80" w:type="dxa"/>
              <w:bottom w:w="70" w:type="dxa"/>
              <w:end w:w="80" w:type="dxa"/>
            </w:tcMar>
          </w:tcPr>
          <w:p>
            <w:pPr>
              <w:spacing w:after="0"/>
              <w:jc w:val="left"/>
            </w:pPr>
            <w:r>
              <w:rPr>
                <w:color w:val="1E59A3"/>
                <w:sz w:val="15"/>
              </w:rPr>
              <w:t>10.3389/fspor.2025.1613339</w:t>
            </w:r>
          </w:p>
        </w:tc>
      </w:tr>
      <w:tr>
        <w:tc>
          <w:tcPr>
            <w:tcW w:type="dxa" w:w="1322"/>
            <w:vAlign w:val="center"/>
            <w:tcMar>
              <w:top w:w="70" w:type="dxa"/>
              <w:start w:w="80" w:type="dxa"/>
              <w:bottom w:w="70" w:type="dxa"/>
              <w:end w:w="80" w:type="dxa"/>
            </w:tcMar>
            <w:shd w:fill="F7FAFD"/>
          </w:tcPr>
          <w:p>
            <w:pPr>
              <w:spacing w:after="0"/>
              <w:jc w:val="left"/>
            </w:pPr>
            <w:r>
              <w:rPr>
                <w:sz w:val="15"/>
              </w:rPr>
              <w:t>Artificial Intelligence in Elite Sports—A Narrative Review of Success Stories and Challenges</w:t>
            </w:r>
          </w:p>
        </w:tc>
        <w:tc>
          <w:tcPr>
            <w:tcW w:type="dxa" w:w="1322"/>
            <w:vAlign w:val="center"/>
            <w:tcMar>
              <w:top w:w="70" w:type="dxa"/>
              <w:start w:w="80" w:type="dxa"/>
              <w:bottom w:w="70" w:type="dxa"/>
              <w:end w:w="80" w:type="dxa"/>
            </w:tcMar>
            <w:shd w:fill="F7FAFD"/>
          </w:tcPr>
          <w:p>
            <w:pPr>
              <w:spacing w:after="0"/>
              <w:jc w:val="left"/>
            </w:pPr>
            <w:r>
              <w:rPr>
                <w:sz w:val="15"/>
              </w:rPr>
              <w:t>Hammes et al. (2022)</w:t>
            </w:r>
          </w:p>
        </w:tc>
        <w:tc>
          <w:tcPr>
            <w:tcW w:type="dxa" w:w="1322"/>
            <w:vAlign w:val="center"/>
            <w:tcMar>
              <w:top w:w="70" w:type="dxa"/>
              <w:start w:w="80" w:type="dxa"/>
              <w:bottom w:w="70" w:type="dxa"/>
              <w:end w:w="80" w:type="dxa"/>
            </w:tcMar>
            <w:shd w:fill="F7FAFD"/>
          </w:tcPr>
          <w:p>
            <w:pPr>
              <w:spacing w:after="0"/>
              <w:jc w:val="center"/>
            </w:pPr>
            <w:r>
              <w:rPr>
                <w:sz w:val="15"/>
              </w:rPr>
              <w:t>2022</w:t>
            </w:r>
          </w:p>
        </w:tc>
        <w:tc>
          <w:tcPr>
            <w:tcW w:type="dxa" w:w="1322"/>
            <w:vAlign w:val="center"/>
            <w:tcMar>
              <w:top w:w="70" w:type="dxa"/>
              <w:start w:w="80" w:type="dxa"/>
              <w:bottom w:w="70" w:type="dxa"/>
              <w:end w:w="80" w:type="dxa"/>
            </w:tcMar>
            <w:shd w:fill="F7FAFD"/>
          </w:tcPr>
          <w:p>
            <w:pPr>
              <w:spacing w:after="0"/>
              <w:jc w:val="left"/>
            </w:pPr>
            <w:r>
              <w:rPr>
                <w:sz w:val="15"/>
              </w:rPr>
              <w:t>Frontiers in Sports and Active Living, 4, Article 861466</w:t>
            </w:r>
          </w:p>
        </w:tc>
        <w:tc>
          <w:tcPr>
            <w:tcW w:type="dxa" w:w="1322"/>
            <w:vAlign w:val="center"/>
            <w:tcMar>
              <w:top w:w="70" w:type="dxa"/>
              <w:start w:w="80" w:type="dxa"/>
              <w:bottom w:w="70" w:type="dxa"/>
              <w:end w:w="80" w:type="dxa"/>
            </w:tcMar>
            <w:shd w:fill="F7FAFD"/>
          </w:tcPr>
          <w:p>
            <w:pPr>
              <w:spacing w:after="0"/>
              <w:jc w:val="left"/>
            </w:pPr>
            <w:r>
              <w:rPr>
                <w:sz w:val="15"/>
              </w:rPr>
              <w:t>Sports science</w:t>
            </w:r>
          </w:p>
        </w:tc>
        <w:tc>
          <w:tcPr>
            <w:tcW w:type="dxa" w:w="1322"/>
            <w:vAlign w:val="center"/>
            <w:tcMar>
              <w:top w:w="70" w:type="dxa"/>
              <w:start w:w="80" w:type="dxa"/>
              <w:bottom w:w="70" w:type="dxa"/>
              <w:end w:w="80" w:type="dxa"/>
            </w:tcMar>
            <w:shd w:fill="F7FAFD"/>
          </w:tcPr>
          <w:p>
            <w:pPr>
              <w:spacing w:after="0"/>
              <w:jc w:val="left"/>
            </w:pPr>
            <w:r>
              <w:rPr>
                <w:sz w:val="15"/>
              </w:rPr>
              <w:t>Germany</w:t>
            </w:r>
          </w:p>
        </w:tc>
        <w:tc>
          <w:tcPr>
            <w:tcW w:type="dxa" w:w="1322"/>
            <w:vAlign w:val="center"/>
            <w:tcMar>
              <w:top w:w="70" w:type="dxa"/>
              <w:start w:w="80" w:type="dxa"/>
              <w:bottom w:w="70" w:type="dxa"/>
              <w:end w:w="80" w:type="dxa"/>
            </w:tcMar>
            <w:shd w:fill="F7FAFD"/>
          </w:tcPr>
          <w:p>
            <w:pPr>
              <w:spacing w:after="0"/>
              <w:jc w:val="left"/>
            </w:pPr>
            <w:r>
              <w:rPr>
                <w:sz w:val="15"/>
              </w:rPr>
              <w:t>Summarize major AI applications and deployment challenges across elite sports.</w:t>
            </w:r>
          </w:p>
        </w:tc>
        <w:tc>
          <w:tcPr>
            <w:tcW w:type="dxa" w:w="1322"/>
            <w:vAlign w:val="center"/>
            <w:tcMar>
              <w:top w:w="70" w:type="dxa"/>
              <w:start w:w="80" w:type="dxa"/>
              <w:bottom w:w="70" w:type="dxa"/>
              <w:end w:w="80" w:type="dxa"/>
            </w:tcMar>
            <w:shd w:fill="F7FAFD"/>
          </w:tcPr>
          <w:p>
            <w:pPr>
              <w:spacing w:after="0"/>
              <w:jc w:val="left"/>
            </w:pPr>
            <w:r>
              <w:rPr>
                <w:sz w:val="15"/>
              </w:rPr>
              <w:t>Narrative review</w:t>
            </w:r>
          </w:p>
        </w:tc>
        <w:tc>
          <w:tcPr>
            <w:tcW w:type="dxa" w:w="1322"/>
            <w:vAlign w:val="center"/>
            <w:tcMar>
              <w:top w:w="70" w:type="dxa"/>
              <w:start w:w="80" w:type="dxa"/>
              <w:bottom w:w="70" w:type="dxa"/>
              <w:end w:w="80" w:type="dxa"/>
            </w:tcMar>
            <w:shd w:fill="F7FAFD"/>
          </w:tcPr>
          <w:p>
            <w:pPr>
              <w:spacing w:after="0"/>
              <w:jc w:val="left"/>
            </w:pPr>
            <w:r>
              <w:rPr>
                <w:sz w:val="15"/>
              </w:rPr>
              <w:t>Frames the broader opportunity–barrier landscape for AI in sport, including explainability, data access, and adoption issues. Useful for contextual framing.</w:t>
            </w:r>
          </w:p>
        </w:tc>
        <w:tc>
          <w:tcPr>
            <w:tcW w:type="dxa" w:w="1322"/>
            <w:vAlign w:val="center"/>
            <w:tcMar>
              <w:top w:w="70" w:type="dxa"/>
              <w:start w:w="80" w:type="dxa"/>
              <w:bottom w:w="70" w:type="dxa"/>
              <w:end w:w="80" w:type="dxa"/>
            </w:tcMar>
            <w:shd w:fill="F7FAFD"/>
          </w:tcPr>
          <w:p>
            <w:pPr>
              <w:spacing w:after="0"/>
              <w:jc w:val="left"/>
            </w:pPr>
            <w:r>
              <w:rPr>
                <w:color w:val="1E59A3"/>
                <w:sz w:val="15"/>
              </w:rPr>
              <w:t>https://doi.org/10.3389/fspor.2022.861466</w:t>
            </w:r>
          </w:p>
        </w:tc>
        <w:tc>
          <w:tcPr>
            <w:tcW w:type="dxa" w:w="1322"/>
            <w:vAlign w:val="center"/>
            <w:tcMar>
              <w:top w:w="70" w:type="dxa"/>
              <w:start w:w="80" w:type="dxa"/>
              <w:bottom w:w="70" w:type="dxa"/>
              <w:end w:w="80" w:type="dxa"/>
            </w:tcMar>
            <w:shd w:fill="F7FAFD"/>
          </w:tcPr>
          <w:p>
            <w:pPr>
              <w:spacing w:after="0"/>
              <w:jc w:val="left"/>
            </w:pPr>
            <w:r>
              <w:rPr>
                <w:color w:val="1E59A3"/>
                <w:sz w:val="15"/>
              </w:rPr>
              <w:t>10.3389/fspor.2022.861466</w:t>
            </w:r>
          </w:p>
        </w:tc>
      </w:tr>
      <w:tr>
        <w:tc>
          <w:tcPr>
            <w:tcW w:type="dxa" w:w="1322"/>
            <w:vAlign w:val="center"/>
            <w:tcMar>
              <w:top w:w="70" w:type="dxa"/>
              <w:start w:w="80" w:type="dxa"/>
              <w:bottom w:w="70" w:type="dxa"/>
              <w:end w:w="80" w:type="dxa"/>
            </w:tcMar>
          </w:tcPr>
          <w:p>
            <w:pPr>
              <w:spacing w:after="0"/>
              <w:jc w:val="left"/>
            </w:pPr>
            <w:r>
              <w:rPr>
                <w:sz w:val="15"/>
              </w:rPr>
              <w:t>Performance and Healthcare Analysis in Elite Sports Teams Using Artificial Intelligence: A Scoping Review</w:t>
            </w:r>
          </w:p>
        </w:tc>
        <w:tc>
          <w:tcPr>
            <w:tcW w:type="dxa" w:w="1322"/>
            <w:vAlign w:val="center"/>
            <w:tcMar>
              <w:top w:w="70" w:type="dxa"/>
              <w:start w:w="80" w:type="dxa"/>
              <w:bottom w:w="70" w:type="dxa"/>
              <w:end w:w="80" w:type="dxa"/>
            </w:tcMar>
          </w:tcPr>
          <w:p>
            <w:pPr>
              <w:spacing w:after="0"/>
              <w:jc w:val="left"/>
            </w:pPr>
            <w:r>
              <w:rPr>
                <w:sz w:val="15"/>
              </w:rPr>
              <w:t>Muñoz-Macho et al. (2024)</w:t>
            </w:r>
          </w:p>
        </w:tc>
        <w:tc>
          <w:tcPr>
            <w:tcW w:type="dxa" w:w="1322"/>
            <w:vAlign w:val="center"/>
            <w:tcMar>
              <w:top w:w="70" w:type="dxa"/>
              <w:start w:w="80" w:type="dxa"/>
              <w:bottom w:w="70" w:type="dxa"/>
              <w:end w:w="80" w:type="dxa"/>
            </w:tcMar>
          </w:tcPr>
          <w:p>
            <w:pPr>
              <w:spacing w:after="0"/>
              <w:jc w:val="center"/>
            </w:pPr>
            <w:r>
              <w:rPr>
                <w:sz w:val="15"/>
              </w:rPr>
              <w:t>2024</w:t>
            </w:r>
          </w:p>
        </w:tc>
        <w:tc>
          <w:tcPr>
            <w:tcW w:type="dxa" w:w="1322"/>
            <w:vAlign w:val="center"/>
            <w:tcMar>
              <w:top w:w="70" w:type="dxa"/>
              <w:start w:w="80" w:type="dxa"/>
              <w:bottom w:w="70" w:type="dxa"/>
              <w:end w:w="80" w:type="dxa"/>
            </w:tcMar>
          </w:tcPr>
          <w:p>
            <w:pPr>
              <w:spacing w:after="0"/>
              <w:jc w:val="left"/>
            </w:pPr>
            <w:r>
              <w:rPr>
                <w:sz w:val="15"/>
              </w:rPr>
              <w:t>Frontiers in Sports and Active Living, 6, Article 1383723</w:t>
            </w:r>
          </w:p>
        </w:tc>
        <w:tc>
          <w:tcPr>
            <w:tcW w:type="dxa" w:w="1322"/>
            <w:vAlign w:val="center"/>
            <w:tcMar>
              <w:top w:w="70" w:type="dxa"/>
              <w:start w:w="80" w:type="dxa"/>
              <w:bottom w:w="70" w:type="dxa"/>
              <w:end w:w="80" w:type="dxa"/>
            </w:tcMar>
          </w:tcPr>
          <w:p>
            <w:pPr>
              <w:spacing w:after="0"/>
              <w:jc w:val="left"/>
            </w:pPr>
            <w:r>
              <w:rPr>
                <w:sz w:val="15"/>
              </w:rPr>
              <w:t>Sports science</w:t>
            </w:r>
          </w:p>
        </w:tc>
        <w:tc>
          <w:tcPr>
            <w:tcW w:type="dxa" w:w="1322"/>
            <w:vAlign w:val="center"/>
            <w:tcMar>
              <w:top w:w="70" w:type="dxa"/>
              <w:start w:w="80" w:type="dxa"/>
              <w:bottom w:w="70" w:type="dxa"/>
              <w:end w:w="80" w:type="dxa"/>
            </w:tcMar>
          </w:tcPr>
          <w:p>
            <w:pPr>
              <w:spacing w:after="0"/>
              <w:jc w:val="left"/>
            </w:pPr>
            <w:r>
              <w:rPr>
                <w:sz w:val="15"/>
              </w:rPr>
              <w:t>Spain</w:t>
            </w:r>
          </w:p>
        </w:tc>
        <w:tc>
          <w:tcPr>
            <w:tcW w:type="dxa" w:w="1322"/>
            <w:vAlign w:val="center"/>
            <w:tcMar>
              <w:top w:w="70" w:type="dxa"/>
              <w:start w:w="80" w:type="dxa"/>
              <w:bottom w:w="70" w:type="dxa"/>
              <w:end w:w="80" w:type="dxa"/>
            </w:tcMar>
          </w:tcPr>
          <w:p>
            <w:pPr>
              <w:spacing w:after="0"/>
              <w:jc w:val="left"/>
            </w:pPr>
            <w:r>
              <w:rPr>
                <w:sz w:val="15"/>
              </w:rPr>
              <w:t>Scope AI applications for performance and health analysis in elite sports teams.</w:t>
            </w:r>
          </w:p>
        </w:tc>
        <w:tc>
          <w:tcPr>
            <w:tcW w:type="dxa" w:w="1322"/>
            <w:vAlign w:val="center"/>
            <w:tcMar>
              <w:top w:w="70" w:type="dxa"/>
              <w:start w:w="80" w:type="dxa"/>
              <w:bottom w:w="70" w:type="dxa"/>
              <w:end w:w="80" w:type="dxa"/>
            </w:tcMar>
          </w:tcPr>
          <w:p>
            <w:pPr>
              <w:spacing w:after="0"/>
              <w:jc w:val="left"/>
            </w:pPr>
            <w:r>
              <w:rPr>
                <w:sz w:val="15"/>
              </w:rPr>
              <w:t>Scoping review</w:t>
            </w:r>
          </w:p>
        </w:tc>
        <w:tc>
          <w:tcPr>
            <w:tcW w:type="dxa" w:w="1322"/>
            <w:vAlign w:val="center"/>
            <w:tcMar>
              <w:top w:w="70" w:type="dxa"/>
              <w:start w:w="80" w:type="dxa"/>
              <w:bottom w:w="70" w:type="dxa"/>
              <w:end w:w="80" w:type="dxa"/>
            </w:tcMar>
          </w:tcPr>
          <w:p>
            <w:pPr>
              <w:spacing w:after="0"/>
              <w:jc w:val="left"/>
            </w:pPr>
            <w:r>
              <w:rPr>
                <w:sz w:val="15"/>
              </w:rPr>
              <w:t>Shows how AI is used across performance optimisation and health monitoring. Helps connect football tactics work to the wider team-sport AI ecosystem.</w:t>
            </w:r>
          </w:p>
        </w:tc>
        <w:tc>
          <w:tcPr>
            <w:tcW w:type="dxa" w:w="1322"/>
            <w:vAlign w:val="center"/>
            <w:tcMar>
              <w:top w:w="70" w:type="dxa"/>
              <w:start w:w="80" w:type="dxa"/>
              <w:bottom w:w="70" w:type="dxa"/>
              <w:end w:w="80" w:type="dxa"/>
            </w:tcMar>
          </w:tcPr>
          <w:p>
            <w:pPr>
              <w:spacing w:after="0"/>
              <w:jc w:val="left"/>
            </w:pPr>
            <w:r>
              <w:rPr>
                <w:color w:val="1E59A3"/>
                <w:sz w:val="15"/>
              </w:rPr>
              <w:t>https://doi.org/10.3389/fspor.2024.1383723</w:t>
            </w:r>
          </w:p>
        </w:tc>
        <w:tc>
          <w:tcPr>
            <w:tcW w:type="dxa" w:w="1322"/>
            <w:vAlign w:val="center"/>
            <w:tcMar>
              <w:top w:w="70" w:type="dxa"/>
              <w:start w:w="80" w:type="dxa"/>
              <w:bottom w:w="70" w:type="dxa"/>
              <w:end w:w="80" w:type="dxa"/>
            </w:tcMar>
          </w:tcPr>
          <w:p>
            <w:pPr>
              <w:spacing w:after="0"/>
              <w:jc w:val="left"/>
            </w:pPr>
            <w:r>
              <w:rPr>
                <w:color w:val="1E59A3"/>
                <w:sz w:val="15"/>
              </w:rPr>
              <w:t>10.3389/fspor.2024.1383723</w:t>
            </w:r>
          </w:p>
        </w:tc>
      </w:tr>
      <w:tr>
        <w:tc>
          <w:tcPr>
            <w:tcW w:type="dxa" w:w="1322"/>
            <w:vAlign w:val="center"/>
            <w:tcMar>
              <w:top w:w="70" w:type="dxa"/>
              <w:start w:w="80" w:type="dxa"/>
              <w:bottom w:w="70" w:type="dxa"/>
              <w:end w:w="80" w:type="dxa"/>
            </w:tcMar>
            <w:shd w:fill="F7FAFD"/>
          </w:tcPr>
          <w:p>
            <w:pPr>
              <w:spacing w:after="0"/>
              <w:jc w:val="left"/>
            </w:pPr>
            <w:r>
              <w:rPr>
                <w:sz w:val="15"/>
              </w:rPr>
              <w:t>The Role of Artificial Intelligence in Sports Analytics: A Systematic Review and Meta-Analysis of Performance Trends</w:t>
            </w:r>
          </w:p>
        </w:tc>
        <w:tc>
          <w:tcPr>
            <w:tcW w:type="dxa" w:w="1322"/>
            <w:vAlign w:val="center"/>
            <w:tcMar>
              <w:top w:w="70" w:type="dxa"/>
              <w:start w:w="80" w:type="dxa"/>
              <w:bottom w:w="70" w:type="dxa"/>
              <w:end w:w="80" w:type="dxa"/>
            </w:tcMar>
            <w:shd w:fill="F7FAFD"/>
          </w:tcPr>
          <w:p>
            <w:pPr>
              <w:spacing w:after="0"/>
              <w:jc w:val="left"/>
            </w:pPr>
            <w:r>
              <w:rPr>
                <w:sz w:val="15"/>
              </w:rPr>
              <w:t>Pietraszewski et al. (2025)</w:t>
            </w:r>
          </w:p>
        </w:tc>
        <w:tc>
          <w:tcPr>
            <w:tcW w:type="dxa" w:w="1322"/>
            <w:vAlign w:val="center"/>
            <w:tcMar>
              <w:top w:w="70" w:type="dxa"/>
              <w:start w:w="80" w:type="dxa"/>
              <w:bottom w:w="70" w:type="dxa"/>
              <w:end w:w="80" w:type="dxa"/>
            </w:tcMar>
            <w:shd w:fill="F7FAFD"/>
          </w:tcPr>
          <w:p>
            <w:pPr>
              <w:spacing w:after="0"/>
              <w:jc w:val="center"/>
            </w:pPr>
            <w:r>
              <w:rPr>
                <w:sz w:val="15"/>
              </w:rPr>
              <w:t>2025</w:t>
            </w:r>
          </w:p>
        </w:tc>
        <w:tc>
          <w:tcPr>
            <w:tcW w:type="dxa" w:w="1322"/>
            <w:vAlign w:val="center"/>
            <w:tcMar>
              <w:top w:w="70" w:type="dxa"/>
              <w:start w:w="80" w:type="dxa"/>
              <w:bottom w:w="70" w:type="dxa"/>
              <w:end w:w="80" w:type="dxa"/>
            </w:tcMar>
            <w:shd w:fill="F7FAFD"/>
          </w:tcPr>
          <w:p>
            <w:pPr>
              <w:spacing w:after="0"/>
              <w:jc w:val="left"/>
            </w:pPr>
            <w:r>
              <w:rPr>
                <w:sz w:val="15"/>
              </w:rPr>
              <w:t>Applied Sciences, 15(13), 7254</w:t>
            </w:r>
          </w:p>
        </w:tc>
        <w:tc>
          <w:tcPr>
            <w:tcW w:type="dxa" w:w="1322"/>
            <w:vAlign w:val="center"/>
            <w:tcMar>
              <w:top w:w="70" w:type="dxa"/>
              <w:start w:w="80" w:type="dxa"/>
              <w:bottom w:w="70" w:type="dxa"/>
              <w:end w:w="80" w:type="dxa"/>
            </w:tcMar>
            <w:shd w:fill="F7FAFD"/>
          </w:tcPr>
          <w:p>
            <w:pPr>
              <w:spacing w:after="0"/>
              <w:jc w:val="left"/>
            </w:pPr>
            <w:r>
              <w:rPr>
                <w:sz w:val="15"/>
              </w:rPr>
              <w:t>Sports science</w:t>
            </w:r>
          </w:p>
        </w:tc>
        <w:tc>
          <w:tcPr>
            <w:tcW w:type="dxa" w:w="1322"/>
            <w:vAlign w:val="center"/>
            <w:tcMar>
              <w:top w:w="70" w:type="dxa"/>
              <w:start w:w="80" w:type="dxa"/>
              <w:bottom w:w="70" w:type="dxa"/>
              <w:end w:w="80" w:type="dxa"/>
            </w:tcMar>
            <w:shd w:fill="F7FAFD"/>
          </w:tcPr>
          <w:p>
            <w:pPr>
              <w:spacing w:after="0"/>
              <w:jc w:val="left"/>
            </w:pPr>
            <w:r>
              <w:rPr>
                <w:sz w:val="15"/>
              </w:rPr>
              <w:t>Poland</w:t>
            </w:r>
          </w:p>
        </w:tc>
        <w:tc>
          <w:tcPr>
            <w:tcW w:type="dxa" w:w="1322"/>
            <w:vAlign w:val="center"/>
            <w:tcMar>
              <w:top w:w="70" w:type="dxa"/>
              <w:start w:w="80" w:type="dxa"/>
              <w:bottom w:w="70" w:type="dxa"/>
              <w:end w:w="80" w:type="dxa"/>
            </w:tcMar>
            <w:shd w:fill="F7FAFD"/>
          </w:tcPr>
          <w:p>
            <w:pPr>
              <w:spacing w:after="0"/>
              <w:jc w:val="left"/>
            </w:pPr>
            <w:r>
              <w:rPr>
                <w:sz w:val="15"/>
              </w:rPr>
              <w:t>Review and meta-analyse performance trends in sports AI research.</w:t>
            </w:r>
          </w:p>
        </w:tc>
        <w:tc>
          <w:tcPr>
            <w:tcW w:type="dxa" w:w="1322"/>
            <w:vAlign w:val="center"/>
            <w:tcMar>
              <w:top w:w="70" w:type="dxa"/>
              <w:start w:w="80" w:type="dxa"/>
              <w:bottom w:w="70" w:type="dxa"/>
              <w:end w:w="80" w:type="dxa"/>
            </w:tcMar>
            <w:shd w:fill="F7FAFD"/>
          </w:tcPr>
          <w:p>
            <w:pPr>
              <w:spacing w:after="0"/>
              <w:jc w:val="left"/>
            </w:pPr>
            <w:r>
              <w:rPr>
                <w:sz w:val="15"/>
              </w:rPr>
              <w:t>Systematic review and meta-analysis</w:t>
            </w:r>
          </w:p>
        </w:tc>
        <w:tc>
          <w:tcPr>
            <w:tcW w:type="dxa" w:w="1322"/>
            <w:vAlign w:val="center"/>
            <w:tcMar>
              <w:top w:w="70" w:type="dxa"/>
              <w:start w:w="80" w:type="dxa"/>
              <w:bottom w:w="70" w:type="dxa"/>
              <w:end w:w="80" w:type="dxa"/>
            </w:tcMar>
            <w:shd w:fill="F7FAFD"/>
          </w:tcPr>
          <w:p>
            <w:pPr>
              <w:spacing w:after="0"/>
              <w:jc w:val="left"/>
            </w:pPr>
            <w:r>
              <w:rPr>
                <w:sz w:val="15"/>
              </w:rPr>
              <w:t>Provides broad evidence on the rise and impact of AI-driven sports analytics. Useful as a general evidence base for the value of data-driven performance analysis.</w:t>
            </w:r>
          </w:p>
        </w:tc>
        <w:tc>
          <w:tcPr>
            <w:tcW w:type="dxa" w:w="1322"/>
            <w:vAlign w:val="center"/>
            <w:tcMar>
              <w:top w:w="70" w:type="dxa"/>
              <w:start w:w="80" w:type="dxa"/>
              <w:bottom w:w="70" w:type="dxa"/>
              <w:end w:w="80" w:type="dxa"/>
            </w:tcMar>
            <w:shd w:fill="F7FAFD"/>
          </w:tcPr>
          <w:p>
            <w:pPr>
              <w:spacing w:after="0"/>
              <w:jc w:val="left"/>
            </w:pPr>
            <w:r>
              <w:rPr>
                <w:color w:val="1E59A3"/>
                <w:sz w:val="15"/>
              </w:rPr>
              <w:t>https://doi.org/10.3390/app15137254</w:t>
            </w:r>
          </w:p>
        </w:tc>
        <w:tc>
          <w:tcPr>
            <w:tcW w:type="dxa" w:w="1322"/>
            <w:vAlign w:val="center"/>
            <w:tcMar>
              <w:top w:w="70" w:type="dxa"/>
              <w:start w:w="80" w:type="dxa"/>
              <w:bottom w:w="70" w:type="dxa"/>
              <w:end w:w="80" w:type="dxa"/>
            </w:tcMar>
            <w:shd w:fill="F7FAFD"/>
          </w:tcPr>
          <w:p>
            <w:pPr>
              <w:spacing w:after="0"/>
              <w:jc w:val="left"/>
            </w:pPr>
            <w:r>
              <w:rPr>
                <w:color w:val="1E59A3"/>
                <w:sz w:val="15"/>
              </w:rPr>
              <w:t>10.3390/app15137254</w:t>
            </w:r>
          </w:p>
        </w:tc>
      </w:tr>
      <w:tr>
        <w:tc>
          <w:tcPr>
            <w:tcW w:type="dxa" w:w="1322"/>
            <w:vAlign w:val="center"/>
            <w:tcMar>
              <w:top w:w="70" w:type="dxa"/>
              <w:start w:w="80" w:type="dxa"/>
              <w:bottom w:w="70" w:type="dxa"/>
              <w:end w:w="80" w:type="dxa"/>
            </w:tcMar>
          </w:tcPr>
          <w:p>
            <w:pPr>
              <w:spacing w:after="0"/>
              <w:jc w:val="left"/>
            </w:pPr>
            <w:r>
              <w:rPr>
                <w:sz w:val="15"/>
              </w:rPr>
              <w:t>Artificial Intelligence in Sports Biomechanics: A Scoping Review on Wearable Technology, Motion Analysis, and Injury Prevention</w:t>
            </w:r>
          </w:p>
        </w:tc>
        <w:tc>
          <w:tcPr>
            <w:tcW w:type="dxa" w:w="1322"/>
            <w:vAlign w:val="center"/>
            <w:tcMar>
              <w:top w:w="70" w:type="dxa"/>
              <w:start w:w="80" w:type="dxa"/>
              <w:bottom w:w="70" w:type="dxa"/>
              <w:end w:w="80" w:type="dxa"/>
            </w:tcMar>
          </w:tcPr>
          <w:p>
            <w:pPr>
              <w:spacing w:after="0"/>
              <w:jc w:val="left"/>
            </w:pPr>
            <w:r>
              <w:rPr>
                <w:sz w:val="15"/>
              </w:rPr>
              <w:t>Souaifi et al. (2025)</w:t>
            </w:r>
          </w:p>
        </w:tc>
        <w:tc>
          <w:tcPr>
            <w:tcW w:type="dxa" w:w="1322"/>
            <w:vAlign w:val="center"/>
            <w:tcMar>
              <w:top w:w="70" w:type="dxa"/>
              <w:start w:w="80" w:type="dxa"/>
              <w:bottom w:w="70" w:type="dxa"/>
              <w:end w:w="80" w:type="dxa"/>
            </w:tcMar>
          </w:tcPr>
          <w:p>
            <w:pPr>
              <w:spacing w:after="0"/>
              <w:jc w:val="center"/>
            </w:pPr>
            <w:r>
              <w:rPr>
                <w:sz w:val="15"/>
              </w:rPr>
              <w:t>2025</w:t>
            </w:r>
          </w:p>
        </w:tc>
        <w:tc>
          <w:tcPr>
            <w:tcW w:type="dxa" w:w="1322"/>
            <w:vAlign w:val="center"/>
            <w:tcMar>
              <w:top w:w="70" w:type="dxa"/>
              <w:start w:w="80" w:type="dxa"/>
              <w:bottom w:w="70" w:type="dxa"/>
              <w:end w:w="80" w:type="dxa"/>
            </w:tcMar>
          </w:tcPr>
          <w:p>
            <w:pPr>
              <w:spacing w:after="0"/>
              <w:jc w:val="left"/>
            </w:pPr>
            <w:r>
              <w:rPr>
                <w:sz w:val="15"/>
              </w:rPr>
              <w:t>Bioengineering, 12(8), 887</w:t>
            </w:r>
          </w:p>
        </w:tc>
        <w:tc>
          <w:tcPr>
            <w:tcW w:type="dxa" w:w="1322"/>
            <w:vAlign w:val="center"/>
            <w:tcMar>
              <w:top w:w="70" w:type="dxa"/>
              <w:start w:w="80" w:type="dxa"/>
              <w:bottom w:w="70" w:type="dxa"/>
              <w:end w:w="80" w:type="dxa"/>
            </w:tcMar>
          </w:tcPr>
          <w:p>
            <w:pPr>
              <w:spacing w:after="0"/>
              <w:jc w:val="left"/>
            </w:pPr>
            <w:r>
              <w:rPr>
                <w:sz w:val="15"/>
              </w:rPr>
              <w:t>Sports science</w:t>
            </w:r>
          </w:p>
        </w:tc>
        <w:tc>
          <w:tcPr>
            <w:tcW w:type="dxa" w:w="1322"/>
            <w:vAlign w:val="center"/>
            <w:tcMar>
              <w:top w:w="70" w:type="dxa"/>
              <w:start w:w="80" w:type="dxa"/>
              <w:bottom w:w="70" w:type="dxa"/>
              <w:end w:w="80" w:type="dxa"/>
            </w:tcMar>
          </w:tcPr>
          <w:p>
            <w:pPr>
              <w:spacing w:after="0"/>
              <w:jc w:val="left"/>
            </w:pPr>
            <w:r>
              <w:rPr>
                <w:sz w:val="15"/>
              </w:rPr>
            </w:r>
          </w:p>
        </w:tc>
        <w:tc>
          <w:tcPr>
            <w:tcW w:type="dxa" w:w="1322"/>
            <w:vAlign w:val="center"/>
            <w:tcMar>
              <w:top w:w="70" w:type="dxa"/>
              <w:start w:w="80" w:type="dxa"/>
              <w:bottom w:w="70" w:type="dxa"/>
              <w:end w:w="80" w:type="dxa"/>
            </w:tcMar>
          </w:tcPr>
          <w:p>
            <w:pPr>
              <w:spacing w:after="0"/>
              <w:jc w:val="left"/>
            </w:pPr>
            <w:r>
              <w:rPr>
                <w:sz w:val="15"/>
              </w:rPr>
              <w:t>Review AI use in sports biomechanics, wearables, motion analysis, and injury prevention.</w:t>
            </w:r>
          </w:p>
        </w:tc>
        <w:tc>
          <w:tcPr>
            <w:tcW w:type="dxa" w:w="1322"/>
            <w:vAlign w:val="center"/>
            <w:tcMar>
              <w:top w:w="70" w:type="dxa"/>
              <w:start w:w="80" w:type="dxa"/>
              <w:bottom w:w="70" w:type="dxa"/>
              <w:end w:w="80" w:type="dxa"/>
            </w:tcMar>
          </w:tcPr>
          <w:p>
            <w:pPr>
              <w:spacing w:after="0"/>
              <w:jc w:val="left"/>
            </w:pPr>
            <w:r>
              <w:rPr>
                <w:sz w:val="15"/>
              </w:rPr>
              <w:t>Scoping review</w:t>
            </w:r>
          </w:p>
        </w:tc>
        <w:tc>
          <w:tcPr>
            <w:tcW w:type="dxa" w:w="1322"/>
            <w:vAlign w:val="center"/>
            <w:tcMar>
              <w:top w:w="70" w:type="dxa"/>
              <w:start w:w="80" w:type="dxa"/>
              <w:bottom w:w="70" w:type="dxa"/>
              <w:end w:w="80" w:type="dxa"/>
            </w:tcMar>
          </w:tcPr>
          <w:p>
            <w:pPr>
              <w:spacing w:after="0"/>
              <w:jc w:val="left"/>
            </w:pPr>
            <w:r>
              <w:rPr>
                <w:sz w:val="15"/>
              </w:rPr>
              <w:t>Broadens the evidence base on AI-enabled sensing and movement analysis. Supports arguments around multimodal data, wearables, and decision support in sport.</w:t>
            </w:r>
          </w:p>
        </w:tc>
        <w:tc>
          <w:tcPr>
            <w:tcW w:type="dxa" w:w="1322"/>
            <w:vAlign w:val="center"/>
            <w:tcMar>
              <w:top w:w="70" w:type="dxa"/>
              <w:start w:w="80" w:type="dxa"/>
              <w:bottom w:w="70" w:type="dxa"/>
              <w:end w:w="80" w:type="dxa"/>
            </w:tcMar>
          </w:tcPr>
          <w:p>
            <w:pPr>
              <w:spacing w:after="0"/>
              <w:jc w:val="left"/>
            </w:pPr>
            <w:r>
              <w:rPr>
                <w:color w:val="1E59A3"/>
                <w:sz w:val="15"/>
              </w:rPr>
              <w:t>https://doi.org/10.3390/bioengineering12080887</w:t>
            </w:r>
          </w:p>
        </w:tc>
        <w:tc>
          <w:tcPr>
            <w:tcW w:type="dxa" w:w="1322"/>
            <w:vAlign w:val="center"/>
            <w:tcMar>
              <w:top w:w="70" w:type="dxa"/>
              <w:start w:w="80" w:type="dxa"/>
              <w:bottom w:w="70" w:type="dxa"/>
              <w:end w:w="80" w:type="dxa"/>
            </w:tcMar>
          </w:tcPr>
          <w:p>
            <w:pPr>
              <w:spacing w:after="0"/>
              <w:jc w:val="left"/>
            </w:pPr>
            <w:r>
              <w:rPr>
                <w:color w:val="1E59A3"/>
                <w:sz w:val="15"/>
              </w:rPr>
              <w:t>10.3390/bioengineering12080887</w:t>
            </w:r>
          </w:p>
        </w:tc>
      </w:tr>
      <w:tr>
        <w:tc>
          <w:tcPr>
            <w:tcW w:type="dxa" w:w="1322"/>
            <w:vAlign w:val="center"/>
            <w:tcMar>
              <w:top w:w="70" w:type="dxa"/>
              <w:start w:w="80" w:type="dxa"/>
              <w:bottom w:w="70" w:type="dxa"/>
              <w:end w:w="80" w:type="dxa"/>
            </w:tcMar>
            <w:shd w:fill="F7FAFD"/>
          </w:tcPr>
          <w:p>
            <w:pPr>
              <w:spacing w:after="0"/>
              <w:jc w:val="left"/>
            </w:pPr>
            <w:r>
              <w:rPr>
                <w:sz w:val="15"/>
              </w:rPr>
              <w:t>Diagnostic Applications of AI in Sports: A Comprehensive Review of Injury Risk Prediction Methods</w:t>
            </w:r>
          </w:p>
        </w:tc>
        <w:tc>
          <w:tcPr>
            <w:tcW w:type="dxa" w:w="1322"/>
            <w:vAlign w:val="center"/>
            <w:tcMar>
              <w:top w:w="70" w:type="dxa"/>
              <w:start w:w="80" w:type="dxa"/>
              <w:bottom w:w="70" w:type="dxa"/>
              <w:end w:w="80" w:type="dxa"/>
            </w:tcMar>
            <w:shd w:fill="F7FAFD"/>
          </w:tcPr>
          <w:p>
            <w:pPr>
              <w:spacing w:after="0"/>
              <w:jc w:val="left"/>
            </w:pPr>
            <w:r>
              <w:rPr>
                <w:sz w:val="15"/>
              </w:rPr>
              <w:t>Musat et al. (2024)</w:t>
            </w:r>
          </w:p>
        </w:tc>
        <w:tc>
          <w:tcPr>
            <w:tcW w:type="dxa" w:w="1322"/>
            <w:vAlign w:val="center"/>
            <w:tcMar>
              <w:top w:w="70" w:type="dxa"/>
              <w:start w:w="80" w:type="dxa"/>
              <w:bottom w:w="70" w:type="dxa"/>
              <w:end w:w="80" w:type="dxa"/>
            </w:tcMar>
            <w:shd w:fill="F7FAFD"/>
          </w:tcPr>
          <w:p>
            <w:pPr>
              <w:spacing w:after="0"/>
              <w:jc w:val="center"/>
            </w:pPr>
            <w:r>
              <w:rPr>
                <w:sz w:val="15"/>
              </w:rPr>
              <w:t>2024</w:t>
            </w:r>
          </w:p>
        </w:tc>
        <w:tc>
          <w:tcPr>
            <w:tcW w:type="dxa" w:w="1322"/>
            <w:vAlign w:val="center"/>
            <w:tcMar>
              <w:top w:w="70" w:type="dxa"/>
              <w:start w:w="80" w:type="dxa"/>
              <w:bottom w:w="70" w:type="dxa"/>
              <w:end w:w="80" w:type="dxa"/>
            </w:tcMar>
            <w:shd w:fill="F7FAFD"/>
          </w:tcPr>
          <w:p>
            <w:pPr>
              <w:spacing w:after="0"/>
              <w:jc w:val="left"/>
            </w:pPr>
            <w:r>
              <w:rPr>
                <w:sz w:val="15"/>
              </w:rPr>
              <w:t>Diagnostics, 14(22), 2516</w:t>
            </w:r>
          </w:p>
        </w:tc>
        <w:tc>
          <w:tcPr>
            <w:tcW w:type="dxa" w:w="1322"/>
            <w:vAlign w:val="center"/>
            <w:tcMar>
              <w:top w:w="70" w:type="dxa"/>
              <w:start w:w="80" w:type="dxa"/>
              <w:bottom w:w="70" w:type="dxa"/>
              <w:end w:w="80" w:type="dxa"/>
            </w:tcMar>
            <w:shd w:fill="F7FAFD"/>
          </w:tcPr>
          <w:p>
            <w:pPr>
              <w:spacing w:after="0"/>
              <w:jc w:val="left"/>
            </w:pPr>
            <w:r>
              <w:rPr>
                <w:sz w:val="15"/>
              </w:rPr>
              <w:t>Sports science</w:t>
            </w:r>
          </w:p>
        </w:tc>
        <w:tc>
          <w:tcPr>
            <w:tcW w:type="dxa" w:w="1322"/>
            <w:vAlign w:val="center"/>
            <w:tcMar>
              <w:top w:w="70" w:type="dxa"/>
              <w:start w:w="80" w:type="dxa"/>
              <w:bottom w:w="70" w:type="dxa"/>
              <w:end w:w="80" w:type="dxa"/>
            </w:tcMar>
            <w:shd w:fill="F7FAFD"/>
          </w:tcPr>
          <w:p>
            <w:pPr>
              <w:spacing w:after="0"/>
              <w:jc w:val="left"/>
            </w:pPr>
            <w:r>
              <w:rPr>
                <w:sz w:val="15"/>
              </w:rPr>
              <w:t>Romania</w:t>
            </w:r>
          </w:p>
        </w:tc>
        <w:tc>
          <w:tcPr>
            <w:tcW w:type="dxa" w:w="1322"/>
            <w:vAlign w:val="center"/>
            <w:tcMar>
              <w:top w:w="70" w:type="dxa"/>
              <w:start w:w="80" w:type="dxa"/>
              <w:bottom w:w="70" w:type="dxa"/>
              <w:end w:w="80" w:type="dxa"/>
            </w:tcMar>
            <w:shd w:fill="F7FAFD"/>
          </w:tcPr>
          <w:p>
            <w:pPr>
              <w:spacing w:after="0"/>
              <w:jc w:val="left"/>
            </w:pPr>
            <w:r>
              <w:rPr>
                <w:sz w:val="15"/>
              </w:rPr>
              <w:t>Review AI methods for diagnostic and injury-risk prediction in sport.</w:t>
            </w:r>
          </w:p>
        </w:tc>
        <w:tc>
          <w:tcPr>
            <w:tcW w:type="dxa" w:w="1322"/>
            <w:vAlign w:val="center"/>
            <w:tcMar>
              <w:top w:w="70" w:type="dxa"/>
              <w:start w:w="80" w:type="dxa"/>
              <w:bottom w:w="70" w:type="dxa"/>
              <w:end w:w="80" w:type="dxa"/>
            </w:tcMar>
            <w:shd w:fill="F7FAFD"/>
          </w:tcPr>
          <w:p>
            <w:pPr>
              <w:spacing w:after="0"/>
              <w:jc w:val="left"/>
            </w:pPr>
            <w:r>
              <w:rPr>
                <w:sz w:val="15"/>
              </w:rPr>
              <w:t>Comprehensive review</w:t>
            </w:r>
          </w:p>
        </w:tc>
        <w:tc>
          <w:tcPr>
            <w:tcW w:type="dxa" w:w="1322"/>
            <w:vAlign w:val="center"/>
            <w:tcMar>
              <w:top w:w="70" w:type="dxa"/>
              <w:start w:w="80" w:type="dxa"/>
              <w:bottom w:w="70" w:type="dxa"/>
              <w:end w:w="80" w:type="dxa"/>
            </w:tcMar>
            <w:shd w:fill="F7FAFD"/>
          </w:tcPr>
          <w:p>
            <w:pPr>
              <w:spacing w:after="0"/>
              <w:jc w:val="left"/>
            </w:pPr>
            <w:r>
              <w:rPr>
                <w:sz w:val="15"/>
              </w:rPr>
              <w:t>Highlights practical AI deployment issues such as data quality, generalisation, and clinical/sporting interpretability. Useful for implementation discussion.</w:t>
            </w:r>
          </w:p>
        </w:tc>
        <w:tc>
          <w:tcPr>
            <w:tcW w:type="dxa" w:w="1322"/>
            <w:vAlign w:val="center"/>
            <w:tcMar>
              <w:top w:w="70" w:type="dxa"/>
              <w:start w:w="80" w:type="dxa"/>
              <w:bottom w:w="70" w:type="dxa"/>
              <w:end w:w="80" w:type="dxa"/>
            </w:tcMar>
            <w:shd w:fill="F7FAFD"/>
          </w:tcPr>
          <w:p>
            <w:pPr>
              <w:spacing w:after="0"/>
              <w:jc w:val="left"/>
            </w:pPr>
            <w:r>
              <w:rPr>
                <w:color w:val="1E59A3"/>
                <w:sz w:val="15"/>
              </w:rPr>
              <w:t>https://doi.org/10.3390/diagnostics14222516</w:t>
            </w:r>
          </w:p>
        </w:tc>
        <w:tc>
          <w:tcPr>
            <w:tcW w:type="dxa" w:w="1322"/>
            <w:vAlign w:val="center"/>
            <w:tcMar>
              <w:top w:w="70" w:type="dxa"/>
              <w:start w:w="80" w:type="dxa"/>
              <w:bottom w:w="70" w:type="dxa"/>
              <w:end w:w="80" w:type="dxa"/>
            </w:tcMar>
            <w:shd w:fill="F7FAFD"/>
          </w:tcPr>
          <w:p>
            <w:pPr>
              <w:spacing w:after="0"/>
              <w:jc w:val="left"/>
            </w:pPr>
            <w:r>
              <w:rPr>
                <w:color w:val="1E59A3"/>
                <w:sz w:val="15"/>
              </w:rPr>
              <w:t>10.3390/diagnostics14222516</w:t>
            </w:r>
          </w:p>
        </w:tc>
      </w:tr>
      <w:tr>
        <w:tc>
          <w:tcPr>
            <w:tcW w:type="dxa" w:w="1322"/>
            <w:vAlign w:val="center"/>
            <w:tcMar>
              <w:top w:w="70" w:type="dxa"/>
              <w:start w:w="80" w:type="dxa"/>
              <w:bottom w:w="70" w:type="dxa"/>
              <w:end w:w="80" w:type="dxa"/>
            </w:tcMar>
          </w:tcPr>
          <w:p>
            <w:pPr>
              <w:spacing w:after="0"/>
              <w:jc w:val="left"/>
            </w:pPr>
            <w:r>
              <w:rPr>
                <w:sz w:val="15"/>
              </w:rPr>
              <w:t>Leveraging Artificial Intelligence and Machine Learning in Sport Sciences: A Systematic Literature Review of Applications, Outcomes, and Future Directions</w:t>
            </w:r>
          </w:p>
        </w:tc>
        <w:tc>
          <w:tcPr>
            <w:tcW w:type="dxa" w:w="1322"/>
            <w:vAlign w:val="center"/>
            <w:tcMar>
              <w:top w:w="70" w:type="dxa"/>
              <w:start w:w="80" w:type="dxa"/>
              <w:bottom w:w="70" w:type="dxa"/>
              <w:end w:w="80" w:type="dxa"/>
            </w:tcMar>
          </w:tcPr>
          <w:p>
            <w:pPr>
              <w:spacing w:after="0"/>
              <w:jc w:val="left"/>
            </w:pPr>
            <w:r>
              <w:rPr>
                <w:sz w:val="15"/>
              </w:rPr>
              <w:t>Kumar et al. (2025)</w:t>
            </w:r>
          </w:p>
        </w:tc>
        <w:tc>
          <w:tcPr>
            <w:tcW w:type="dxa" w:w="1322"/>
            <w:vAlign w:val="center"/>
            <w:tcMar>
              <w:top w:w="70" w:type="dxa"/>
              <w:start w:w="80" w:type="dxa"/>
              <w:bottom w:w="70" w:type="dxa"/>
              <w:end w:w="80" w:type="dxa"/>
            </w:tcMar>
          </w:tcPr>
          <w:p>
            <w:pPr>
              <w:spacing w:after="0"/>
              <w:jc w:val="center"/>
            </w:pPr>
            <w:r>
              <w:rPr>
                <w:sz w:val="15"/>
              </w:rPr>
              <w:t>2025</w:t>
            </w:r>
          </w:p>
        </w:tc>
        <w:tc>
          <w:tcPr>
            <w:tcW w:type="dxa" w:w="1322"/>
            <w:vAlign w:val="center"/>
            <w:tcMar>
              <w:top w:w="70" w:type="dxa"/>
              <w:start w:w="80" w:type="dxa"/>
              <w:bottom w:w="70" w:type="dxa"/>
              <w:end w:w="80" w:type="dxa"/>
            </w:tcMar>
          </w:tcPr>
          <w:p>
            <w:pPr>
              <w:spacing w:after="0"/>
              <w:jc w:val="left"/>
            </w:pPr>
            <w:r>
              <w:rPr>
                <w:sz w:val="15"/>
              </w:rPr>
              <w:t>Sport Sciences for Health, 21, 2429–2443</w:t>
            </w:r>
          </w:p>
        </w:tc>
        <w:tc>
          <w:tcPr>
            <w:tcW w:type="dxa" w:w="1322"/>
            <w:vAlign w:val="center"/>
            <w:tcMar>
              <w:top w:w="70" w:type="dxa"/>
              <w:start w:w="80" w:type="dxa"/>
              <w:bottom w:w="70" w:type="dxa"/>
              <w:end w:w="80" w:type="dxa"/>
            </w:tcMar>
          </w:tcPr>
          <w:p>
            <w:pPr>
              <w:spacing w:after="0"/>
              <w:jc w:val="left"/>
            </w:pPr>
            <w:r>
              <w:rPr>
                <w:sz w:val="15"/>
              </w:rPr>
              <w:t>Sports science</w:t>
            </w:r>
          </w:p>
        </w:tc>
        <w:tc>
          <w:tcPr>
            <w:tcW w:type="dxa" w:w="1322"/>
            <w:vAlign w:val="center"/>
            <w:tcMar>
              <w:top w:w="70" w:type="dxa"/>
              <w:start w:w="80" w:type="dxa"/>
              <w:bottom w:w="70" w:type="dxa"/>
              <w:end w:w="80" w:type="dxa"/>
            </w:tcMar>
          </w:tcPr>
          <w:p>
            <w:pPr>
              <w:spacing w:after="0"/>
              <w:jc w:val="left"/>
            </w:pPr>
            <w:r>
              <w:rPr>
                <w:sz w:val="15"/>
              </w:rPr>
              <w:t>India</w:t>
            </w:r>
          </w:p>
        </w:tc>
        <w:tc>
          <w:tcPr>
            <w:tcW w:type="dxa" w:w="1322"/>
            <w:vAlign w:val="center"/>
            <w:tcMar>
              <w:top w:w="70" w:type="dxa"/>
              <w:start w:w="80" w:type="dxa"/>
              <w:bottom w:w="70" w:type="dxa"/>
              <w:end w:w="80" w:type="dxa"/>
            </w:tcMar>
          </w:tcPr>
          <w:p>
            <w:pPr>
              <w:spacing w:after="0"/>
              <w:jc w:val="left"/>
            </w:pPr>
            <w:r>
              <w:rPr>
                <w:sz w:val="15"/>
              </w:rPr>
              <w:t>Review applications, outcomes, and future directions for AI/ML in sport sciences.</w:t>
            </w:r>
          </w:p>
        </w:tc>
        <w:tc>
          <w:tcPr>
            <w:tcW w:type="dxa" w:w="1322"/>
            <w:vAlign w:val="center"/>
            <w:tcMar>
              <w:top w:w="70" w:type="dxa"/>
              <w:start w:w="80" w:type="dxa"/>
              <w:bottom w:w="70" w:type="dxa"/>
              <w:end w:w="80" w:type="dxa"/>
            </w:tcMar>
          </w:tcPr>
          <w:p>
            <w:pPr>
              <w:spacing w:after="0"/>
              <w:jc w:val="left"/>
            </w:pPr>
            <w:r>
              <w:rPr>
                <w:sz w:val="15"/>
              </w:rPr>
              <w:t>Systematic literature review</w:t>
            </w:r>
          </w:p>
        </w:tc>
        <w:tc>
          <w:tcPr>
            <w:tcW w:type="dxa" w:w="1322"/>
            <w:vAlign w:val="center"/>
            <w:tcMar>
              <w:top w:w="70" w:type="dxa"/>
              <w:start w:w="80" w:type="dxa"/>
              <w:bottom w:w="70" w:type="dxa"/>
              <w:end w:w="80" w:type="dxa"/>
            </w:tcMar>
          </w:tcPr>
          <w:p>
            <w:pPr>
              <w:spacing w:after="0"/>
              <w:jc w:val="left"/>
            </w:pPr>
            <w:r>
              <w:rPr>
                <w:sz w:val="15"/>
              </w:rPr>
              <w:t>Emphasizes standardization, interpretability, and deployment barriers. Strong support for a research gap around usable and explainable sport AI.</w:t>
            </w:r>
          </w:p>
        </w:tc>
        <w:tc>
          <w:tcPr>
            <w:tcW w:type="dxa" w:w="1322"/>
            <w:vAlign w:val="center"/>
            <w:tcMar>
              <w:top w:w="70" w:type="dxa"/>
              <w:start w:w="80" w:type="dxa"/>
              <w:bottom w:w="70" w:type="dxa"/>
              <w:end w:w="80" w:type="dxa"/>
            </w:tcMar>
          </w:tcPr>
          <w:p>
            <w:pPr>
              <w:spacing w:after="0"/>
              <w:jc w:val="left"/>
            </w:pPr>
            <w:r>
              <w:rPr>
                <w:color w:val="1E59A3"/>
                <w:sz w:val="15"/>
              </w:rPr>
              <w:t>https://doi.org/10.1007/s11332-025-01482-y</w:t>
            </w:r>
          </w:p>
        </w:tc>
        <w:tc>
          <w:tcPr>
            <w:tcW w:type="dxa" w:w="1322"/>
            <w:vAlign w:val="center"/>
            <w:tcMar>
              <w:top w:w="70" w:type="dxa"/>
              <w:start w:w="80" w:type="dxa"/>
              <w:bottom w:w="70" w:type="dxa"/>
              <w:end w:w="80" w:type="dxa"/>
            </w:tcMar>
          </w:tcPr>
          <w:p>
            <w:pPr>
              <w:spacing w:after="0"/>
              <w:jc w:val="left"/>
            </w:pPr>
            <w:r>
              <w:rPr>
                <w:color w:val="1E59A3"/>
                <w:sz w:val="15"/>
              </w:rPr>
              <w:t>10.1007/s11332-025-01482-y</w:t>
            </w:r>
          </w:p>
        </w:tc>
      </w:tr>
      <w:tr>
        <w:tc>
          <w:tcPr>
            <w:tcW w:type="dxa" w:w="1322"/>
            <w:vAlign w:val="center"/>
            <w:tcMar>
              <w:top w:w="70" w:type="dxa"/>
              <w:start w:w="80" w:type="dxa"/>
              <w:bottom w:w="70" w:type="dxa"/>
              <w:end w:w="80" w:type="dxa"/>
            </w:tcMar>
            <w:shd w:fill="F7FAFD"/>
          </w:tcPr>
          <w:p>
            <w:pPr>
              <w:spacing w:after="0"/>
              <w:jc w:val="left"/>
            </w:pPr>
            <w:r>
              <w:rPr>
                <w:sz w:val="15"/>
              </w:rPr>
              <w:t>Acceptance and Trust in AI-Generated Exercise Plans Among Recreational Athletes and Quality Evaluation by Experienced Coaches: A Pilot Study</w:t>
            </w:r>
          </w:p>
        </w:tc>
        <w:tc>
          <w:tcPr>
            <w:tcW w:type="dxa" w:w="1322"/>
            <w:vAlign w:val="center"/>
            <w:tcMar>
              <w:top w:w="70" w:type="dxa"/>
              <w:start w:w="80" w:type="dxa"/>
              <w:bottom w:w="70" w:type="dxa"/>
              <w:end w:w="80" w:type="dxa"/>
            </w:tcMar>
            <w:shd w:fill="F7FAFD"/>
          </w:tcPr>
          <w:p>
            <w:pPr>
              <w:spacing w:after="0"/>
              <w:jc w:val="left"/>
            </w:pPr>
            <w:r>
              <w:rPr>
                <w:sz w:val="15"/>
              </w:rPr>
              <w:t>Wachholz et al. (2025)</w:t>
            </w:r>
          </w:p>
        </w:tc>
        <w:tc>
          <w:tcPr>
            <w:tcW w:type="dxa" w:w="1322"/>
            <w:vAlign w:val="center"/>
            <w:tcMar>
              <w:top w:w="70" w:type="dxa"/>
              <w:start w:w="80" w:type="dxa"/>
              <w:bottom w:w="70" w:type="dxa"/>
              <w:end w:w="80" w:type="dxa"/>
            </w:tcMar>
            <w:shd w:fill="F7FAFD"/>
          </w:tcPr>
          <w:p>
            <w:pPr>
              <w:spacing w:after="0"/>
              <w:jc w:val="center"/>
            </w:pPr>
            <w:r>
              <w:rPr>
                <w:sz w:val="15"/>
              </w:rPr>
              <w:t>2025</w:t>
            </w:r>
          </w:p>
        </w:tc>
        <w:tc>
          <w:tcPr>
            <w:tcW w:type="dxa" w:w="1322"/>
            <w:vAlign w:val="center"/>
            <w:tcMar>
              <w:top w:w="70" w:type="dxa"/>
              <w:start w:w="80" w:type="dxa"/>
              <w:bottom w:w="70" w:type="dxa"/>
              <w:end w:w="80" w:type="dxa"/>
            </w:tcMar>
            <w:shd w:fill="F7FAFD"/>
          </w:tcPr>
          <w:p>
            <w:pPr>
              <w:spacing w:after="0"/>
              <w:jc w:val="left"/>
            </w:pPr>
            <w:r>
              <w:rPr>
                <w:sz w:val="15"/>
              </w:rPr>
              <w:t>BMC Research Notes, 18, Article 112</w:t>
            </w:r>
          </w:p>
        </w:tc>
        <w:tc>
          <w:tcPr>
            <w:tcW w:type="dxa" w:w="1322"/>
            <w:vAlign w:val="center"/>
            <w:tcMar>
              <w:top w:w="70" w:type="dxa"/>
              <w:start w:w="80" w:type="dxa"/>
              <w:bottom w:w="70" w:type="dxa"/>
              <w:end w:w="80" w:type="dxa"/>
            </w:tcMar>
            <w:shd w:fill="F7FAFD"/>
          </w:tcPr>
          <w:p>
            <w:pPr>
              <w:spacing w:after="0"/>
              <w:jc w:val="left"/>
            </w:pPr>
            <w:r>
              <w:rPr>
                <w:sz w:val="15"/>
              </w:rPr>
              <w:t>Exercise science</w:t>
            </w:r>
          </w:p>
        </w:tc>
        <w:tc>
          <w:tcPr>
            <w:tcW w:type="dxa" w:w="1322"/>
            <w:vAlign w:val="center"/>
            <w:tcMar>
              <w:top w:w="70" w:type="dxa"/>
              <w:start w:w="80" w:type="dxa"/>
              <w:bottom w:w="70" w:type="dxa"/>
              <w:end w:w="80" w:type="dxa"/>
            </w:tcMar>
            <w:shd w:fill="F7FAFD"/>
          </w:tcPr>
          <w:p>
            <w:pPr>
              <w:spacing w:after="0"/>
              <w:jc w:val="left"/>
            </w:pPr>
            <w:r>
              <w:rPr>
                <w:sz w:val="15"/>
              </w:rPr>
              <w:t>Austria</w:t>
            </w:r>
          </w:p>
        </w:tc>
        <w:tc>
          <w:tcPr>
            <w:tcW w:type="dxa" w:w="1322"/>
            <w:vAlign w:val="center"/>
            <w:tcMar>
              <w:top w:w="70" w:type="dxa"/>
              <w:start w:w="80" w:type="dxa"/>
              <w:bottom w:w="70" w:type="dxa"/>
              <w:end w:w="80" w:type="dxa"/>
            </w:tcMar>
            <w:shd w:fill="F7FAFD"/>
          </w:tcPr>
          <w:p>
            <w:pPr>
              <w:spacing w:after="0"/>
              <w:jc w:val="left"/>
            </w:pPr>
            <w:r>
              <w:rPr>
                <w:sz w:val="15"/>
              </w:rPr>
              <w:t>Assess athlete trust and coach evaluation of AI-generated exercise plans.</w:t>
            </w:r>
          </w:p>
        </w:tc>
        <w:tc>
          <w:tcPr>
            <w:tcW w:type="dxa" w:w="1322"/>
            <w:vAlign w:val="center"/>
            <w:tcMar>
              <w:top w:w="70" w:type="dxa"/>
              <w:start w:w="80" w:type="dxa"/>
              <w:bottom w:w="70" w:type="dxa"/>
              <w:end w:w="80" w:type="dxa"/>
            </w:tcMar>
            <w:shd w:fill="F7FAFD"/>
          </w:tcPr>
          <w:p>
            <w:pPr>
              <w:spacing w:after="0"/>
              <w:jc w:val="left"/>
            </w:pPr>
            <w:r>
              <w:rPr>
                <w:sz w:val="15"/>
              </w:rPr>
              <w:t>Pilot study</w:t>
            </w:r>
          </w:p>
        </w:tc>
        <w:tc>
          <w:tcPr>
            <w:tcW w:type="dxa" w:w="1322"/>
            <w:vAlign w:val="center"/>
            <w:tcMar>
              <w:top w:w="70" w:type="dxa"/>
              <w:start w:w="80" w:type="dxa"/>
              <w:bottom w:w="70" w:type="dxa"/>
              <w:end w:w="80" w:type="dxa"/>
            </w:tcMar>
            <w:shd w:fill="F7FAFD"/>
          </w:tcPr>
          <w:p>
            <w:pPr>
              <w:spacing w:after="0"/>
              <w:jc w:val="left"/>
            </w:pPr>
            <w:r>
              <w:rPr>
                <w:sz w:val="15"/>
              </w:rPr>
              <w:t>Directly addresses trust and adoption among non-expert sport users. Valuable for motivating explainability and coach-facing usability requirements.</w:t>
            </w:r>
          </w:p>
        </w:tc>
        <w:tc>
          <w:tcPr>
            <w:tcW w:type="dxa" w:w="1322"/>
            <w:vAlign w:val="center"/>
            <w:tcMar>
              <w:top w:w="70" w:type="dxa"/>
              <w:start w:w="80" w:type="dxa"/>
              <w:bottom w:w="70" w:type="dxa"/>
              <w:end w:w="80" w:type="dxa"/>
            </w:tcMar>
            <w:shd w:fill="F7FAFD"/>
          </w:tcPr>
          <w:p>
            <w:pPr>
              <w:spacing w:after="0"/>
              <w:jc w:val="left"/>
            </w:pPr>
            <w:r>
              <w:rPr>
                <w:color w:val="1E59A3"/>
                <w:sz w:val="15"/>
              </w:rPr>
              <w:t>https://doi.org/10.1186/s13104-025-07172-9</w:t>
            </w:r>
          </w:p>
        </w:tc>
        <w:tc>
          <w:tcPr>
            <w:tcW w:type="dxa" w:w="1322"/>
            <w:vAlign w:val="center"/>
            <w:tcMar>
              <w:top w:w="70" w:type="dxa"/>
              <w:start w:w="80" w:type="dxa"/>
              <w:bottom w:w="70" w:type="dxa"/>
              <w:end w:w="80" w:type="dxa"/>
            </w:tcMar>
            <w:shd w:fill="F7FAFD"/>
          </w:tcPr>
          <w:p>
            <w:pPr>
              <w:spacing w:after="0"/>
              <w:jc w:val="left"/>
            </w:pPr>
            <w:r>
              <w:rPr>
                <w:color w:val="1E59A3"/>
                <w:sz w:val="15"/>
              </w:rPr>
              <w:t>10.1186/s13104-025-07172-9</w:t>
            </w:r>
          </w:p>
        </w:tc>
      </w:tr>
      <w:tr>
        <w:tc>
          <w:tcPr>
            <w:tcW w:type="dxa" w:w="1322"/>
            <w:vAlign w:val="center"/>
            <w:tcMar>
              <w:top w:w="70" w:type="dxa"/>
              <w:start w:w="80" w:type="dxa"/>
              <w:bottom w:w="70" w:type="dxa"/>
              <w:end w:w="80" w:type="dxa"/>
            </w:tcMar>
          </w:tcPr>
          <w:p>
            <w:pPr>
              <w:spacing w:after="0"/>
              <w:jc w:val="left"/>
            </w:pPr>
            <w:r>
              <w:rPr>
                <w:sz w:val="15"/>
              </w:rPr>
              <w:t>A Scoping Review of Explainable Artificial Intelligence in Sports Science</w:t>
            </w:r>
          </w:p>
        </w:tc>
        <w:tc>
          <w:tcPr>
            <w:tcW w:type="dxa" w:w="1322"/>
            <w:vAlign w:val="center"/>
            <w:tcMar>
              <w:top w:w="70" w:type="dxa"/>
              <w:start w:w="80" w:type="dxa"/>
              <w:bottom w:w="70" w:type="dxa"/>
              <w:end w:w="80" w:type="dxa"/>
            </w:tcMar>
          </w:tcPr>
          <w:p>
            <w:pPr>
              <w:spacing w:after="0"/>
              <w:jc w:val="left"/>
            </w:pPr>
            <w:r>
              <w:rPr>
                <w:sz w:val="15"/>
              </w:rPr>
              <w:t>Kranzinger et al. (2026)</w:t>
            </w:r>
          </w:p>
        </w:tc>
        <w:tc>
          <w:tcPr>
            <w:tcW w:type="dxa" w:w="1322"/>
            <w:vAlign w:val="center"/>
            <w:tcMar>
              <w:top w:w="70" w:type="dxa"/>
              <w:start w:w="80" w:type="dxa"/>
              <w:bottom w:w="70" w:type="dxa"/>
              <w:end w:w="80" w:type="dxa"/>
            </w:tcMar>
          </w:tcPr>
          <w:p>
            <w:pPr>
              <w:spacing w:after="0"/>
              <w:jc w:val="center"/>
            </w:pPr>
            <w:r>
              <w:rPr>
                <w:sz w:val="15"/>
              </w:rPr>
              <w:t>2026</w:t>
            </w:r>
          </w:p>
        </w:tc>
        <w:tc>
          <w:tcPr>
            <w:tcW w:type="dxa" w:w="1322"/>
            <w:vAlign w:val="center"/>
            <w:tcMar>
              <w:top w:w="70" w:type="dxa"/>
              <w:start w:w="80" w:type="dxa"/>
              <w:bottom w:w="70" w:type="dxa"/>
              <w:end w:w="80" w:type="dxa"/>
            </w:tcMar>
          </w:tcPr>
          <w:p>
            <w:pPr>
              <w:spacing w:after="0"/>
              <w:jc w:val="left"/>
            </w:pPr>
            <w:r>
              <w:rPr>
                <w:sz w:val="15"/>
              </w:rPr>
              <w:t>Discover Artificial Intelligence, 6, Article 5</w:t>
            </w:r>
          </w:p>
        </w:tc>
        <w:tc>
          <w:tcPr>
            <w:tcW w:type="dxa" w:w="1322"/>
            <w:vAlign w:val="center"/>
            <w:tcMar>
              <w:top w:w="70" w:type="dxa"/>
              <w:start w:w="80" w:type="dxa"/>
              <w:bottom w:w="70" w:type="dxa"/>
              <w:end w:w="80" w:type="dxa"/>
            </w:tcMar>
          </w:tcPr>
          <w:p>
            <w:pPr>
              <w:spacing w:after="0"/>
              <w:jc w:val="left"/>
            </w:pPr>
            <w:r>
              <w:rPr>
                <w:sz w:val="15"/>
              </w:rPr>
              <w:t>Sports science / XAI</w:t>
            </w:r>
          </w:p>
        </w:tc>
        <w:tc>
          <w:tcPr>
            <w:tcW w:type="dxa" w:w="1322"/>
            <w:vAlign w:val="center"/>
            <w:tcMar>
              <w:top w:w="70" w:type="dxa"/>
              <w:start w:w="80" w:type="dxa"/>
              <w:bottom w:w="70" w:type="dxa"/>
              <w:end w:w="80" w:type="dxa"/>
            </w:tcMar>
          </w:tcPr>
          <w:p>
            <w:pPr>
              <w:spacing w:after="0"/>
              <w:jc w:val="left"/>
            </w:pPr>
            <w:r>
              <w:rPr>
                <w:sz w:val="15"/>
              </w:rPr>
            </w:r>
          </w:p>
        </w:tc>
        <w:tc>
          <w:tcPr>
            <w:tcW w:type="dxa" w:w="1322"/>
            <w:vAlign w:val="center"/>
            <w:tcMar>
              <w:top w:w="70" w:type="dxa"/>
              <w:start w:w="80" w:type="dxa"/>
              <w:bottom w:w="70" w:type="dxa"/>
              <w:end w:w="80" w:type="dxa"/>
            </w:tcMar>
          </w:tcPr>
          <w:p>
            <w:pPr>
              <w:spacing w:after="0"/>
              <w:jc w:val="left"/>
            </w:pPr>
            <w:r>
              <w:rPr>
                <w:sz w:val="15"/>
              </w:rPr>
              <w:t>Review the state of explainable AI in sports science.</w:t>
            </w:r>
          </w:p>
        </w:tc>
        <w:tc>
          <w:tcPr>
            <w:tcW w:type="dxa" w:w="1322"/>
            <w:vAlign w:val="center"/>
            <w:tcMar>
              <w:top w:w="70" w:type="dxa"/>
              <w:start w:w="80" w:type="dxa"/>
              <w:bottom w:w="70" w:type="dxa"/>
              <w:end w:w="80" w:type="dxa"/>
            </w:tcMar>
          </w:tcPr>
          <w:p>
            <w:pPr>
              <w:spacing w:after="0"/>
              <w:jc w:val="left"/>
            </w:pPr>
            <w:r>
              <w:rPr>
                <w:sz w:val="15"/>
              </w:rPr>
              <w:t>Scoping review</w:t>
            </w:r>
          </w:p>
        </w:tc>
        <w:tc>
          <w:tcPr>
            <w:tcW w:type="dxa" w:w="1322"/>
            <w:vAlign w:val="center"/>
            <w:tcMar>
              <w:top w:w="70" w:type="dxa"/>
              <w:start w:w="80" w:type="dxa"/>
              <w:bottom w:w="70" w:type="dxa"/>
              <w:end w:w="80" w:type="dxa"/>
            </w:tcMar>
          </w:tcPr>
          <w:p>
            <w:pPr>
              <w:spacing w:after="0"/>
              <w:jc w:val="left"/>
            </w:pPr>
            <w:r>
              <w:rPr>
                <w:sz w:val="15"/>
              </w:rPr>
              <w:t>Likely the clearest dedicated synthesis of the XAI gap in sport. Particularly useful for arguing that sports analytics needs transparent and user-understandable outputs.</w:t>
            </w:r>
          </w:p>
        </w:tc>
        <w:tc>
          <w:tcPr>
            <w:tcW w:type="dxa" w:w="1322"/>
            <w:vAlign w:val="center"/>
            <w:tcMar>
              <w:top w:w="70" w:type="dxa"/>
              <w:start w:w="80" w:type="dxa"/>
              <w:bottom w:w="70" w:type="dxa"/>
              <w:end w:w="80" w:type="dxa"/>
            </w:tcMar>
          </w:tcPr>
          <w:p>
            <w:pPr>
              <w:spacing w:after="0"/>
              <w:jc w:val="left"/>
            </w:pPr>
            <w:r>
              <w:rPr>
                <w:color w:val="1E59A3"/>
                <w:sz w:val="15"/>
              </w:rPr>
              <w:t>https://doi.org/10.1007/s44163-025-00709-8</w:t>
            </w:r>
          </w:p>
        </w:tc>
        <w:tc>
          <w:tcPr>
            <w:tcW w:type="dxa" w:w="1322"/>
            <w:vAlign w:val="center"/>
            <w:tcMar>
              <w:top w:w="70" w:type="dxa"/>
              <w:start w:w="80" w:type="dxa"/>
              <w:bottom w:w="70" w:type="dxa"/>
              <w:end w:w="80" w:type="dxa"/>
            </w:tcMar>
          </w:tcPr>
          <w:p>
            <w:pPr>
              <w:spacing w:after="0"/>
              <w:jc w:val="left"/>
            </w:pPr>
            <w:r>
              <w:rPr>
                <w:color w:val="1E59A3"/>
                <w:sz w:val="15"/>
              </w:rPr>
              <w:t>10.1007/s44163-025-00709-8</w:t>
            </w:r>
          </w:p>
        </w:tc>
      </w:tr>
      <w:tr>
        <w:tc>
          <w:tcPr>
            <w:tcW w:type="dxa" w:w="1322"/>
            <w:vAlign w:val="center"/>
            <w:tcMar>
              <w:top w:w="70" w:type="dxa"/>
              <w:start w:w="80" w:type="dxa"/>
              <w:bottom w:w="70" w:type="dxa"/>
              <w:end w:w="80" w:type="dxa"/>
            </w:tcMar>
            <w:shd w:fill="F7FAFD"/>
          </w:tcPr>
          <w:p>
            <w:pPr>
              <w:spacing w:after="0"/>
              <w:jc w:val="left"/>
            </w:pPr>
            <w:r>
              <w:rPr>
                <w:sz w:val="15"/>
              </w:rPr>
              <w:t>Towards Explainable Multimodal Sensing for Swimming Analysis: Early Findings from the SWIM-360 Project</w:t>
            </w:r>
          </w:p>
        </w:tc>
        <w:tc>
          <w:tcPr>
            <w:tcW w:type="dxa" w:w="1322"/>
            <w:vAlign w:val="center"/>
            <w:tcMar>
              <w:top w:w="70" w:type="dxa"/>
              <w:start w:w="80" w:type="dxa"/>
              <w:bottom w:w="70" w:type="dxa"/>
              <w:end w:w="80" w:type="dxa"/>
            </w:tcMar>
            <w:shd w:fill="F7FAFD"/>
          </w:tcPr>
          <w:p>
            <w:pPr>
              <w:spacing w:after="0"/>
              <w:jc w:val="left"/>
            </w:pPr>
            <w:r>
              <w:rPr>
                <w:sz w:val="15"/>
              </w:rPr>
              <w:t>Camilleri et al. (2025)</w:t>
            </w:r>
          </w:p>
        </w:tc>
        <w:tc>
          <w:tcPr>
            <w:tcW w:type="dxa" w:w="1322"/>
            <w:vAlign w:val="center"/>
            <w:tcMar>
              <w:top w:w="70" w:type="dxa"/>
              <w:start w:w="80" w:type="dxa"/>
              <w:bottom w:w="70" w:type="dxa"/>
              <w:end w:w="80" w:type="dxa"/>
            </w:tcMar>
            <w:shd w:fill="F7FAFD"/>
          </w:tcPr>
          <w:p>
            <w:pPr>
              <w:spacing w:after="0"/>
              <w:jc w:val="center"/>
            </w:pPr>
            <w:r>
              <w:rPr>
                <w:sz w:val="15"/>
              </w:rPr>
              <w:t>2025</w:t>
            </w:r>
          </w:p>
        </w:tc>
        <w:tc>
          <w:tcPr>
            <w:tcW w:type="dxa" w:w="1322"/>
            <w:vAlign w:val="center"/>
            <w:tcMar>
              <w:top w:w="70" w:type="dxa"/>
              <w:start w:w="80" w:type="dxa"/>
              <w:bottom w:w="70" w:type="dxa"/>
              <w:end w:w="80" w:type="dxa"/>
            </w:tcMar>
            <w:shd w:fill="F7FAFD"/>
          </w:tcPr>
          <w:p>
            <w:pPr>
              <w:spacing w:after="0"/>
              <w:jc w:val="left"/>
            </w:pPr>
            <w:r>
              <w:rPr>
                <w:sz w:val="15"/>
              </w:rPr>
              <w:t>Sensors, 25(22), 7047</w:t>
            </w:r>
          </w:p>
        </w:tc>
        <w:tc>
          <w:tcPr>
            <w:tcW w:type="dxa" w:w="1322"/>
            <w:vAlign w:val="center"/>
            <w:tcMar>
              <w:top w:w="70" w:type="dxa"/>
              <w:start w:w="80" w:type="dxa"/>
              <w:bottom w:w="70" w:type="dxa"/>
              <w:end w:w="80" w:type="dxa"/>
            </w:tcMar>
            <w:shd w:fill="F7FAFD"/>
          </w:tcPr>
          <w:p>
            <w:pPr>
              <w:spacing w:after="0"/>
              <w:jc w:val="left"/>
            </w:pPr>
            <w:r>
              <w:rPr>
                <w:sz w:val="15"/>
              </w:rPr>
              <w:t>Sports science / XAI</w:t>
            </w:r>
          </w:p>
        </w:tc>
        <w:tc>
          <w:tcPr>
            <w:tcW w:type="dxa" w:w="1322"/>
            <w:vAlign w:val="center"/>
            <w:tcMar>
              <w:top w:w="70" w:type="dxa"/>
              <w:start w:w="80" w:type="dxa"/>
              <w:bottom w:w="70" w:type="dxa"/>
              <w:end w:w="80" w:type="dxa"/>
            </w:tcMar>
            <w:shd w:fill="F7FAFD"/>
          </w:tcPr>
          <w:p>
            <w:pPr>
              <w:spacing w:after="0"/>
              <w:jc w:val="left"/>
            </w:pPr>
            <w:r>
              <w:rPr>
                <w:sz w:val="15"/>
              </w:rPr>
              <w:t>Malta</w:t>
            </w:r>
          </w:p>
        </w:tc>
        <w:tc>
          <w:tcPr>
            <w:tcW w:type="dxa" w:w="1322"/>
            <w:vAlign w:val="center"/>
            <w:tcMar>
              <w:top w:w="70" w:type="dxa"/>
              <w:start w:w="80" w:type="dxa"/>
              <w:bottom w:w="70" w:type="dxa"/>
              <w:end w:w="80" w:type="dxa"/>
            </w:tcMar>
            <w:shd w:fill="F7FAFD"/>
          </w:tcPr>
          <w:p>
            <w:pPr>
              <w:spacing w:after="0"/>
              <w:jc w:val="left"/>
            </w:pPr>
            <w:r>
              <w:rPr>
                <w:sz w:val="15"/>
              </w:rPr>
              <w:t>Explore explainable multimodal sensing and coach-centred feedback design in swimming.</w:t>
            </w:r>
          </w:p>
        </w:tc>
        <w:tc>
          <w:tcPr>
            <w:tcW w:type="dxa" w:w="1322"/>
            <w:vAlign w:val="center"/>
            <w:tcMar>
              <w:top w:w="70" w:type="dxa"/>
              <w:start w:w="80" w:type="dxa"/>
              <w:bottom w:w="70" w:type="dxa"/>
              <w:end w:w="80" w:type="dxa"/>
            </w:tcMar>
            <w:shd w:fill="F7FAFD"/>
          </w:tcPr>
          <w:p>
            <w:pPr>
              <w:spacing w:after="0"/>
              <w:jc w:val="left"/>
            </w:pPr>
            <w:r>
              <w:rPr>
                <w:sz w:val="15"/>
              </w:rPr>
              <w:t>Research article</w:t>
            </w:r>
          </w:p>
        </w:tc>
        <w:tc>
          <w:tcPr>
            <w:tcW w:type="dxa" w:w="1322"/>
            <w:vAlign w:val="center"/>
            <w:tcMar>
              <w:top w:w="70" w:type="dxa"/>
              <w:start w:w="80" w:type="dxa"/>
              <w:bottom w:w="70" w:type="dxa"/>
              <w:end w:w="80" w:type="dxa"/>
            </w:tcMar>
            <w:shd w:fill="F7FAFD"/>
          </w:tcPr>
          <w:p>
            <w:pPr>
              <w:spacing w:after="0"/>
              <w:jc w:val="left"/>
            </w:pPr>
            <w:r>
              <w:rPr>
                <w:sz w:val="15"/>
              </w:rPr>
              <w:t>Shows how explainability can be incorporated at the design stage of sensing systems. Although not football-specific, it is highly relevant for coach-centred XAI design.</w:t>
            </w:r>
          </w:p>
        </w:tc>
        <w:tc>
          <w:tcPr>
            <w:tcW w:type="dxa" w:w="1322"/>
            <w:vAlign w:val="center"/>
            <w:tcMar>
              <w:top w:w="70" w:type="dxa"/>
              <w:start w:w="80" w:type="dxa"/>
              <w:bottom w:w="70" w:type="dxa"/>
              <w:end w:w="80" w:type="dxa"/>
            </w:tcMar>
            <w:shd w:fill="F7FAFD"/>
          </w:tcPr>
          <w:p>
            <w:pPr>
              <w:spacing w:after="0"/>
              <w:jc w:val="left"/>
            </w:pPr>
            <w:r>
              <w:rPr>
                <w:color w:val="1E59A3"/>
                <w:sz w:val="15"/>
              </w:rPr>
              <w:t>https://doi.org/10.3390/s25227047</w:t>
            </w:r>
          </w:p>
        </w:tc>
        <w:tc>
          <w:tcPr>
            <w:tcW w:type="dxa" w:w="1322"/>
            <w:vAlign w:val="center"/>
            <w:tcMar>
              <w:top w:w="70" w:type="dxa"/>
              <w:start w:w="80" w:type="dxa"/>
              <w:bottom w:w="70" w:type="dxa"/>
              <w:end w:w="80" w:type="dxa"/>
            </w:tcMar>
            <w:shd w:fill="F7FAFD"/>
          </w:tcPr>
          <w:p>
            <w:pPr>
              <w:spacing w:after="0"/>
              <w:jc w:val="left"/>
            </w:pPr>
            <w:r>
              <w:rPr>
                <w:color w:val="1E59A3"/>
                <w:sz w:val="15"/>
              </w:rPr>
              <w:t>10.3390/s25227047</w:t>
            </w:r>
          </w:p>
        </w:tc>
      </w:tr>
      <w:tr>
        <w:tc>
          <w:tcPr>
            <w:tcW w:type="dxa" w:w="1322"/>
            <w:vAlign w:val="center"/>
            <w:tcMar>
              <w:top w:w="70" w:type="dxa"/>
              <w:start w:w="80" w:type="dxa"/>
              <w:bottom w:w="70" w:type="dxa"/>
              <w:end w:w="80" w:type="dxa"/>
            </w:tcMar>
          </w:tcPr>
          <w:p>
            <w:pPr>
              <w:spacing w:after="0"/>
              <w:jc w:val="left"/>
            </w:pPr>
            <w:r>
              <w:rPr>
                <w:sz w:val="15"/>
              </w:rPr>
              <w:t>A Design Space of Sports Interaction Technology</w:t>
            </w:r>
          </w:p>
        </w:tc>
        <w:tc>
          <w:tcPr>
            <w:tcW w:type="dxa" w:w="1322"/>
            <w:vAlign w:val="center"/>
            <w:tcMar>
              <w:top w:w="70" w:type="dxa"/>
              <w:start w:w="80" w:type="dxa"/>
              <w:bottom w:w="70" w:type="dxa"/>
              <w:end w:w="80" w:type="dxa"/>
            </w:tcMar>
          </w:tcPr>
          <w:p>
            <w:pPr>
              <w:spacing w:after="0"/>
              <w:jc w:val="left"/>
            </w:pPr>
            <w:r>
              <w:rPr>
                <w:sz w:val="15"/>
              </w:rPr>
              <w:t>Postma et al. (2022)</w:t>
            </w:r>
          </w:p>
        </w:tc>
        <w:tc>
          <w:tcPr>
            <w:tcW w:type="dxa" w:w="1322"/>
            <w:vAlign w:val="center"/>
            <w:tcMar>
              <w:top w:w="70" w:type="dxa"/>
              <w:start w:w="80" w:type="dxa"/>
              <w:bottom w:w="70" w:type="dxa"/>
              <w:end w:w="80" w:type="dxa"/>
            </w:tcMar>
          </w:tcPr>
          <w:p>
            <w:pPr>
              <w:spacing w:after="0"/>
              <w:jc w:val="center"/>
            </w:pPr>
            <w:r>
              <w:rPr>
                <w:sz w:val="15"/>
              </w:rPr>
              <w:t>2022</w:t>
            </w:r>
          </w:p>
        </w:tc>
        <w:tc>
          <w:tcPr>
            <w:tcW w:type="dxa" w:w="1322"/>
            <w:vAlign w:val="center"/>
            <w:tcMar>
              <w:top w:w="70" w:type="dxa"/>
              <w:start w:w="80" w:type="dxa"/>
              <w:bottom w:w="70" w:type="dxa"/>
              <w:end w:w="80" w:type="dxa"/>
            </w:tcMar>
          </w:tcPr>
          <w:p>
            <w:pPr>
              <w:spacing w:after="0"/>
              <w:jc w:val="left"/>
            </w:pPr>
            <w:r>
              <w:rPr>
                <w:sz w:val="15"/>
              </w:rPr>
              <w:t>Foundations and Trends in Human–Computer Interaction, 15(2–3), 132–316</w:t>
            </w:r>
          </w:p>
        </w:tc>
        <w:tc>
          <w:tcPr>
            <w:tcW w:type="dxa" w:w="1322"/>
            <w:vAlign w:val="center"/>
            <w:tcMar>
              <w:top w:w="70" w:type="dxa"/>
              <w:start w:w="80" w:type="dxa"/>
              <w:bottom w:w="70" w:type="dxa"/>
              <w:end w:w="80" w:type="dxa"/>
            </w:tcMar>
          </w:tcPr>
          <w:p>
            <w:pPr>
              <w:spacing w:after="0"/>
              <w:jc w:val="left"/>
            </w:pPr>
            <w:r>
              <w:rPr>
                <w:sz w:val="15"/>
              </w:rPr>
              <w:t>HCI / sports technology</w:t>
            </w:r>
          </w:p>
        </w:tc>
        <w:tc>
          <w:tcPr>
            <w:tcW w:type="dxa" w:w="1322"/>
            <w:vAlign w:val="center"/>
            <w:tcMar>
              <w:top w:w="70" w:type="dxa"/>
              <w:start w:w="80" w:type="dxa"/>
              <w:bottom w:w="70" w:type="dxa"/>
              <w:end w:w="80" w:type="dxa"/>
            </w:tcMar>
          </w:tcPr>
          <w:p>
            <w:pPr>
              <w:spacing w:after="0"/>
              <w:jc w:val="left"/>
            </w:pPr>
            <w:r>
              <w:rPr>
                <w:sz w:val="15"/>
              </w:rPr>
              <w:t>Netherlands</w:t>
            </w:r>
          </w:p>
        </w:tc>
        <w:tc>
          <w:tcPr>
            <w:tcW w:type="dxa" w:w="1322"/>
            <w:vAlign w:val="center"/>
            <w:tcMar>
              <w:top w:w="70" w:type="dxa"/>
              <w:start w:w="80" w:type="dxa"/>
              <w:bottom w:w="70" w:type="dxa"/>
              <w:end w:w="80" w:type="dxa"/>
            </w:tcMar>
          </w:tcPr>
          <w:p>
            <w:pPr>
              <w:spacing w:after="0"/>
              <w:jc w:val="left"/>
            </w:pPr>
            <w:r>
              <w:rPr>
                <w:sz w:val="15"/>
              </w:rPr>
              <w:t>Provide an HCI design space for sports interaction technology.</w:t>
            </w:r>
          </w:p>
        </w:tc>
        <w:tc>
          <w:tcPr>
            <w:tcW w:type="dxa" w:w="1322"/>
            <w:vAlign w:val="center"/>
            <w:tcMar>
              <w:top w:w="70" w:type="dxa"/>
              <w:start w:w="80" w:type="dxa"/>
              <w:bottom w:w="70" w:type="dxa"/>
              <w:end w:w="80" w:type="dxa"/>
            </w:tcMar>
          </w:tcPr>
          <w:p>
            <w:pPr>
              <w:spacing w:after="0"/>
              <w:jc w:val="left"/>
            </w:pPr>
            <w:r>
              <w:rPr>
                <w:sz w:val="15"/>
              </w:rPr>
              <w:t>Monograph</w:t>
            </w:r>
          </w:p>
        </w:tc>
        <w:tc>
          <w:tcPr>
            <w:tcW w:type="dxa" w:w="1322"/>
            <w:vAlign w:val="center"/>
            <w:tcMar>
              <w:top w:w="70" w:type="dxa"/>
              <w:start w:w="80" w:type="dxa"/>
              <w:bottom w:w="70" w:type="dxa"/>
              <w:end w:w="80" w:type="dxa"/>
            </w:tcMar>
          </w:tcPr>
          <w:p>
            <w:pPr>
              <w:spacing w:after="0"/>
              <w:jc w:val="left"/>
            </w:pPr>
            <w:r>
              <w:rPr>
                <w:sz w:val="15"/>
              </w:rPr>
              <w:t>Offers a strong human-centred design framework for sports technologies. Useful for structuring feedback, interaction, and context in coach-facing systems.</w:t>
            </w:r>
          </w:p>
        </w:tc>
        <w:tc>
          <w:tcPr>
            <w:tcW w:type="dxa" w:w="1322"/>
            <w:vAlign w:val="center"/>
            <w:tcMar>
              <w:top w:w="70" w:type="dxa"/>
              <w:start w:w="80" w:type="dxa"/>
              <w:bottom w:w="70" w:type="dxa"/>
              <w:end w:w="80" w:type="dxa"/>
            </w:tcMar>
          </w:tcPr>
          <w:p>
            <w:pPr>
              <w:spacing w:after="0"/>
              <w:jc w:val="left"/>
            </w:pPr>
            <w:r>
              <w:rPr>
                <w:color w:val="1E59A3"/>
                <w:sz w:val="15"/>
              </w:rPr>
              <w:t>https://doi.org/10.1561/1100000087</w:t>
            </w:r>
          </w:p>
        </w:tc>
        <w:tc>
          <w:tcPr>
            <w:tcW w:type="dxa" w:w="1322"/>
            <w:vAlign w:val="center"/>
            <w:tcMar>
              <w:top w:w="70" w:type="dxa"/>
              <w:start w:w="80" w:type="dxa"/>
              <w:bottom w:w="70" w:type="dxa"/>
              <w:end w:w="80" w:type="dxa"/>
            </w:tcMar>
          </w:tcPr>
          <w:p>
            <w:pPr>
              <w:spacing w:after="0"/>
              <w:jc w:val="left"/>
            </w:pPr>
            <w:r>
              <w:rPr>
                <w:color w:val="1E59A3"/>
                <w:sz w:val="15"/>
              </w:rPr>
              <w:t>10.1561/1100000087</w:t>
            </w:r>
          </w:p>
        </w:tc>
      </w:tr>
      <w:tr>
        <w:tc>
          <w:tcPr>
            <w:tcW w:type="dxa" w:w="1322"/>
            <w:vAlign w:val="center"/>
            <w:tcMar>
              <w:top w:w="70" w:type="dxa"/>
              <w:start w:w="80" w:type="dxa"/>
              <w:bottom w:w="70" w:type="dxa"/>
              <w:end w:w="80" w:type="dxa"/>
            </w:tcMar>
            <w:shd w:fill="F7FAFD"/>
          </w:tcPr>
          <w:p>
            <w:pPr>
              <w:spacing w:after="0"/>
              <w:jc w:val="left"/>
            </w:pPr>
            <w:r>
              <w:rPr>
                <w:sz w:val="15"/>
              </w:rPr>
              <w:t>A Framework for Interactive Sport Training Technology</w:t>
            </w:r>
          </w:p>
        </w:tc>
        <w:tc>
          <w:tcPr>
            <w:tcW w:type="dxa" w:w="1322"/>
            <w:vAlign w:val="center"/>
            <w:tcMar>
              <w:top w:w="70" w:type="dxa"/>
              <w:start w:w="80" w:type="dxa"/>
              <w:bottom w:w="70" w:type="dxa"/>
              <w:end w:w="80" w:type="dxa"/>
            </w:tcMar>
            <w:shd w:fill="F7FAFD"/>
          </w:tcPr>
          <w:p>
            <w:pPr>
              <w:spacing w:after="0"/>
              <w:jc w:val="left"/>
            </w:pPr>
            <w:r>
              <w:rPr>
                <w:sz w:val="15"/>
              </w:rPr>
              <w:t>Smith, Scheme, &amp; Bateman (2025)</w:t>
            </w:r>
          </w:p>
        </w:tc>
        <w:tc>
          <w:tcPr>
            <w:tcW w:type="dxa" w:w="1322"/>
            <w:vAlign w:val="center"/>
            <w:tcMar>
              <w:top w:w="70" w:type="dxa"/>
              <w:start w:w="80" w:type="dxa"/>
              <w:bottom w:w="70" w:type="dxa"/>
              <w:end w:w="80" w:type="dxa"/>
            </w:tcMar>
            <w:shd w:fill="F7FAFD"/>
          </w:tcPr>
          <w:p>
            <w:pPr>
              <w:spacing w:after="0"/>
              <w:jc w:val="center"/>
            </w:pPr>
            <w:r>
              <w:rPr>
                <w:sz w:val="15"/>
              </w:rPr>
              <w:t>2025</w:t>
            </w:r>
          </w:p>
        </w:tc>
        <w:tc>
          <w:tcPr>
            <w:tcW w:type="dxa" w:w="1322"/>
            <w:vAlign w:val="center"/>
            <w:tcMar>
              <w:top w:w="70" w:type="dxa"/>
              <w:start w:w="80" w:type="dxa"/>
              <w:bottom w:w="70" w:type="dxa"/>
              <w:end w:w="80" w:type="dxa"/>
            </w:tcMar>
            <w:shd w:fill="F7FAFD"/>
          </w:tcPr>
          <w:p>
            <w:pPr>
              <w:spacing w:after="0"/>
              <w:jc w:val="left"/>
            </w:pPr>
            <w:r>
              <w:rPr>
                <w:sz w:val="15"/>
              </w:rPr>
              <w:t>Foundations and Trends in Human–Computer Interaction, 19(1), 1–111</w:t>
            </w:r>
          </w:p>
        </w:tc>
        <w:tc>
          <w:tcPr>
            <w:tcW w:type="dxa" w:w="1322"/>
            <w:vAlign w:val="center"/>
            <w:tcMar>
              <w:top w:w="70" w:type="dxa"/>
              <w:start w:w="80" w:type="dxa"/>
              <w:bottom w:w="70" w:type="dxa"/>
              <w:end w:w="80" w:type="dxa"/>
            </w:tcMar>
            <w:shd w:fill="F7FAFD"/>
          </w:tcPr>
          <w:p>
            <w:pPr>
              <w:spacing w:after="0"/>
              <w:jc w:val="left"/>
            </w:pPr>
            <w:r>
              <w:rPr>
                <w:sz w:val="15"/>
              </w:rPr>
              <w:t>HCI / sports technology</w:t>
            </w:r>
          </w:p>
        </w:tc>
        <w:tc>
          <w:tcPr>
            <w:tcW w:type="dxa" w:w="1322"/>
            <w:vAlign w:val="center"/>
            <w:tcMar>
              <w:top w:w="70" w:type="dxa"/>
              <w:start w:w="80" w:type="dxa"/>
              <w:bottom w:w="70" w:type="dxa"/>
              <w:end w:w="80" w:type="dxa"/>
            </w:tcMar>
            <w:shd w:fill="F7FAFD"/>
          </w:tcPr>
          <w:p>
            <w:pPr>
              <w:spacing w:after="0"/>
              <w:jc w:val="left"/>
            </w:pPr>
            <w:r>
              <w:rPr>
                <w:sz w:val="15"/>
              </w:rPr>
              <w:t>Canada</w:t>
            </w:r>
          </w:p>
        </w:tc>
        <w:tc>
          <w:tcPr>
            <w:tcW w:type="dxa" w:w="1322"/>
            <w:vAlign w:val="center"/>
            <w:tcMar>
              <w:top w:w="70" w:type="dxa"/>
              <w:start w:w="80" w:type="dxa"/>
              <w:bottom w:w="70" w:type="dxa"/>
              <w:end w:w="80" w:type="dxa"/>
            </w:tcMar>
            <w:shd w:fill="F7FAFD"/>
          </w:tcPr>
          <w:p>
            <w:pPr>
              <w:spacing w:after="0"/>
              <w:jc w:val="left"/>
            </w:pPr>
            <w:r>
              <w:rPr>
                <w:sz w:val="15"/>
              </w:rPr>
              <w:t>Present an interaction framework for sport training technologies.</w:t>
            </w:r>
          </w:p>
        </w:tc>
        <w:tc>
          <w:tcPr>
            <w:tcW w:type="dxa" w:w="1322"/>
            <w:vAlign w:val="center"/>
            <w:tcMar>
              <w:top w:w="70" w:type="dxa"/>
              <w:start w:w="80" w:type="dxa"/>
              <w:bottom w:w="70" w:type="dxa"/>
              <w:end w:w="80" w:type="dxa"/>
            </w:tcMar>
            <w:shd w:fill="F7FAFD"/>
          </w:tcPr>
          <w:p>
            <w:pPr>
              <w:spacing w:after="0"/>
              <w:jc w:val="left"/>
            </w:pPr>
            <w:r>
              <w:rPr>
                <w:sz w:val="15"/>
              </w:rPr>
              <w:t>Research monograph</w:t>
            </w:r>
          </w:p>
        </w:tc>
        <w:tc>
          <w:tcPr>
            <w:tcW w:type="dxa" w:w="1322"/>
            <w:vAlign w:val="center"/>
            <w:tcMar>
              <w:top w:w="70" w:type="dxa"/>
              <w:start w:w="80" w:type="dxa"/>
              <w:bottom w:w="70" w:type="dxa"/>
              <w:end w:w="80" w:type="dxa"/>
            </w:tcMar>
            <w:shd w:fill="F7FAFD"/>
          </w:tcPr>
          <w:p>
            <w:pPr>
              <w:spacing w:after="0"/>
              <w:jc w:val="left"/>
            </w:pPr>
            <w:r>
              <w:rPr>
                <w:sz w:val="15"/>
              </w:rPr>
              <w:t>Emphasizes usability, interaction design, and training-context fit. Strong support for building coach-friendly, low-resource sport technology systems.</w:t>
            </w:r>
          </w:p>
        </w:tc>
        <w:tc>
          <w:tcPr>
            <w:tcW w:type="dxa" w:w="1322"/>
            <w:vAlign w:val="center"/>
            <w:tcMar>
              <w:top w:w="70" w:type="dxa"/>
              <w:start w:w="80" w:type="dxa"/>
              <w:bottom w:w="70" w:type="dxa"/>
              <w:end w:w="80" w:type="dxa"/>
            </w:tcMar>
            <w:shd w:fill="F7FAFD"/>
          </w:tcPr>
          <w:p>
            <w:pPr>
              <w:spacing w:after="0"/>
              <w:jc w:val="left"/>
            </w:pPr>
            <w:r>
              <w:rPr>
                <w:color w:val="1E59A3"/>
                <w:sz w:val="15"/>
              </w:rPr>
              <w:t>https://doi.org/10.1561/1100000096</w:t>
            </w:r>
          </w:p>
        </w:tc>
        <w:tc>
          <w:tcPr>
            <w:tcW w:type="dxa" w:w="1322"/>
            <w:vAlign w:val="center"/>
            <w:tcMar>
              <w:top w:w="70" w:type="dxa"/>
              <w:start w:w="80" w:type="dxa"/>
              <w:bottom w:w="70" w:type="dxa"/>
              <w:end w:w="80" w:type="dxa"/>
            </w:tcMar>
            <w:shd w:fill="F7FAFD"/>
          </w:tcPr>
          <w:p>
            <w:pPr>
              <w:spacing w:after="0"/>
              <w:jc w:val="left"/>
            </w:pPr>
            <w:r>
              <w:rPr>
                <w:color w:val="1E59A3"/>
                <w:sz w:val="15"/>
              </w:rPr>
              <w:t>10.1561/1100000096</w:t>
            </w:r>
          </w:p>
        </w:tc>
      </w:tr>
      <w:tr>
        <w:tc>
          <w:tcPr>
            <w:tcW w:type="dxa" w:w="1322"/>
            <w:vAlign w:val="center"/>
            <w:tcMar>
              <w:top w:w="70" w:type="dxa"/>
              <w:start w:w="80" w:type="dxa"/>
              <w:bottom w:w="70" w:type="dxa"/>
              <w:end w:w="80" w:type="dxa"/>
            </w:tcMar>
          </w:tcPr>
          <w:p>
            <w:pPr>
              <w:spacing w:after="0"/>
              <w:jc w:val="left"/>
            </w:pPr>
            <w:r>
              <w:rPr>
                <w:sz w:val="15"/>
              </w:rPr>
              <w:t>Application of Artificial Intelligence in Physical Education: A Systematic Review</w:t>
            </w:r>
          </w:p>
        </w:tc>
        <w:tc>
          <w:tcPr>
            <w:tcW w:type="dxa" w:w="1322"/>
            <w:vAlign w:val="center"/>
            <w:tcMar>
              <w:top w:w="70" w:type="dxa"/>
              <w:start w:w="80" w:type="dxa"/>
              <w:bottom w:w="70" w:type="dxa"/>
              <w:end w:w="80" w:type="dxa"/>
            </w:tcMar>
          </w:tcPr>
          <w:p>
            <w:pPr>
              <w:spacing w:after="0"/>
              <w:jc w:val="left"/>
            </w:pPr>
            <w:r>
              <w:rPr>
                <w:sz w:val="15"/>
              </w:rPr>
              <w:t>Zhou et al. (2024)</w:t>
            </w:r>
          </w:p>
        </w:tc>
        <w:tc>
          <w:tcPr>
            <w:tcW w:type="dxa" w:w="1322"/>
            <w:vAlign w:val="center"/>
            <w:tcMar>
              <w:top w:w="70" w:type="dxa"/>
              <w:start w:w="80" w:type="dxa"/>
              <w:bottom w:w="70" w:type="dxa"/>
              <w:end w:w="80" w:type="dxa"/>
            </w:tcMar>
          </w:tcPr>
          <w:p>
            <w:pPr>
              <w:spacing w:after="0"/>
              <w:jc w:val="center"/>
            </w:pPr>
            <w:r>
              <w:rPr>
                <w:sz w:val="15"/>
              </w:rPr>
              <w:t>2024</w:t>
            </w:r>
          </w:p>
        </w:tc>
        <w:tc>
          <w:tcPr>
            <w:tcW w:type="dxa" w:w="1322"/>
            <w:vAlign w:val="center"/>
            <w:tcMar>
              <w:top w:w="70" w:type="dxa"/>
              <w:start w:w="80" w:type="dxa"/>
              <w:bottom w:w="70" w:type="dxa"/>
              <w:end w:w="80" w:type="dxa"/>
            </w:tcMar>
          </w:tcPr>
          <w:p>
            <w:pPr>
              <w:spacing w:after="0"/>
              <w:jc w:val="left"/>
            </w:pPr>
            <w:r>
              <w:rPr>
                <w:sz w:val="15"/>
              </w:rPr>
              <w:t>Education and Information Technologies, 29, 8203–8220</w:t>
            </w:r>
          </w:p>
        </w:tc>
        <w:tc>
          <w:tcPr>
            <w:tcW w:type="dxa" w:w="1322"/>
            <w:vAlign w:val="center"/>
            <w:tcMar>
              <w:top w:w="70" w:type="dxa"/>
              <w:start w:w="80" w:type="dxa"/>
              <w:bottom w:w="70" w:type="dxa"/>
              <w:end w:w="80" w:type="dxa"/>
            </w:tcMar>
          </w:tcPr>
          <w:p>
            <w:pPr>
              <w:spacing w:after="0"/>
              <w:jc w:val="left"/>
            </w:pPr>
            <w:r>
              <w:rPr>
                <w:sz w:val="15"/>
              </w:rPr>
              <w:t>Physical education / sport</w:t>
            </w:r>
          </w:p>
        </w:tc>
        <w:tc>
          <w:tcPr>
            <w:tcW w:type="dxa" w:w="1322"/>
            <w:vAlign w:val="center"/>
            <w:tcMar>
              <w:top w:w="70" w:type="dxa"/>
              <w:start w:w="80" w:type="dxa"/>
              <w:bottom w:w="70" w:type="dxa"/>
              <w:end w:w="80" w:type="dxa"/>
            </w:tcMar>
          </w:tcPr>
          <w:p>
            <w:pPr>
              <w:spacing w:after="0"/>
              <w:jc w:val="left"/>
            </w:pPr>
            <w:r>
              <w:rPr>
                <w:sz w:val="15"/>
              </w:rPr>
              <w:t>China</w:t>
            </w:r>
          </w:p>
        </w:tc>
        <w:tc>
          <w:tcPr>
            <w:tcW w:type="dxa" w:w="1322"/>
            <w:vAlign w:val="center"/>
            <w:tcMar>
              <w:top w:w="70" w:type="dxa"/>
              <w:start w:w="80" w:type="dxa"/>
              <w:bottom w:w="70" w:type="dxa"/>
              <w:end w:w="80" w:type="dxa"/>
            </w:tcMar>
          </w:tcPr>
          <w:p>
            <w:pPr>
              <w:spacing w:after="0"/>
              <w:jc w:val="left"/>
            </w:pPr>
            <w:r>
              <w:rPr>
                <w:sz w:val="15"/>
              </w:rPr>
              <w:t>Review empirical studies on AI use in physical education.</w:t>
            </w:r>
          </w:p>
        </w:tc>
        <w:tc>
          <w:tcPr>
            <w:tcW w:type="dxa" w:w="1322"/>
            <w:vAlign w:val="center"/>
            <w:tcMar>
              <w:top w:w="70" w:type="dxa"/>
              <w:start w:w="80" w:type="dxa"/>
              <w:bottom w:w="70" w:type="dxa"/>
              <w:end w:w="80" w:type="dxa"/>
            </w:tcMar>
          </w:tcPr>
          <w:p>
            <w:pPr>
              <w:spacing w:after="0"/>
              <w:jc w:val="left"/>
            </w:pPr>
            <w:r>
              <w:rPr>
                <w:sz w:val="15"/>
              </w:rPr>
              <w:t>Systematic review</w:t>
            </w:r>
          </w:p>
        </w:tc>
        <w:tc>
          <w:tcPr>
            <w:tcW w:type="dxa" w:w="1322"/>
            <w:vAlign w:val="center"/>
            <w:tcMar>
              <w:top w:w="70" w:type="dxa"/>
              <w:start w:w="80" w:type="dxa"/>
              <w:bottom w:w="70" w:type="dxa"/>
              <w:end w:w="80" w:type="dxa"/>
            </w:tcMar>
          </w:tcPr>
          <w:p>
            <w:pPr>
              <w:spacing w:after="0"/>
              <w:jc w:val="left"/>
            </w:pPr>
            <w:r>
              <w:rPr>
                <w:sz w:val="15"/>
              </w:rPr>
              <w:t>Bridges AI research with coaching and educational practice. Helps justify adoption, usability, and implementation discussions beyond elite sport.</w:t>
            </w:r>
          </w:p>
        </w:tc>
        <w:tc>
          <w:tcPr>
            <w:tcW w:type="dxa" w:w="1322"/>
            <w:vAlign w:val="center"/>
            <w:tcMar>
              <w:top w:w="70" w:type="dxa"/>
              <w:start w:w="80" w:type="dxa"/>
              <w:bottom w:w="70" w:type="dxa"/>
              <w:end w:w="80" w:type="dxa"/>
            </w:tcMar>
          </w:tcPr>
          <w:p>
            <w:pPr>
              <w:spacing w:after="0"/>
              <w:jc w:val="left"/>
            </w:pPr>
            <w:r>
              <w:rPr>
                <w:color w:val="1E59A3"/>
                <w:sz w:val="15"/>
              </w:rPr>
              <w:t>https://doi.org/10.1007/s10639-023-12128-2</w:t>
            </w:r>
          </w:p>
        </w:tc>
        <w:tc>
          <w:tcPr>
            <w:tcW w:type="dxa" w:w="1322"/>
            <w:vAlign w:val="center"/>
            <w:tcMar>
              <w:top w:w="70" w:type="dxa"/>
              <w:start w:w="80" w:type="dxa"/>
              <w:bottom w:w="70" w:type="dxa"/>
              <w:end w:w="80" w:type="dxa"/>
            </w:tcMar>
          </w:tcPr>
          <w:p>
            <w:pPr>
              <w:spacing w:after="0"/>
              <w:jc w:val="left"/>
            </w:pPr>
            <w:r>
              <w:rPr>
                <w:color w:val="1E59A3"/>
                <w:sz w:val="15"/>
              </w:rPr>
              <w:t>10.1007/s10639-023-12128-2</w:t>
            </w:r>
          </w:p>
        </w:tc>
      </w:tr>
      <w:tr>
        <w:tc>
          <w:tcPr>
            <w:tcW w:type="dxa" w:w="1322"/>
            <w:vAlign w:val="center"/>
            <w:tcMar>
              <w:top w:w="70" w:type="dxa"/>
              <w:start w:w="80" w:type="dxa"/>
              <w:bottom w:w="70" w:type="dxa"/>
              <w:end w:w="80" w:type="dxa"/>
            </w:tcMar>
            <w:shd w:fill="F7FAFD"/>
          </w:tcPr>
          <w:p>
            <w:pPr>
              <w:spacing w:after="0"/>
              <w:jc w:val="left"/>
            </w:pPr>
            <w:r>
              <w:rPr>
                <w:sz w:val="15"/>
              </w:rPr>
              <w:t>A Comprehensive Taxonomy for Explainable Artificial Intelligence: A Systematic Survey of Surveys on Methods and Concepts</w:t>
            </w:r>
          </w:p>
        </w:tc>
        <w:tc>
          <w:tcPr>
            <w:tcW w:type="dxa" w:w="1322"/>
            <w:vAlign w:val="center"/>
            <w:tcMar>
              <w:top w:w="70" w:type="dxa"/>
              <w:start w:w="80" w:type="dxa"/>
              <w:bottom w:w="70" w:type="dxa"/>
              <w:end w:w="80" w:type="dxa"/>
            </w:tcMar>
            <w:shd w:fill="F7FAFD"/>
          </w:tcPr>
          <w:p>
            <w:pPr>
              <w:spacing w:after="0"/>
              <w:jc w:val="left"/>
            </w:pPr>
            <w:r>
              <w:rPr>
                <w:sz w:val="15"/>
              </w:rPr>
              <w:t>Schwalbe &amp; Finzel (2024)</w:t>
            </w:r>
          </w:p>
        </w:tc>
        <w:tc>
          <w:tcPr>
            <w:tcW w:type="dxa" w:w="1322"/>
            <w:vAlign w:val="center"/>
            <w:tcMar>
              <w:top w:w="70" w:type="dxa"/>
              <w:start w:w="80" w:type="dxa"/>
              <w:bottom w:w="70" w:type="dxa"/>
              <w:end w:w="80" w:type="dxa"/>
            </w:tcMar>
            <w:shd w:fill="F7FAFD"/>
          </w:tcPr>
          <w:p>
            <w:pPr>
              <w:spacing w:after="0"/>
              <w:jc w:val="center"/>
            </w:pPr>
            <w:r>
              <w:rPr>
                <w:sz w:val="15"/>
              </w:rPr>
              <w:t>2024</w:t>
            </w:r>
          </w:p>
        </w:tc>
        <w:tc>
          <w:tcPr>
            <w:tcW w:type="dxa" w:w="1322"/>
            <w:vAlign w:val="center"/>
            <w:tcMar>
              <w:top w:w="70" w:type="dxa"/>
              <w:start w:w="80" w:type="dxa"/>
              <w:bottom w:w="70" w:type="dxa"/>
              <w:end w:w="80" w:type="dxa"/>
            </w:tcMar>
            <w:shd w:fill="F7FAFD"/>
          </w:tcPr>
          <w:p>
            <w:pPr>
              <w:spacing w:after="0"/>
              <w:jc w:val="left"/>
            </w:pPr>
            <w:r>
              <w:rPr>
                <w:sz w:val="15"/>
              </w:rPr>
              <w:t>Data Mining and Knowledge Discovery, 38, 3043–3101</w:t>
            </w:r>
          </w:p>
        </w:tc>
        <w:tc>
          <w:tcPr>
            <w:tcW w:type="dxa" w:w="1322"/>
            <w:vAlign w:val="center"/>
            <w:tcMar>
              <w:top w:w="70" w:type="dxa"/>
              <w:start w:w="80" w:type="dxa"/>
              <w:bottom w:w="70" w:type="dxa"/>
              <w:end w:w="80" w:type="dxa"/>
            </w:tcMar>
            <w:shd w:fill="F7FAFD"/>
          </w:tcPr>
          <w:p>
            <w:pPr>
              <w:spacing w:after="0"/>
              <w:jc w:val="left"/>
            </w:pPr>
            <w:r>
              <w:rPr>
                <w:sz w:val="15"/>
              </w:rPr>
              <w:t>XAI</w:t>
            </w:r>
          </w:p>
        </w:tc>
        <w:tc>
          <w:tcPr>
            <w:tcW w:type="dxa" w:w="1322"/>
            <w:vAlign w:val="center"/>
            <w:tcMar>
              <w:top w:w="70" w:type="dxa"/>
              <w:start w:w="80" w:type="dxa"/>
              <w:bottom w:w="70" w:type="dxa"/>
              <w:end w:w="80" w:type="dxa"/>
            </w:tcMar>
            <w:shd w:fill="F7FAFD"/>
          </w:tcPr>
          <w:p>
            <w:pPr>
              <w:spacing w:after="0"/>
              <w:jc w:val="left"/>
            </w:pPr>
            <w:r>
              <w:rPr>
                <w:sz w:val="15"/>
              </w:rPr>
              <w:t>Germany</w:t>
            </w:r>
          </w:p>
        </w:tc>
        <w:tc>
          <w:tcPr>
            <w:tcW w:type="dxa" w:w="1322"/>
            <w:vAlign w:val="center"/>
            <w:tcMar>
              <w:top w:w="70" w:type="dxa"/>
              <w:start w:w="80" w:type="dxa"/>
              <w:bottom w:w="70" w:type="dxa"/>
              <w:end w:w="80" w:type="dxa"/>
            </w:tcMar>
            <w:shd w:fill="F7FAFD"/>
          </w:tcPr>
          <w:p>
            <w:pPr>
              <w:spacing w:after="0"/>
              <w:jc w:val="left"/>
            </w:pPr>
            <w:r>
              <w:rPr>
                <w:sz w:val="15"/>
              </w:rPr>
              <w:t>Summarize explainable AI methods and concepts across the survey literature.</w:t>
            </w:r>
          </w:p>
        </w:tc>
        <w:tc>
          <w:tcPr>
            <w:tcW w:type="dxa" w:w="1322"/>
            <w:vAlign w:val="center"/>
            <w:tcMar>
              <w:top w:w="70" w:type="dxa"/>
              <w:start w:w="80" w:type="dxa"/>
              <w:bottom w:w="70" w:type="dxa"/>
              <w:end w:w="80" w:type="dxa"/>
            </w:tcMar>
            <w:shd w:fill="F7FAFD"/>
          </w:tcPr>
          <w:p>
            <w:pPr>
              <w:spacing w:after="0"/>
              <w:jc w:val="left"/>
            </w:pPr>
            <w:r>
              <w:rPr>
                <w:sz w:val="15"/>
              </w:rPr>
              <w:t>Systematic survey of surveys</w:t>
            </w:r>
          </w:p>
        </w:tc>
        <w:tc>
          <w:tcPr>
            <w:tcW w:type="dxa" w:w="1322"/>
            <w:vAlign w:val="center"/>
            <w:tcMar>
              <w:top w:w="70" w:type="dxa"/>
              <w:start w:w="80" w:type="dxa"/>
              <w:bottom w:w="70" w:type="dxa"/>
              <w:end w:w="80" w:type="dxa"/>
            </w:tcMar>
            <w:shd w:fill="F7FAFD"/>
          </w:tcPr>
          <w:p>
            <w:pPr>
              <w:spacing w:after="0"/>
              <w:jc w:val="left"/>
            </w:pPr>
            <w:r>
              <w:rPr>
                <w:sz w:val="15"/>
              </w:rPr>
              <w:t>Strong non-sport theoretical foundation for defining and classifying XAI. Useful for making the explainability section conceptually rigorous.</w:t>
            </w:r>
          </w:p>
        </w:tc>
        <w:tc>
          <w:tcPr>
            <w:tcW w:type="dxa" w:w="1322"/>
            <w:vAlign w:val="center"/>
            <w:tcMar>
              <w:top w:w="70" w:type="dxa"/>
              <w:start w:w="80" w:type="dxa"/>
              <w:bottom w:w="70" w:type="dxa"/>
              <w:end w:w="80" w:type="dxa"/>
            </w:tcMar>
            <w:shd w:fill="F7FAFD"/>
          </w:tcPr>
          <w:p>
            <w:pPr>
              <w:spacing w:after="0"/>
              <w:jc w:val="left"/>
            </w:pPr>
            <w:r>
              <w:rPr>
                <w:color w:val="1E59A3"/>
                <w:sz w:val="15"/>
              </w:rPr>
              <w:t>https://doi.org/10.1007/s10618-022-00867-8</w:t>
            </w:r>
          </w:p>
        </w:tc>
        <w:tc>
          <w:tcPr>
            <w:tcW w:type="dxa" w:w="1322"/>
            <w:vAlign w:val="center"/>
            <w:tcMar>
              <w:top w:w="70" w:type="dxa"/>
              <w:start w:w="80" w:type="dxa"/>
              <w:bottom w:w="70" w:type="dxa"/>
              <w:end w:w="80" w:type="dxa"/>
            </w:tcMar>
            <w:shd w:fill="F7FAFD"/>
          </w:tcPr>
          <w:p>
            <w:pPr>
              <w:spacing w:after="0"/>
              <w:jc w:val="left"/>
            </w:pPr>
            <w:r>
              <w:rPr>
                <w:color w:val="1E59A3"/>
                <w:sz w:val="15"/>
              </w:rPr>
              <w:t>10.1007/s10618-022-00867-8</w:t>
            </w:r>
          </w:p>
        </w:tc>
      </w:tr>
      <w:tr>
        <w:tc>
          <w:tcPr>
            <w:tcW w:type="dxa" w:w="1322"/>
            <w:vAlign w:val="center"/>
            <w:tcMar>
              <w:top w:w="70" w:type="dxa"/>
              <w:start w:w="80" w:type="dxa"/>
              <w:bottom w:w="70" w:type="dxa"/>
              <w:end w:w="80" w:type="dxa"/>
            </w:tcMar>
          </w:tcPr>
          <w:p>
            <w:pPr>
              <w:spacing w:after="0"/>
              <w:jc w:val="left"/>
            </w:pPr>
            <w:r>
              <w:rPr>
                <w:sz w:val="15"/>
              </w:rPr>
              <w:t>Survey on Explainable AI: From Approaches, Limitations and Applications Aspects</w:t>
            </w:r>
          </w:p>
        </w:tc>
        <w:tc>
          <w:tcPr>
            <w:tcW w:type="dxa" w:w="1322"/>
            <w:vAlign w:val="center"/>
            <w:tcMar>
              <w:top w:w="70" w:type="dxa"/>
              <w:start w:w="80" w:type="dxa"/>
              <w:bottom w:w="70" w:type="dxa"/>
              <w:end w:w="80" w:type="dxa"/>
            </w:tcMar>
          </w:tcPr>
          <w:p>
            <w:pPr>
              <w:spacing w:after="0"/>
              <w:jc w:val="left"/>
            </w:pPr>
            <w:r>
              <w:rPr>
                <w:sz w:val="15"/>
              </w:rPr>
              <w:t>Yang et al. (2023)</w:t>
            </w:r>
          </w:p>
        </w:tc>
        <w:tc>
          <w:tcPr>
            <w:tcW w:type="dxa" w:w="1322"/>
            <w:vAlign w:val="center"/>
            <w:tcMar>
              <w:top w:w="70" w:type="dxa"/>
              <w:start w:w="80" w:type="dxa"/>
              <w:bottom w:w="70" w:type="dxa"/>
              <w:end w:w="80" w:type="dxa"/>
            </w:tcMar>
          </w:tcPr>
          <w:p>
            <w:pPr>
              <w:spacing w:after="0"/>
              <w:jc w:val="center"/>
            </w:pPr>
            <w:r>
              <w:rPr>
                <w:sz w:val="15"/>
              </w:rPr>
              <w:t>2023</w:t>
            </w:r>
          </w:p>
        </w:tc>
        <w:tc>
          <w:tcPr>
            <w:tcW w:type="dxa" w:w="1322"/>
            <w:vAlign w:val="center"/>
            <w:tcMar>
              <w:top w:w="70" w:type="dxa"/>
              <w:start w:w="80" w:type="dxa"/>
              <w:bottom w:w="70" w:type="dxa"/>
              <w:end w:w="80" w:type="dxa"/>
            </w:tcMar>
          </w:tcPr>
          <w:p>
            <w:pPr>
              <w:spacing w:after="0"/>
              <w:jc w:val="left"/>
            </w:pPr>
            <w:r>
              <w:rPr>
                <w:sz w:val="15"/>
              </w:rPr>
              <w:t>Human-Centric Intelligent Systems, 3, 161–188</w:t>
            </w:r>
          </w:p>
        </w:tc>
        <w:tc>
          <w:tcPr>
            <w:tcW w:type="dxa" w:w="1322"/>
            <w:vAlign w:val="center"/>
            <w:tcMar>
              <w:top w:w="70" w:type="dxa"/>
              <w:start w:w="80" w:type="dxa"/>
              <w:bottom w:w="70" w:type="dxa"/>
              <w:end w:w="80" w:type="dxa"/>
            </w:tcMar>
          </w:tcPr>
          <w:p>
            <w:pPr>
              <w:spacing w:after="0"/>
              <w:jc w:val="left"/>
            </w:pPr>
            <w:r>
              <w:rPr>
                <w:sz w:val="15"/>
              </w:rPr>
              <w:t>XAI</w:t>
            </w:r>
          </w:p>
        </w:tc>
        <w:tc>
          <w:tcPr>
            <w:tcW w:type="dxa" w:w="1322"/>
            <w:vAlign w:val="center"/>
            <w:tcMar>
              <w:top w:w="70" w:type="dxa"/>
              <w:start w:w="80" w:type="dxa"/>
              <w:bottom w:w="70" w:type="dxa"/>
              <w:end w:w="80" w:type="dxa"/>
            </w:tcMar>
          </w:tcPr>
          <w:p>
            <w:pPr>
              <w:spacing w:after="0"/>
              <w:jc w:val="left"/>
            </w:pPr>
            <w:r>
              <w:rPr>
                <w:sz w:val="15"/>
              </w:rPr>
            </w:r>
          </w:p>
        </w:tc>
        <w:tc>
          <w:tcPr>
            <w:tcW w:type="dxa" w:w="1322"/>
            <w:vAlign w:val="center"/>
            <w:tcMar>
              <w:top w:w="70" w:type="dxa"/>
              <w:start w:w="80" w:type="dxa"/>
              <w:bottom w:w="70" w:type="dxa"/>
              <w:end w:w="80" w:type="dxa"/>
            </w:tcMar>
          </w:tcPr>
          <w:p>
            <w:pPr>
              <w:spacing w:after="0"/>
              <w:jc w:val="left"/>
            </w:pPr>
            <w:r>
              <w:rPr>
                <w:sz w:val="15"/>
              </w:rPr>
              <w:t>Review major XAI approaches, limitations, and applications.</w:t>
            </w:r>
          </w:p>
        </w:tc>
        <w:tc>
          <w:tcPr>
            <w:tcW w:type="dxa" w:w="1322"/>
            <w:vAlign w:val="center"/>
            <w:tcMar>
              <w:top w:w="70" w:type="dxa"/>
              <w:start w:w="80" w:type="dxa"/>
              <w:bottom w:w="70" w:type="dxa"/>
              <w:end w:w="80" w:type="dxa"/>
            </w:tcMar>
          </w:tcPr>
          <w:p>
            <w:pPr>
              <w:spacing w:after="0"/>
              <w:jc w:val="left"/>
            </w:pPr>
            <w:r>
              <w:rPr>
                <w:sz w:val="15"/>
              </w:rPr>
              <w:t>Survey</w:t>
            </w:r>
          </w:p>
        </w:tc>
        <w:tc>
          <w:tcPr>
            <w:tcW w:type="dxa" w:w="1322"/>
            <w:vAlign w:val="center"/>
            <w:tcMar>
              <w:top w:w="70" w:type="dxa"/>
              <w:start w:w="80" w:type="dxa"/>
              <w:bottom w:w="70" w:type="dxa"/>
              <w:end w:w="80" w:type="dxa"/>
            </w:tcMar>
          </w:tcPr>
          <w:p>
            <w:pPr>
              <w:spacing w:after="0"/>
              <w:jc w:val="left"/>
            </w:pPr>
            <w:r>
              <w:rPr>
                <w:sz w:val="15"/>
              </w:rPr>
              <w:t>Useful for discussing the trade-offs, strengths, and limits of explainability methods. Supports theoretical framing for coach-understandable AI outputs.</w:t>
            </w:r>
          </w:p>
        </w:tc>
        <w:tc>
          <w:tcPr>
            <w:tcW w:type="dxa" w:w="1322"/>
            <w:vAlign w:val="center"/>
            <w:tcMar>
              <w:top w:w="70" w:type="dxa"/>
              <w:start w:w="80" w:type="dxa"/>
              <w:bottom w:w="70" w:type="dxa"/>
              <w:end w:w="80" w:type="dxa"/>
            </w:tcMar>
          </w:tcPr>
          <w:p>
            <w:pPr>
              <w:spacing w:after="0"/>
              <w:jc w:val="left"/>
            </w:pPr>
            <w:r>
              <w:rPr>
                <w:color w:val="1E59A3"/>
                <w:sz w:val="15"/>
              </w:rPr>
              <w:t>https://doi.org/10.1007/s44230-023-00038-y</w:t>
            </w:r>
          </w:p>
        </w:tc>
        <w:tc>
          <w:tcPr>
            <w:tcW w:type="dxa" w:w="1322"/>
            <w:vAlign w:val="center"/>
            <w:tcMar>
              <w:top w:w="70" w:type="dxa"/>
              <w:start w:w="80" w:type="dxa"/>
              <w:bottom w:w="70" w:type="dxa"/>
              <w:end w:w="80" w:type="dxa"/>
            </w:tcMar>
          </w:tcPr>
          <w:p>
            <w:pPr>
              <w:spacing w:after="0"/>
              <w:jc w:val="left"/>
            </w:pPr>
            <w:r>
              <w:rPr>
                <w:color w:val="1E59A3"/>
                <w:sz w:val="15"/>
              </w:rPr>
              <w:t>10.1007/s44230-023-00038-y</w:t>
            </w:r>
          </w:p>
        </w:tc>
      </w:tr>
      <w:tr>
        <w:tc>
          <w:tcPr>
            <w:tcW w:type="dxa" w:w="1322"/>
            <w:vAlign w:val="center"/>
            <w:tcMar>
              <w:top w:w="70" w:type="dxa"/>
              <w:start w:w="80" w:type="dxa"/>
              <w:bottom w:w="70" w:type="dxa"/>
              <w:end w:w="80" w:type="dxa"/>
            </w:tcMar>
            <w:shd w:fill="F7FAFD"/>
          </w:tcPr>
          <w:p>
            <w:pPr>
              <w:spacing w:after="0"/>
              <w:jc w:val="left"/>
            </w:pPr>
            <w:r>
              <w:rPr>
                <w:sz w:val="15"/>
              </w:rPr>
              <w:t>The Multiple Uses of Artificial Intelligence in Exercise Programs: A Narrative Review</w:t>
            </w:r>
          </w:p>
        </w:tc>
        <w:tc>
          <w:tcPr>
            <w:tcW w:type="dxa" w:w="1322"/>
            <w:vAlign w:val="center"/>
            <w:tcMar>
              <w:top w:w="70" w:type="dxa"/>
              <w:start w:w="80" w:type="dxa"/>
              <w:bottom w:w="70" w:type="dxa"/>
              <w:end w:w="80" w:type="dxa"/>
            </w:tcMar>
            <w:shd w:fill="F7FAFD"/>
          </w:tcPr>
          <w:p>
            <w:pPr>
              <w:spacing w:after="0"/>
              <w:jc w:val="left"/>
            </w:pPr>
            <w:r>
              <w:rPr>
                <w:sz w:val="15"/>
              </w:rPr>
              <w:t>Canzone et al. (2025)</w:t>
            </w:r>
          </w:p>
        </w:tc>
        <w:tc>
          <w:tcPr>
            <w:tcW w:type="dxa" w:w="1322"/>
            <w:vAlign w:val="center"/>
            <w:tcMar>
              <w:top w:w="70" w:type="dxa"/>
              <w:start w:w="80" w:type="dxa"/>
              <w:bottom w:w="70" w:type="dxa"/>
              <w:end w:w="80" w:type="dxa"/>
            </w:tcMar>
            <w:shd w:fill="F7FAFD"/>
          </w:tcPr>
          <w:p>
            <w:pPr>
              <w:spacing w:after="0"/>
              <w:jc w:val="center"/>
            </w:pPr>
            <w:r>
              <w:rPr>
                <w:sz w:val="15"/>
              </w:rPr>
              <w:t>2025</w:t>
            </w:r>
          </w:p>
        </w:tc>
        <w:tc>
          <w:tcPr>
            <w:tcW w:type="dxa" w:w="1322"/>
            <w:vAlign w:val="center"/>
            <w:tcMar>
              <w:top w:w="70" w:type="dxa"/>
              <w:start w:w="80" w:type="dxa"/>
              <w:bottom w:w="70" w:type="dxa"/>
              <w:end w:w="80" w:type="dxa"/>
            </w:tcMar>
            <w:shd w:fill="F7FAFD"/>
          </w:tcPr>
          <w:p>
            <w:pPr>
              <w:spacing w:after="0"/>
              <w:jc w:val="left"/>
            </w:pPr>
            <w:r>
              <w:rPr>
                <w:sz w:val="15"/>
              </w:rPr>
              <w:t>Frontiers in Public Health, 13, Article 1510801</w:t>
            </w:r>
          </w:p>
        </w:tc>
        <w:tc>
          <w:tcPr>
            <w:tcW w:type="dxa" w:w="1322"/>
            <w:vAlign w:val="center"/>
            <w:tcMar>
              <w:top w:w="70" w:type="dxa"/>
              <w:start w:w="80" w:type="dxa"/>
              <w:bottom w:w="70" w:type="dxa"/>
              <w:end w:w="80" w:type="dxa"/>
            </w:tcMar>
            <w:shd w:fill="F7FAFD"/>
          </w:tcPr>
          <w:p>
            <w:pPr>
              <w:spacing w:after="0"/>
              <w:jc w:val="left"/>
            </w:pPr>
            <w:r>
              <w:rPr>
                <w:sz w:val="15"/>
              </w:rPr>
              <w:t>Exercise science</w:t>
            </w:r>
          </w:p>
        </w:tc>
        <w:tc>
          <w:tcPr>
            <w:tcW w:type="dxa" w:w="1322"/>
            <w:vAlign w:val="center"/>
            <w:tcMar>
              <w:top w:w="70" w:type="dxa"/>
              <w:start w:w="80" w:type="dxa"/>
              <w:bottom w:w="70" w:type="dxa"/>
              <w:end w:w="80" w:type="dxa"/>
            </w:tcMar>
            <w:shd w:fill="F7FAFD"/>
          </w:tcPr>
          <w:p>
            <w:pPr>
              <w:spacing w:after="0"/>
              <w:jc w:val="left"/>
            </w:pPr>
            <w:r>
              <w:rPr>
                <w:sz w:val="15"/>
              </w:rPr>
              <w:t>Italy</w:t>
            </w:r>
          </w:p>
        </w:tc>
        <w:tc>
          <w:tcPr>
            <w:tcW w:type="dxa" w:w="1322"/>
            <w:vAlign w:val="center"/>
            <w:tcMar>
              <w:top w:w="70" w:type="dxa"/>
              <w:start w:w="80" w:type="dxa"/>
              <w:bottom w:w="70" w:type="dxa"/>
              <w:end w:w="80" w:type="dxa"/>
            </w:tcMar>
            <w:shd w:fill="F7FAFD"/>
          </w:tcPr>
          <w:p>
            <w:pPr>
              <w:spacing w:after="0"/>
              <w:jc w:val="left"/>
            </w:pPr>
            <w:r>
              <w:rPr>
                <w:sz w:val="15"/>
              </w:rPr>
              <w:t>Review how AI is used across exercise-program design and delivery.</w:t>
            </w:r>
          </w:p>
        </w:tc>
        <w:tc>
          <w:tcPr>
            <w:tcW w:type="dxa" w:w="1322"/>
            <w:vAlign w:val="center"/>
            <w:tcMar>
              <w:top w:w="70" w:type="dxa"/>
              <w:start w:w="80" w:type="dxa"/>
              <w:bottom w:w="70" w:type="dxa"/>
              <w:end w:w="80" w:type="dxa"/>
            </w:tcMar>
            <w:shd w:fill="F7FAFD"/>
          </w:tcPr>
          <w:p>
            <w:pPr>
              <w:spacing w:after="0"/>
              <w:jc w:val="left"/>
            </w:pPr>
            <w:r>
              <w:rPr>
                <w:sz w:val="15"/>
              </w:rPr>
              <w:t>Narrative review</w:t>
            </w:r>
          </w:p>
        </w:tc>
        <w:tc>
          <w:tcPr>
            <w:tcW w:type="dxa" w:w="1322"/>
            <w:vAlign w:val="center"/>
            <w:tcMar>
              <w:top w:w="70" w:type="dxa"/>
              <w:start w:w="80" w:type="dxa"/>
              <w:bottom w:w="70" w:type="dxa"/>
              <w:end w:w="80" w:type="dxa"/>
            </w:tcMar>
            <w:shd w:fill="F7FAFD"/>
          </w:tcPr>
          <w:p>
            <w:pPr>
              <w:spacing w:after="0"/>
              <w:jc w:val="left"/>
            </w:pPr>
            <w:r>
              <w:rPr>
                <w:sz w:val="15"/>
              </w:rPr>
              <w:t>Frames AI as an assistive tool in exercise programming rather than a replacement for coaches. Supports user-centred, decision-support positioning.</w:t>
            </w:r>
          </w:p>
        </w:tc>
        <w:tc>
          <w:tcPr>
            <w:tcW w:type="dxa" w:w="1322"/>
            <w:vAlign w:val="center"/>
            <w:tcMar>
              <w:top w:w="70" w:type="dxa"/>
              <w:start w:w="80" w:type="dxa"/>
              <w:bottom w:w="70" w:type="dxa"/>
              <w:end w:w="80" w:type="dxa"/>
            </w:tcMar>
            <w:shd w:fill="F7FAFD"/>
          </w:tcPr>
          <w:p>
            <w:pPr>
              <w:spacing w:after="0"/>
              <w:jc w:val="left"/>
            </w:pPr>
            <w:r>
              <w:rPr>
                <w:color w:val="1E59A3"/>
                <w:sz w:val="15"/>
              </w:rPr>
              <w:t>https://doi.org/10.3389/fpubh.2025.1510801</w:t>
            </w:r>
          </w:p>
        </w:tc>
        <w:tc>
          <w:tcPr>
            <w:tcW w:type="dxa" w:w="1322"/>
            <w:vAlign w:val="center"/>
            <w:tcMar>
              <w:top w:w="70" w:type="dxa"/>
              <w:start w:w="80" w:type="dxa"/>
              <w:bottom w:w="70" w:type="dxa"/>
              <w:end w:w="80" w:type="dxa"/>
            </w:tcMar>
            <w:shd w:fill="F7FAFD"/>
          </w:tcPr>
          <w:p>
            <w:pPr>
              <w:spacing w:after="0"/>
              <w:jc w:val="left"/>
            </w:pPr>
            <w:r>
              <w:rPr>
                <w:color w:val="1E59A3"/>
                <w:sz w:val="15"/>
              </w:rPr>
              <w:t>10.3389/fpubh.2025.1510801</w:t>
            </w:r>
          </w:p>
        </w:tc>
      </w:tr>
      <w:tr>
        <w:tc>
          <w:tcPr>
            <w:tcW w:type="dxa" w:w="1322"/>
            <w:vAlign w:val="center"/>
            <w:tcMar>
              <w:top w:w="70" w:type="dxa"/>
              <w:start w:w="80" w:type="dxa"/>
              <w:bottom w:w="70" w:type="dxa"/>
              <w:end w:w="80" w:type="dxa"/>
            </w:tcMar>
          </w:tcPr>
          <w:p>
            <w:pPr>
              <w:spacing w:after="0"/>
              <w:jc w:val="left"/>
            </w:pPr>
            <w:r>
              <w:rPr>
                <w:sz w:val="15"/>
              </w:rPr>
              <w:t>Machine Learning Applied to Professional Football: Performance Improvement and Results Prediction</w:t>
            </w:r>
          </w:p>
        </w:tc>
        <w:tc>
          <w:tcPr>
            <w:tcW w:type="dxa" w:w="1322"/>
            <w:vAlign w:val="center"/>
            <w:tcMar>
              <w:top w:w="70" w:type="dxa"/>
              <w:start w:w="80" w:type="dxa"/>
              <w:bottom w:w="70" w:type="dxa"/>
              <w:end w:w="80" w:type="dxa"/>
            </w:tcMar>
          </w:tcPr>
          <w:p>
            <w:pPr>
              <w:spacing w:after="0"/>
              <w:jc w:val="left"/>
            </w:pPr>
            <w:r>
              <w:rPr>
                <w:sz w:val="15"/>
              </w:rPr>
              <w:t>Moya et al. (2025)</w:t>
            </w:r>
          </w:p>
        </w:tc>
        <w:tc>
          <w:tcPr>
            <w:tcW w:type="dxa" w:w="1322"/>
            <w:vAlign w:val="center"/>
            <w:tcMar>
              <w:top w:w="70" w:type="dxa"/>
              <w:start w:w="80" w:type="dxa"/>
              <w:bottom w:w="70" w:type="dxa"/>
              <w:end w:w="80" w:type="dxa"/>
            </w:tcMar>
          </w:tcPr>
          <w:p>
            <w:pPr>
              <w:spacing w:after="0"/>
              <w:jc w:val="center"/>
            </w:pPr>
            <w:r>
              <w:rPr>
                <w:sz w:val="15"/>
              </w:rPr>
              <w:t>2025</w:t>
            </w:r>
          </w:p>
        </w:tc>
        <w:tc>
          <w:tcPr>
            <w:tcW w:type="dxa" w:w="1322"/>
            <w:vAlign w:val="center"/>
            <w:tcMar>
              <w:top w:w="70" w:type="dxa"/>
              <w:start w:w="80" w:type="dxa"/>
              <w:bottom w:w="70" w:type="dxa"/>
              <w:end w:w="80" w:type="dxa"/>
            </w:tcMar>
          </w:tcPr>
          <w:p>
            <w:pPr>
              <w:spacing w:after="0"/>
              <w:jc w:val="left"/>
            </w:pPr>
            <w:r>
              <w:rPr>
                <w:sz w:val="15"/>
              </w:rPr>
              <w:t>Machine Learning and Knowledge Extraction, 7(3), Article 85</w:t>
            </w:r>
          </w:p>
        </w:tc>
        <w:tc>
          <w:tcPr>
            <w:tcW w:type="dxa" w:w="1322"/>
            <w:vAlign w:val="center"/>
            <w:tcMar>
              <w:top w:w="70" w:type="dxa"/>
              <w:start w:w="80" w:type="dxa"/>
              <w:bottom w:w="70" w:type="dxa"/>
              <w:end w:w="80" w:type="dxa"/>
            </w:tcMar>
          </w:tcPr>
          <w:p>
            <w:pPr>
              <w:spacing w:after="0"/>
              <w:jc w:val="left"/>
            </w:pPr>
            <w:r>
              <w:rPr>
                <w:sz w:val="15"/>
              </w:rPr>
              <w:t>Association football</w:t>
            </w:r>
          </w:p>
        </w:tc>
        <w:tc>
          <w:tcPr>
            <w:tcW w:type="dxa" w:w="1322"/>
            <w:vAlign w:val="center"/>
            <w:tcMar>
              <w:top w:w="70" w:type="dxa"/>
              <w:start w:w="80" w:type="dxa"/>
              <w:bottom w:w="70" w:type="dxa"/>
              <w:end w:w="80" w:type="dxa"/>
            </w:tcMar>
          </w:tcPr>
          <w:p>
            <w:pPr>
              <w:spacing w:after="0"/>
              <w:jc w:val="left"/>
            </w:pPr>
            <w:r>
              <w:rPr>
                <w:sz w:val="15"/>
              </w:rPr>
              <w:t>Ecuador</w:t>
            </w:r>
          </w:p>
        </w:tc>
        <w:tc>
          <w:tcPr>
            <w:tcW w:type="dxa" w:w="1322"/>
            <w:vAlign w:val="center"/>
            <w:tcMar>
              <w:top w:w="70" w:type="dxa"/>
              <w:start w:w="80" w:type="dxa"/>
              <w:bottom w:w="70" w:type="dxa"/>
              <w:end w:w="80" w:type="dxa"/>
            </w:tcMar>
          </w:tcPr>
          <w:p>
            <w:pPr>
              <w:spacing w:after="0"/>
              <w:jc w:val="left"/>
            </w:pPr>
            <w:r>
              <w:rPr>
                <w:sz w:val="15"/>
              </w:rPr>
              <w:t>Synthesize machine-learning research on professional football performance and results prediction.</w:t>
            </w:r>
          </w:p>
        </w:tc>
        <w:tc>
          <w:tcPr>
            <w:tcW w:type="dxa" w:w="1322"/>
            <w:vAlign w:val="center"/>
            <w:tcMar>
              <w:top w:w="70" w:type="dxa"/>
              <w:start w:w="80" w:type="dxa"/>
              <w:bottom w:w="70" w:type="dxa"/>
              <w:end w:w="80" w:type="dxa"/>
            </w:tcMar>
          </w:tcPr>
          <w:p>
            <w:pPr>
              <w:spacing w:after="0"/>
              <w:jc w:val="left"/>
            </w:pPr>
            <w:r>
              <w:rPr>
                <w:sz w:val="15"/>
              </w:rPr>
              <w:t>Review article</w:t>
            </w:r>
          </w:p>
        </w:tc>
        <w:tc>
          <w:tcPr>
            <w:tcW w:type="dxa" w:w="1322"/>
            <w:vAlign w:val="center"/>
            <w:tcMar>
              <w:top w:w="70" w:type="dxa"/>
              <w:start w:w="80" w:type="dxa"/>
              <w:bottom w:w="70" w:type="dxa"/>
              <w:end w:w="80" w:type="dxa"/>
            </w:tcMar>
          </w:tcPr>
          <w:p>
            <w:pPr>
              <w:spacing w:after="0"/>
              <w:jc w:val="left"/>
            </w:pPr>
            <w:r>
              <w:rPr>
                <w:sz w:val="15"/>
              </w:rPr>
              <w:t>Recent football-specific review of 2019–2024 machine-learning studies. Useful for widening the football analytics evidence base beyond single models.</w:t>
            </w:r>
          </w:p>
        </w:tc>
        <w:tc>
          <w:tcPr>
            <w:tcW w:type="dxa" w:w="1322"/>
            <w:vAlign w:val="center"/>
            <w:tcMar>
              <w:top w:w="70" w:type="dxa"/>
              <w:start w:w="80" w:type="dxa"/>
              <w:bottom w:w="70" w:type="dxa"/>
              <w:end w:w="80" w:type="dxa"/>
            </w:tcMar>
          </w:tcPr>
          <w:p>
            <w:pPr>
              <w:spacing w:after="0"/>
              <w:jc w:val="left"/>
            </w:pPr>
            <w:r>
              <w:rPr>
                <w:color w:val="1E59A3"/>
                <w:sz w:val="15"/>
              </w:rPr>
              <w:t>https://doi.org/10.3390/make7030085</w:t>
            </w:r>
          </w:p>
        </w:tc>
        <w:tc>
          <w:tcPr>
            <w:tcW w:type="dxa" w:w="1322"/>
            <w:vAlign w:val="center"/>
            <w:tcMar>
              <w:top w:w="70" w:type="dxa"/>
              <w:start w:w="80" w:type="dxa"/>
              <w:bottom w:w="70" w:type="dxa"/>
              <w:end w:w="80" w:type="dxa"/>
            </w:tcMar>
          </w:tcPr>
          <w:p>
            <w:pPr>
              <w:spacing w:after="0"/>
              <w:jc w:val="left"/>
            </w:pPr>
            <w:r>
              <w:rPr>
                <w:color w:val="1E59A3"/>
                <w:sz w:val="15"/>
              </w:rPr>
              <w:t>10.3390/make7030085</w:t>
            </w:r>
          </w:p>
        </w:tc>
      </w:tr>
      <w:tr>
        <w:tc>
          <w:tcPr>
            <w:tcW w:type="dxa" w:w="1322"/>
            <w:vAlign w:val="center"/>
            <w:tcMar>
              <w:top w:w="70" w:type="dxa"/>
              <w:start w:w="80" w:type="dxa"/>
              <w:bottom w:w="70" w:type="dxa"/>
              <w:end w:w="80" w:type="dxa"/>
            </w:tcMar>
            <w:shd w:fill="F7FAFD"/>
          </w:tcPr>
          <w:p>
            <w:pPr>
              <w:spacing w:after="0"/>
              <w:jc w:val="left"/>
            </w:pPr>
            <w:r>
              <w:rPr>
                <w:sz w:val="15"/>
              </w:rPr>
              <w:t>Forecasting the Future Development in Quality and Value of Professional Football Players</w:t>
            </w:r>
          </w:p>
        </w:tc>
        <w:tc>
          <w:tcPr>
            <w:tcW w:type="dxa" w:w="1322"/>
            <w:vAlign w:val="center"/>
            <w:tcMar>
              <w:top w:w="70" w:type="dxa"/>
              <w:start w:w="80" w:type="dxa"/>
              <w:bottom w:w="70" w:type="dxa"/>
              <w:end w:w="80" w:type="dxa"/>
            </w:tcMar>
            <w:shd w:fill="F7FAFD"/>
          </w:tcPr>
          <w:p>
            <w:pPr>
              <w:spacing w:after="0"/>
              <w:jc w:val="left"/>
            </w:pPr>
            <w:r>
              <w:rPr>
                <w:sz w:val="15"/>
              </w:rPr>
              <w:t>van Arem et al. (2025)</w:t>
            </w:r>
          </w:p>
        </w:tc>
        <w:tc>
          <w:tcPr>
            <w:tcW w:type="dxa" w:w="1322"/>
            <w:vAlign w:val="center"/>
            <w:tcMar>
              <w:top w:w="70" w:type="dxa"/>
              <w:start w:w="80" w:type="dxa"/>
              <w:bottom w:w="70" w:type="dxa"/>
              <w:end w:w="80" w:type="dxa"/>
            </w:tcMar>
            <w:shd w:fill="F7FAFD"/>
          </w:tcPr>
          <w:p>
            <w:pPr>
              <w:spacing w:after="0"/>
              <w:jc w:val="center"/>
            </w:pPr>
            <w:r>
              <w:rPr>
                <w:sz w:val="15"/>
              </w:rPr>
              <w:t>2025</w:t>
            </w:r>
          </w:p>
        </w:tc>
        <w:tc>
          <w:tcPr>
            <w:tcW w:type="dxa" w:w="1322"/>
            <w:vAlign w:val="center"/>
            <w:tcMar>
              <w:top w:w="70" w:type="dxa"/>
              <w:start w:w="80" w:type="dxa"/>
              <w:bottom w:w="70" w:type="dxa"/>
              <w:end w:w="80" w:type="dxa"/>
            </w:tcMar>
            <w:shd w:fill="F7FAFD"/>
          </w:tcPr>
          <w:p>
            <w:pPr>
              <w:spacing w:after="0"/>
              <w:jc w:val="left"/>
            </w:pPr>
            <w:r>
              <w:rPr>
                <w:sz w:val="15"/>
              </w:rPr>
              <w:t>Applied Sciences, 15(16), 8916</w:t>
            </w:r>
          </w:p>
        </w:tc>
        <w:tc>
          <w:tcPr>
            <w:tcW w:type="dxa" w:w="1322"/>
            <w:vAlign w:val="center"/>
            <w:tcMar>
              <w:top w:w="70" w:type="dxa"/>
              <w:start w:w="80" w:type="dxa"/>
              <w:bottom w:w="70" w:type="dxa"/>
              <w:end w:w="80" w:type="dxa"/>
            </w:tcMar>
            <w:shd w:fill="F7FAFD"/>
          </w:tcPr>
          <w:p>
            <w:pPr>
              <w:spacing w:after="0"/>
              <w:jc w:val="left"/>
            </w:pPr>
            <w:r>
              <w:rPr>
                <w:sz w:val="15"/>
              </w:rPr>
              <w:t>Association football</w:t>
            </w:r>
          </w:p>
        </w:tc>
        <w:tc>
          <w:tcPr>
            <w:tcW w:type="dxa" w:w="1322"/>
            <w:vAlign w:val="center"/>
            <w:tcMar>
              <w:top w:w="70" w:type="dxa"/>
              <w:start w:w="80" w:type="dxa"/>
              <w:bottom w:w="70" w:type="dxa"/>
              <w:end w:w="80" w:type="dxa"/>
            </w:tcMar>
            <w:shd w:fill="F7FAFD"/>
          </w:tcPr>
          <w:p>
            <w:pPr>
              <w:spacing w:after="0"/>
              <w:jc w:val="left"/>
            </w:pPr>
            <w:r>
              <w:rPr>
                <w:sz w:val="15"/>
              </w:rPr>
              <w:t>Netherlands</w:t>
            </w:r>
          </w:p>
        </w:tc>
        <w:tc>
          <w:tcPr>
            <w:tcW w:type="dxa" w:w="1322"/>
            <w:vAlign w:val="center"/>
            <w:tcMar>
              <w:top w:w="70" w:type="dxa"/>
              <w:start w:w="80" w:type="dxa"/>
              <w:bottom w:w="70" w:type="dxa"/>
              <w:end w:w="80" w:type="dxa"/>
            </w:tcMar>
            <w:shd w:fill="F7FAFD"/>
          </w:tcPr>
          <w:p>
            <w:pPr>
              <w:spacing w:after="0"/>
              <w:jc w:val="left"/>
            </w:pPr>
            <w:r>
              <w:rPr>
                <w:sz w:val="15"/>
              </w:rPr>
              <w:t>Predict future player quality and market value using explainable machine learning.</w:t>
            </w:r>
          </w:p>
        </w:tc>
        <w:tc>
          <w:tcPr>
            <w:tcW w:type="dxa" w:w="1322"/>
            <w:vAlign w:val="center"/>
            <w:tcMar>
              <w:top w:w="70" w:type="dxa"/>
              <w:start w:w="80" w:type="dxa"/>
              <w:bottom w:w="70" w:type="dxa"/>
              <w:end w:w="80" w:type="dxa"/>
            </w:tcMar>
            <w:shd w:fill="F7FAFD"/>
          </w:tcPr>
          <w:p>
            <w:pPr>
              <w:spacing w:after="0"/>
              <w:jc w:val="left"/>
            </w:pPr>
            <w:r>
              <w:rPr>
                <w:sz w:val="15"/>
              </w:rPr>
              <w:t>Research article</w:t>
            </w:r>
          </w:p>
        </w:tc>
        <w:tc>
          <w:tcPr>
            <w:tcW w:type="dxa" w:w="1322"/>
            <w:vAlign w:val="center"/>
            <w:tcMar>
              <w:top w:w="70" w:type="dxa"/>
              <w:start w:w="80" w:type="dxa"/>
              <w:bottom w:w="70" w:type="dxa"/>
              <w:end w:w="80" w:type="dxa"/>
            </w:tcMar>
            <w:shd w:fill="F7FAFD"/>
          </w:tcPr>
          <w:p>
            <w:pPr>
              <w:spacing w:after="0"/>
              <w:jc w:val="left"/>
            </w:pPr>
            <w:r>
              <w:rPr>
                <w:sz w:val="15"/>
              </w:rPr>
              <w:t>Important practitioner-oriented football analytics study with an explainable ML angle. Useful for linking predictive modelling to interpretable decision support.</w:t>
            </w:r>
          </w:p>
        </w:tc>
        <w:tc>
          <w:tcPr>
            <w:tcW w:type="dxa" w:w="1322"/>
            <w:vAlign w:val="center"/>
            <w:tcMar>
              <w:top w:w="70" w:type="dxa"/>
              <w:start w:w="80" w:type="dxa"/>
              <w:bottom w:w="70" w:type="dxa"/>
              <w:end w:w="80" w:type="dxa"/>
            </w:tcMar>
            <w:shd w:fill="F7FAFD"/>
          </w:tcPr>
          <w:p>
            <w:pPr>
              <w:spacing w:after="0"/>
              <w:jc w:val="left"/>
            </w:pPr>
            <w:r>
              <w:rPr>
                <w:color w:val="1E59A3"/>
                <w:sz w:val="15"/>
              </w:rPr>
              <w:t>https://doi.org/10.3390/app15168916</w:t>
            </w:r>
          </w:p>
        </w:tc>
        <w:tc>
          <w:tcPr>
            <w:tcW w:type="dxa" w:w="1322"/>
            <w:vAlign w:val="center"/>
            <w:tcMar>
              <w:top w:w="70" w:type="dxa"/>
              <w:start w:w="80" w:type="dxa"/>
              <w:bottom w:w="70" w:type="dxa"/>
              <w:end w:w="80" w:type="dxa"/>
            </w:tcMar>
            <w:shd w:fill="F7FAFD"/>
          </w:tcPr>
          <w:p>
            <w:pPr>
              <w:spacing w:after="0"/>
              <w:jc w:val="left"/>
            </w:pPr>
            <w:r>
              <w:rPr>
                <w:color w:val="1E59A3"/>
                <w:sz w:val="15"/>
              </w:rPr>
              <w:t>10.3390/app15168916</w:t>
            </w:r>
          </w:p>
        </w:tc>
      </w:tr>
      <w:tr>
        <w:tc>
          <w:tcPr>
            <w:tcW w:type="dxa" w:w="1322"/>
            <w:vAlign w:val="center"/>
            <w:tcMar>
              <w:top w:w="70" w:type="dxa"/>
              <w:start w:w="80" w:type="dxa"/>
              <w:bottom w:w="70" w:type="dxa"/>
              <w:end w:w="80" w:type="dxa"/>
            </w:tcMar>
          </w:tcPr>
          <w:p>
            <w:pPr>
              <w:spacing w:after="0"/>
              <w:jc w:val="left"/>
            </w:pPr>
            <w:r>
              <w:rPr>
                <w:sz w:val="15"/>
              </w:rPr>
              <w:t>Tactically Maximize Game Advantage by Predicting Football Substitutions Using Machine Learning</w:t>
            </w:r>
          </w:p>
        </w:tc>
        <w:tc>
          <w:tcPr>
            <w:tcW w:type="dxa" w:w="1322"/>
            <w:vAlign w:val="center"/>
            <w:tcMar>
              <w:top w:w="70" w:type="dxa"/>
              <w:start w:w="80" w:type="dxa"/>
              <w:bottom w:w="70" w:type="dxa"/>
              <w:end w:w="80" w:type="dxa"/>
            </w:tcMar>
          </w:tcPr>
          <w:p>
            <w:pPr>
              <w:spacing w:after="0"/>
              <w:jc w:val="left"/>
            </w:pPr>
            <w:r>
              <w:rPr>
                <w:sz w:val="15"/>
              </w:rPr>
              <w:t>Mohandas et al. (2023)</w:t>
            </w:r>
          </w:p>
        </w:tc>
        <w:tc>
          <w:tcPr>
            <w:tcW w:type="dxa" w:w="1322"/>
            <w:vAlign w:val="center"/>
            <w:tcMar>
              <w:top w:w="70" w:type="dxa"/>
              <w:start w:w="80" w:type="dxa"/>
              <w:bottom w:w="70" w:type="dxa"/>
              <w:end w:w="80" w:type="dxa"/>
            </w:tcMar>
          </w:tcPr>
          <w:p>
            <w:pPr>
              <w:spacing w:after="0"/>
              <w:jc w:val="center"/>
            </w:pPr>
            <w:r>
              <w:rPr>
                <w:sz w:val="15"/>
              </w:rPr>
              <w:t>2023</w:t>
            </w:r>
          </w:p>
        </w:tc>
        <w:tc>
          <w:tcPr>
            <w:tcW w:type="dxa" w:w="1322"/>
            <w:vAlign w:val="center"/>
            <w:tcMar>
              <w:top w:w="70" w:type="dxa"/>
              <w:start w:w="80" w:type="dxa"/>
              <w:bottom w:w="70" w:type="dxa"/>
              <w:end w:w="80" w:type="dxa"/>
            </w:tcMar>
          </w:tcPr>
          <w:p>
            <w:pPr>
              <w:spacing w:after="0"/>
              <w:jc w:val="left"/>
            </w:pPr>
            <w:r>
              <w:rPr>
                <w:sz w:val="15"/>
              </w:rPr>
              <w:t>Big Data and Cognitive Computing, 7(2), 117</w:t>
            </w:r>
          </w:p>
        </w:tc>
        <w:tc>
          <w:tcPr>
            <w:tcW w:type="dxa" w:w="1322"/>
            <w:vAlign w:val="center"/>
            <w:tcMar>
              <w:top w:w="70" w:type="dxa"/>
              <w:start w:w="80" w:type="dxa"/>
              <w:bottom w:w="70" w:type="dxa"/>
              <w:end w:w="80" w:type="dxa"/>
            </w:tcMar>
          </w:tcPr>
          <w:p>
            <w:pPr>
              <w:spacing w:after="0"/>
              <w:jc w:val="left"/>
            </w:pPr>
            <w:r>
              <w:rPr>
                <w:sz w:val="15"/>
              </w:rPr>
              <w:t>Association football</w:t>
            </w:r>
          </w:p>
        </w:tc>
        <w:tc>
          <w:tcPr>
            <w:tcW w:type="dxa" w:w="1322"/>
            <w:vAlign w:val="center"/>
            <w:tcMar>
              <w:top w:w="70" w:type="dxa"/>
              <w:start w:w="80" w:type="dxa"/>
              <w:bottom w:w="70" w:type="dxa"/>
              <w:end w:w="80" w:type="dxa"/>
            </w:tcMar>
          </w:tcPr>
          <w:p>
            <w:pPr>
              <w:spacing w:after="0"/>
              <w:jc w:val="left"/>
            </w:pPr>
            <w:r>
              <w:rPr>
                <w:sz w:val="15"/>
              </w:rPr>
              <w:t>India / United Kingdom</w:t>
            </w:r>
          </w:p>
        </w:tc>
        <w:tc>
          <w:tcPr>
            <w:tcW w:type="dxa" w:w="1322"/>
            <w:vAlign w:val="center"/>
            <w:tcMar>
              <w:top w:w="70" w:type="dxa"/>
              <w:start w:w="80" w:type="dxa"/>
              <w:bottom w:w="70" w:type="dxa"/>
              <w:end w:w="80" w:type="dxa"/>
            </w:tcMar>
          </w:tcPr>
          <w:p>
            <w:pPr>
              <w:spacing w:after="0"/>
              <w:jc w:val="left"/>
            </w:pPr>
            <w:r>
              <w:rPr>
                <w:sz w:val="15"/>
              </w:rPr>
              <w:t>Predict effective football substitutions using machine learning.</w:t>
            </w:r>
          </w:p>
        </w:tc>
        <w:tc>
          <w:tcPr>
            <w:tcW w:type="dxa" w:w="1322"/>
            <w:vAlign w:val="center"/>
            <w:tcMar>
              <w:top w:w="70" w:type="dxa"/>
              <w:start w:w="80" w:type="dxa"/>
              <w:bottom w:w="70" w:type="dxa"/>
              <w:end w:w="80" w:type="dxa"/>
            </w:tcMar>
          </w:tcPr>
          <w:p>
            <w:pPr>
              <w:spacing w:after="0"/>
              <w:jc w:val="left"/>
            </w:pPr>
            <w:r>
              <w:rPr>
                <w:sz w:val="15"/>
              </w:rPr>
              <w:t>Research article</w:t>
            </w:r>
          </w:p>
        </w:tc>
        <w:tc>
          <w:tcPr>
            <w:tcW w:type="dxa" w:w="1322"/>
            <w:vAlign w:val="center"/>
            <w:tcMar>
              <w:top w:w="70" w:type="dxa"/>
              <w:start w:w="80" w:type="dxa"/>
              <w:bottom w:w="70" w:type="dxa"/>
              <w:end w:w="80" w:type="dxa"/>
            </w:tcMar>
          </w:tcPr>
          <w:p>
            <w:pPr>
              <w:spacing w:after="0"/>
              <w:jc w:val="left"/>
            </w:pPr>
            <w:r>
              <w:rPr>
                <w:sz w:val="15"/>
              </w:rPr>
              <w:t>Targets in-game tactical decision support through substitution recommendations. Directly relevant for applied, coach-facing AI assistance during matches.</w:t>
            </w:r>
          </w:p>
        </w:tc>
        <w:tc>
          <w:tcPr>
            <w:tcW w:type="dxa" w:w="1322"/>
            <w:vAlign w:val="center"/>
            <w:tcMar>
              <w:top w:w="70" w:type="dxa"/>
              <w:start w:w="80" w:type="dxa"/>
              <w:bottom w:w="70" w:type="dxa"/>
              <w:end w:w="80" w:type="dxa"/>
            </w:tcMar>
          </w:tcPr>
          <w:p>
            <w:pPr>
              <w:spacing w:after="0"/>
              <w:jc w:val="left"/>
            </w:pPr>
            <w:r>
              <w:rPr>
                <w:color w:val="1E59A3"/>
                <w:sz w:val="15"/>
              </w:rPr>
              <w:t>https://doi.org/10.3390/bdcc7020117</w:t>
            </w:r>
          </w:p>
        </w:tc>
        <w:tc>
          <w:tcPr>
            <w:tcW w:type="dxa" w:w="1322"/>
            <w:vAlign w:val="center"/>
            <w:tcMar>
              <w:top w:w="70" w:type="dxa"/>
              <w:start w:w="80" w:type="dxa"/>
              <w:bottom w:w="70" w:type="dxa"/>
              <w:end w:w="80" w:type="dxa"/>
            </w:tcMar>
          </w:tcPr>
          <w:p>
            <w:pPr>
              <w:spacing w:after="0"/>
              <w:jc w:val="left"/>
            </w:pPr>
            <w:r>
              <w:rPr>
                <w:color w:val="1E59A3"/>
                <w:sz w:val="15"/>
              </w:rPr>
              <w:t>10.3390/bdcc7020117</w:t>
            </w:r>
          </w:p>
        </w:tc>
      </w:tr>
      <w:tr>
        <w:tc>
          <w:tcPr>
            <w:tcW w:type="dxa" w:w="1322"/>
            <w:vAlign w:val="center"/>
            <w:tcMar>
              <w:top w:w="70" w:type="dxa"/>
              <w:start w:w="80" w:type="dxa"/>
              <w:bottom w:w="70" w:type="dxa"/>
              <w:end w:w="80" w:type="dxa"/>
            </w:tcMar>
            <w:shd w:fill="F7FAFD"/>
          </w:tcPr>
          <w:p>
            <w:pPr>
              <w:spacing w:after="0"/>
              <w:jc w:val="left"/>
            </w:pPr>
            <w:r>
              <w:rPr>
                <w:sz w:val="15"/>
              </w:rPr>
              <w:t>Modelling Tactical Changes in Association Football Using a Markov Game</w:t>
            </w:r>
          </w:p>
        </w:tc>
        <w:tc>
          <w:tcPr>
            <w:tcW w:type="dxa" w:w="1322"/>
            <w:vAlign w:val="center"/>
            <w:tcMar>
              <w:top w:w="70" w:type="dxa"/>
              <w:start w:w="80" w:type="dxa"/>
              <w:bottom w:w="70" w:type="dxa"/>
              <w:end w:w="80" w:type="dxa"/>
            </w:tcMar>
            <w:shd w:fill="F7FAFD"/>
          </w:tcPr>
          <w:p>
            <w:pPr>
              <w:spacing w:after="0"/>
              <w:jc w:val="left"/>
            </w:pPr>
            <w:r>
              <w:rPr>
                <w:sz w:val="15"/>
              </w:rPr>
              <w:t>Hirotsu et al. (2024)</w:t>
            </w:r>
          </w:p>
        </w:tc>
        <w:tc>
          <w:tcPr>
            <w:tcW w:type="dxa" w:w="1322"/>
            <w:vAlign w:val="center"/>
            <w:tcMar>
              <w:top w:w="70" w:type="dxa"/>
              <w:start w:w="80" w:type="dxa"/>
              <w:bottom w:w="70" w:type="dxa"/>
              <w:end w:w="80" w:type="dxa"/>
            </w:tcMar>
            <w:shd w:fill="F7FAFD"/>
          </w:tcPr>
          <w:p>
            <w:pPr>
              <w:spacing w:after="0"/>
              <w:jc w:val="center"/>
            </w:pPr>
            <w:r>
              <w:rPr>
                <w:sz w:val="15"/>
              </w:rPr>
              <w:t>2024</w:t>
            </w:r>
          </w:p>
        </w:tc>
        <w:tc>
          <w:tcPr>
            <w:tcW w:type="dxa" w:w="1322"/>
            <w:vAlign w:val="center"/>
            <w:tcMar>
              <w:top w:w="70" w:type="dxa"/>
              <w:start w:w="80" w:type="dxa"/>
              <w:bottom w:w="70" w:type="dxa"/>
              <w:end w:w="80" w:type="dxa"/>
            </w:tcMar>
            <w:shd w:fill="F7FAFD"/>
          </w:tcPr>
          <w:p>
            <w:pPr>
              <w:spacing w:after="0"/>
              <w:jc w:val="left"/>
            </w:pPr>
            <w:r>
              <w:rPr>
                <w:sz w:val="15"/>
              </w:rPr>
              <w:t>IMA Journal of Management Mathematics, 35(3), 503–535</w:t>
            </w:r>
          </w:p>
        </w:tc>
        <w:tc>
          <w:tcPr>
            <w:tcW w:type="dxa" w:w="1322"/>
            <w:vAlign w:val="center"/>
            <w:tcMar>
              <w:top w:w="70" w:type="dxa"/>
              <w:start w:w="80" w:type="dxa"/>
              <w:bottom w:w="70" w:type="dxa"/>
              <w:end w:w="80" w:type="dxa"/>
            </w:tcMar>
            <w:shd w:fill="F7FAFD"/>
          </w:tcPr>
          <w:p>
            <w:pPr>
              <w:spacing w:after="0"/>
              <w:jc w:val="left"/>
            </w:pPr>
            <w:r>
              <w:rPr>
                <w:sz w:val="15"/>
              </w:rPr>
              <w:t>Association football</w:t>
            </w:r>
          </w:p>
        </w:tc>
        <w:tc>
          <w:tcPr>
            <w:tcW w:type="dxa" w:w="1322"/>
            <w:vAlign w:val="center"/>
            <w:tcMar>
              <w:top w:w="70" w:type="dxa"/>
              <w:start w:w="80" w:type="dxa"/>
              <w:bottom w:w="70" w:type="dxa"/>
              <w:end w:w="80" w:type="dxa"/>
            </w:tcMar>
            <w:shd w:fill="F7FAFD"/>
          </w:tcPr>
          <w:p>
            <w:pPr>
              <w:spacing w:after="0"/>
              <w:jc w:val="left"/>
            </w:pPr>
            <w:r>
              <w:rPr>
                <w:sz w:val="15"/>
              </w:rPr>
              <w:t>Japan</w:t>
            </w:r>
          </w:p>
        </w:tc>
        <w:tc>
          <w:tcPr>
            <w:tcW w:type="dxa" w:w="1322"/>
            <w:vAlign w:val="center"/>
            <w:tcMar>
              <w:top w:w="70" w:type="dxa"/>
              <w:start w:w="80" w:type="dxa"/>
              <w:bottom w:w="70" w:type="dxa"/>
              <w:end w:w="80" w:type="dxa"/>
            </w:tcMar>
            <w:shd w:fill="F7FAFD"/>
          </w:tcPr>
          <w:p>
            <w:pPr>
              <w:spacing w:after="0"/>
              <w:jc w:val="left"/>
            </w:pPr>
            <w:r>
              <w:rPr>
                <w:sz w:val="15"/>
              </w:rPr>
              <w:t>Model tactical change and adaptation during football matches using a Markov game framework.</w:t>
            </w:r>
          </w:p>
        </w:tc>
        <w:tc>
          <w:tcPr>
            <w:tcW w:type="dxa" w:w="1322"/>
            <w:vAlign w:val="center"/>
            <w:tcMar>
              <w:top w:w="70" w:type="dxa"/>
              <w:start w:w="80" w:type="dxa"/>
              <w:bottom w:w="70" w:type="dxa"/>
              <w:end w:w="80" w:type="dxa"/>
            </w:tcMar>
            <w:shd w:fill="F7FAFD"/>
          </w:tcPr>
          <w:p>
            <w:pPr>
              <w:spacing w:after="0"/>
              <w:jc w:val="left"/>
            </w:pPr>
            <w:r>
              <w:rPr>
                <w:sz w:val="15"/>
              </w:rPr>
              <w:t>Research article</w:t>
            </w:r>
          </w:p>
        </w:tc>
        <w:tc>
          <w:tcPr>
            <w:tcW w:type="dxa" w:w="1322"/>
            <w:vAlign w:val="center"/>
            <w:tcMar>
              <w:top w:w="70" w:type="dxa"/>
              <w:start w:w="80" w:type="dxa"/>
              <w:bottom w:w="70" w:type="dxa"/>
              <w:end w:w="80" w:type="dxa"/>
            </w:tcMar>
            <w:shd w:fill="F7FAFD"/>
          </w:tcPr>
          <w:p>
            <w:pPr>
              <w:spacing w:after="0"/>
              <w:jc w:val="left"/>
            </w:pPr>
            <w:r>
              <w:rPr>
                <w:sz w:val="15"/>
              </w:rPr>
              <w:t>Provides a formal decision-modelling perspective on tactical adaptation. Useful for connecting football tactics research to sequential decision-making.</w:t>
            </w:r>
          </w:p>
        </w:tc>
        <w:tc>
          <w:tcPr>
            <w:tcW w:type="dxa" w:w="1322"/>
            <w:vAlign w:val="center"/>
            <w:tcMar>
              <w:top w:w="70" w:type="dxa"/>
              <w:start w:w="80" w:type="dxa"/>
              <w:bottom w:w="70" w:type="dxa"/>
              <w:end w:w="80" w:type="dxa"/>
            </w:tcMar>
            <w:shd w:fill="F7FAFD"/>
          </w:tcPr>
          <w:p>
            <w:pPr>
              <w:spacing w:after="0"/>
              <w:jc w:val="left"/>
            </w:pPr>
            <w:r>
              <w:rPr>
                <w:color w:val="1E59A3"/>
                <w:sz w:val="15"/>
              </w:rPr>
              <w:t>https://doi.org/10.1093/imaman/dpae002</w:t>
            </w:r>
          </w:p>
        </w:tc>
        <w:tc>
          <w:tcPr>
            <w:tcW w:type="dxa" w:w="1322"/>
            <w:vAlign w:val="center"/>
            <w:tcMar>
              <w:top w:w="70" w:type="dxa"/>
              <w:start w:w="80" w:type="dxa"/>
              <w:bottom w:w="70" w:type="dxa"/>
              <w:end w:w="80" w:type="dxa"/>
            </w:tcMar>
            <w:shd w:fill="F7FAFD"/>
          </w:tcPr>
          <w:p>
            <w:pPr>
              <w:spacing w:after="0"/>
              <w:jc w:val="left"/>
            </w:pPr>
            <w:r>
              <w:rPr>
                <w:color w:val="1E59A3"/>
                <w:sz w:val="15"/>
              </w:rPr>
              <w:t>10.1093/imaman/dpae002</w:t>
            </w:r>
          </w:p>
        </w:tc>
      </w:tr>
      <w:tr>
        <w:tc>
          <w:tcPr>
            <w:tcW w:type="dxa" w:w="1322"/>
            <w:vAlign w:val="center"/>
            <w:tcMar>
              <w:top w:w="70" w:type="dxa"/>
              <w:start w:w="80" w:type="dxa"/>
              <w:bottom w:w="70" w:type="dxa"/>
              <w:end w:w="80" w:type="dxa"/>
            </w:tcMar>
          </w:tcPr>
          <w:p>
            <w:pPr>
              <w:spacing w:after="0"/>
              <w:jc w:val="left"/>
            </w:pPr>
            <w:r>
              <w:rPr>
                <w:sz w:val="15"/>
              </w:rPr>
              <w:t>Plus-Minus Models for Evaluating and Scouting Soccer Players Using Possession Sequences</w:t>
            </w:r>
          </w:p>
        </w:tc>
        <w:tc>
          <w:tcPr>
            <w:tcW w:type="dxa" w:w="1322"/>
            <w:vAlign w:val="center"/>
            <w:tcMar>
              <w:top w:w="70" w:type="dxa"/>
              <w:start w:w="80" w:type="dxa"/>
              <w:bottom w:w="70" w:type="dxa"/>
              <w:end w:w="80" w:type="dxa"/>
            </w:tcMar>
          </w:tcPr>
          <w:p>
            <w:pPr>
              <w:spacing w:after="0"/>
              <w:jc w:val="left"/>
            </w:pPr>
            <w:r>
              <w:rPr>
                <w:sz w:val="15"/>
              </w:rPr>
              <w:t>Bajons &amp; Hornik (2025)</w:t>
            </w:r>
          </w:p>
        </w:tc>
        <w:tc>
          <w:tcPr>
            <w:tcW w:type="dxa" w:w="1322"/>
            <w:vAlign w:val="center"/>
            <w:tcMar>
              <w:top w:w="70" w:type="dxa"/>
              <w:start w:w="80" w:type="dxa"/>
              <w:bottom w:w="70" w:type="dxa"/>
              <w:end w:w="80" w:type="dxa"/>
            </w:tcMar>
          </w:tcPr>
          <w:p>
            <w:pPr>
              <w:spacing w:after="0"/>
              <w:jc w:val="center"/>
            </w:pPr>
            <w:r>
              <w:rPr>
                <w:sz w:val="15"/>
              </w:rPr>
              <w:t>2025</w:t>
            </w:r>
          </w:p>
        </w:tc>
        <w:tc>
          <w:tcPr>
            <w:tcW w:type="dxa" w:w="1322"/>
            <w:vAlign w:val="center"/>
            <w:tcMar>
              <w:top w:w="70" w:type="dxa"/>
              <w:start w:w="80" w:type="dxa"/>
              <w:bottom w:w="70" w:type="dxa"/>
              <w:end w:w="80" w:type="dxa"/>
            </w:tcMar>
          </w:tcPr>
          <w:p>
            <w:pPr>
              <w:spacing w:after="0"/>
              <w:jc w:val="left"/>
            </w:pPr>
            <w:r>
              <w:rPr>
                <w:sz w:val="15"/>
              </w:rPr>
              <w:t>IMA Journal of Management Mathematics, 36(3), 593–614</w:t>
            </w:r>
          </w:p>
        </w:tc>
        <w:tc>
          <w:tcPr>
            <w:tcW w:type="dxa" w:w="1322"/>
            <w:vAlign w:val="center"/>
            <w:tcMar>
              <w:top w:w="70" w:type="dxa"/>
              <w:start w:w="80" w:type="dxa"/>
              <w:bottom w:w="70" w:type="dxa"/>
              <w:end w:w="80" w:type="dxa"/>
            </w:tcMar>
          </w:tcPr>
          <w:p>
            <w:pPr>
              <w:spacing w:after="0"/>
              <w:jc w:val="left"/>
            </w:pPr>
            <w:r>
              <w:rPr>
                <w:sz w:val="15"/>
              </w:rPr>
              <w:t>Association football</w:t>
            </w:r>
          </w:p>
        </w:tc>
        <w:tc>
          <w:tcPr>
            <w:tcW w:type="dxa" w:w="1322"/>
            <w:vAlign w:val="center"/>
            <w:tcMar>
              <w:top w:w="70" w:type="dxa"/>
              <w:start w:w="80" w:type="dxa"/>
              <w:bottom w:w="70" w:type="dxa"/>
              <w:end w:w="80" w:type="dxa"/>
            </w:tcMar>
          </w:tcPr>
          <w:p>
            <w:pPr>
              <w:spacing w:after="0"/>
              <w:jc w:val="left"/>
            </w:pPr>
            <w:r>
              <w:rPr>
                <w:sz w:val="15"/>
              </w:rPr>
              <w:t>Austria</w:t>
            </w:r>
          </w:p>
        </w:tc>
        <w:tc>
          <w:tcPr>
            <w:tcW w:type="dxa" w:w="1322"/>
            <w:vAlign w:val="center"/>
            <w:tcMar>
              <w:top w:w="70" w:type="dxa"/>
              <w:start w:w="80" w:type="dxa"/>
              <w:bottom w:w="70" w:type="dxa"/>
              <w:end w:w="80" w:type="dxa"/>
            </w:tcMar>
          </w:tcPr>
          <w:p>
            <w:pPr>
              <w:spacing w:after="0"/>
              <w:jc w:val="left"/>
            </w:pPr>
            <w:r>
              <w:rPr>
                <w:sz w:val="15"/>
              </w:rPr>
              <w:t>Evaluate players using possession-sequence-based plus-minus models.</w:t>
            </w:r>
          </w:p>
        </w:tc>
        <w:tc>
          <w:tcPr>
            <w:tcW w:type="dxa" w:w="1322"/>
            <w:vAlign w:val="center"/>
            <w:tcMar>
              <w:top w:w="70" w:type="dxa"/>
              <w:start w:w="80" w:type="dxa"/>
              <w:bottom w:w="70" w:type="dxa"/>
              <w:end w:w="80" w:type="dxa"/>
            </w:tcMar>
          </w:tcPr>
          <w:p>
            <w:pPr>
              <w:spacing w:after="0"/>
              <w:jc w:val="left"/>
            </w:pPr>
            <w:r>
              <w:rPr>
                <w:sz w:val="15"/>
              </w:rPr>
              <w:t>Research article</w:t>
            </w:r>
          </w:p>
        </w:tc>
        <w:tc>
          <w:tcPr>
            <w:tcW w:type="dxa" w:w="1322"/>
            <w:vAlign w:val="center"/>
            <w:tcMar>
              <w:top w:w="70" w:type="dxa"/>
              <w:start w:w="80" w:type="dxa"/>
              <w:bottom w:w="70" w:type="dxa"/>
              <w:end w:w="80" w:type="dxa"/>
            </w:tcMar>
          </w:tcPr>
          <w:p>
            <w:pPr>
              <w:spacing w:after="0"/>
              <w:jc w:val="left"/>
            </w:pPr>
            <w:r>
              <w:rPr>
                <w:sz w:val="15"/>
              </w:rPr>
              <w:t>Offers interpretable possession-based player evaluation for scouting and analysis. Useful for showing alternatives to raw event counts or goals-only metrics.</w:t>
            </w:r>
          </w:p>
        </w:tc>
        <w:tc>
          <w:tcPr>
            <w:tcW w:type="dxa" w:w="1322"/>
            <w:vAlign w:val="center"/>
            <w:tcMar>
              <w:top w:w="70" w:type="dxa"/>
              <w:start w:w="80" w:type="dxa"/>
              <w:bottom w:w="70" w:type="dxa"/>
              <w:end w:w="80" w:type="dxa"/>
            </w:tcMar>
          </w:tcPr>
          <w:p>
            <w:pPr>
              <w:spacing w:after="0"/>
              <w:jc w:val="left"/>
            </w:pPr>
            <w:r>
              <w:rPr>
                <w:color w:val="1E59A3"/>
                <w:sz w:val="15"/>
              </w:rPr>
              <w:t>https://doi.org/10.1093/imaman/dpaf017</w:t>
            </w:r>
          </w:p>
        </w:tc>
        <w:tc>
          <w:tcPr>
            <w:tcW w:type="dxa" w:w="1322"/>
            <w:vAlign w:val="center"/>
            <w:tcMar>
              <w:top w:w="70" w:type="dxa"/>
              <w:start w:w="80" w:type="dxa"/>
              <w:bottom w:w="70" w:type="dxa"/>
              <w:end w:w="80" w:type="dxa"/>
            </w:tcMar>
          </w:tcPr>
          <w:p>
            <w:pPr>
              <w:spacing w:after="0"/>
              <w:jc w:val="left"/>
            </w:pPr>
            <w:r>
              <w:rPr>
                <w:color w:val="1E59A3"/>
                <w:sz w:val="15"/>
              </w:rPr>
              <w:t>10.1093/imaman/dpaf017</w:t>
            </w:r>
          </w:p>
        </w:tc>
      </w:tr>
      <w:tr>
        <w:tc>
          <w:tcPr>
            <w:tcW w:type="dxa" w:w="1322"/>
            <w:vAlign w:val="center"/>
            <w:tcMar>
              <w:top w:w="70" w:type="dxa"/>
              <w:start w:w="80" w:type="dxa"/>
              <w:bottom w:w="70" w:type="dxa"/>
              <w:end w:w="80" w:type="dxa"/>
            </w:tcMar>
            <w:shd w:fill="F7FAFD"/>
          </w:tcPr>
          <w:p>
            <w:pPr>
              <w:spacing w:after="0"/>
              <w:jc w:val="left"/>
            </w:pPr>
            <w:r>
              <w:rPr>
                <w:sz w:val="15"/>
              </w:rPr>
              <w:t>Beyond xG: A Dual Prediction Model for Analyzing Player Performance Through Expected and Actual Goals in European Soccer Leagues</w:t>
            </w:r>
          </w:p>
        </w:tc>
        <w:tc>
          <w:tcPr>
            <w:tcW w:type="dxa" w:w="1322"/>
            <w:vAlign w:val="center"/>
            <w:tcMar>
              <w:top w:w="70" w:type="dxa"/>
              <w:start w:w="80" w:type="dxa"/>
              <w:bottom w:w="70" w:type="dxa"/>
              <w:end w:w="80" w:type="dxa"/>
            </w:tcMar>
            <w:shd w:fill="F7FAFD"/>
          </w:tcPr>
          <w:p>
            <w:pPr>
              <w:spacing w:after="0"/>
              <w:jc w:val="left"/>
            </w:pPr>
            <w:r>
              <w:rPr>
                <w:sz w:val="15"/>
              </w:rPr>
              <w:t>Malikov &amp; Kim (2024)</w:t>
            </w:r>
          </w:p>
        </w:tc>
        <w:tc>
          <w:tcPr>
            <w:tcW w:type="dxa" w:w="1322"/>
            <w:vAlign w:val="center"/>
            <w:tcMar>
              <w:top w:w="70" w:type="dxa"/>
              <w:start w:w="80" w:type="dxa"/>
              <w:bottom w:w="70" w:type="dxa"/>
              <w:end w:w="80" w:type="dxa"/>
            </w:tcMar>
            <w:shd w:fill="F7FAFD"/>
          </w:tcPr>
          <w:p>
            <w:pPr>
              <w:spacing w:after="0"/>
              <w:jc w:val="center"/>
            </w:pPr>
            <w:r>
              <w:rPr>
                <w:sz w:val="15"/>
              </w:rPr>
              <w:t>2024</w:t>
            </w:r>
          </w:p>
        </w:tc>
        <w:tc>
          <w:tcPr>
            <w:tcW w:type="dxa" w:w="1322"/>
            <w:vAlign w:val="center"/>
            <w:tcMar>
              <w:top w:w="70" w:type="dxa"/>
              <w:start w:w="80" w:type="dxa"/>
              <w:bottom w:w="70" w:type="dxa"/>
              <w:end w:w="80" w:type="dxa"/>
            </w:tcMar>
            <w:shd w:fill="F7FAFD"/>
          </w:tcPr>
          <w:p>
            <w:pPr>
              <w:spacing w:after="0"/>
              <w:jc w:val="left"/>
            </w:pPr>
            <w:r>
              <w:rPr>
                <w:sz w:val="15"/>
              </w:rPr>
              <w:t>Applied Sciences, 14(22), 10390</w:t>
            </w:r>
          </w:p>
        </w:tc>
        <w:tc>
          <w:tcPr>
            <w:tcW w:type="dxa" w:w="1322"/>
            <w:vAlign w:val="center"/>
            <w:tcMar>
              <w:top w:w="70" w:type="dxa"/>
              <w:start w:w="80" w:type="dxa"/>
              <w:bottom w:w="70" w:type="dxa"/>
              <w:end w:w="80" w:type="dxa"/>
            </w:tcMar>
            <w:shd w:fill="F7FAFD"/>
          </w:tcPr>
          <w:p>
            <w:pPr>
              <w:spacing w:after="0"/>
              <w:jc w:val="left"/>
            </w:pPr>
            <w:r>
              <w:rPr>
                <w:sz w:val="15"/>
              </w:rPr>
              <w:t>Association football</w:t>
            </w:r>
          </w:p>
        </w:tc>
        <w:tc>
          <w:tcPr>
            <w:tcW w:type="dxa" w:w="1322"/>
            <w:vAlign w:val="center"/>
            <w:tcMar>
              <w:top w:w="70" w:type="dxa"/>
              <w:start w:w="80" w:type="dxa"/>
              <w:bottom w:w="70" w:type="dxa"/>
              <w:end w:w="80" w:type="dxa"/>
            </w:tcMar>
            <w:shd w:fill="F7FAFD"/>
          </w:tcPr>
          <w:p>
            <w:pPr>
              <w:spacing w:after="0"/>
              <w:jc w:val="left"/>
            </w:pPr>
            <w:r>
              <w:rPr>
                <w:sz w:val="15"/>
              </w:rPr>
            </w:r>
          </w:p>
        </w:tc>
        <w:tc>
          <w:tcPr>
            <w:tcW w:type="dxa" w:w="1322"/>
            <w:vAlign w:val="center"/>
            <w:tcMar>
              <w:top w:w="70" w:type="dxa"/>
              <w:start w:w="80" w:type="dxa"/>
              <w:bottom w:w="70" w:type="dxa"/>
              <w:end w:w="80" w:type="dxa"/>
            </w:tcMar>
            <w:shd w:fill="F7FAFD"/>
          </w:tcPr>
          <w:p>
            <w:pPr>
              <w:spacing w:after="0"/>
              <w:jc w:val="left"/>
            </w:pPr>
            <w:r>
              <w:rPr>
                <w:sz w:val="15"/>
              </w:rPr>
              <w:t>Combine expected and actual goals to analyse player performance.</w:t>
            </w:r>
          </w:p>
        </w:tc>
        <w:tc>
          <w:tcPr>
            <w:tcW w:type="dxa" w:w="1322"/>
            <w:vAlign w:val="center"/>
            <w:tcMar>
              <w:top w:w="70" w:type="dxa"/>
              <w:start w:w="80" w:type="dxa"/>
              <w:bottom w:w="70" w:type="dxa"/>
              <w:end w:w="80" w:type="dxa"/>
            </w:tcMar>
            <w:shd w:fill="F7FAFD"/>
          </w:tcPr>
          <w:p>
            <w:pPr>
              <w:spacing w:after="0"/>
              <w:jc w:val="left"/>
            </w:pPr>
            <w:r>
              <w:rPr>
                <w:sz w:val="15"/>
              </w:rPr>
              <w:t>Research article</w:t>
            </w:r>
          </w:p>
        </w:tc>
        <w:tc>
          <w:tcPr>
            <w:tcW w:type="dxa" w:w="1322"/>
            <w:vAlign w:val="center"/>
            <w:tcMar>
              <w:top w:w="70" w:type="dxa"/>
              <w:start w:w="80" w:type="dxa"/>
              <w:bottom w:w="70" w:type="dxa"/>
              <w:end w:w="80" w:type="dxa"/>
            </w:tcMar>
            <w:shd w:fill="F7FAFD"/>
          </w:tcPr>
          <w:p>
            <w:pPr>
              <w:spacing w:after="0"/>
              <w:jc w:val="left"/>
            </w:pPr>
            <w:r>
              <w:rPr>
                <w:sz w:val="15"/>
              </w:rPr>
              <w:t>Moves beyond conventional xG by jointly modelling expected and realized outcomes. Relevant for richer player-performance interpretation in football analytics.</w:t>
            </w:r>
          </w:p>
        </w:tc>
        <w:tc>
          <w:tcPr>
            <w:tcW w:type="dxa" w:w="1322"/>
            <w:vAlign w:val="center"/>
            <w:tcMar>
              <w:top w:w="70" w:type="dxa"/>
              <w:start w:w="80" w:type="dxa"/>
              <w:bottom w:w="70" w:type="dxa"/>
              <w:end w:w="80" w:type="dxa"/>
            </w:tcMar>
            <w:shd w:fill="F7FAFD"/>
          </w:tcPr>
          <w:p>
            <w:pPr>
              <w:spacing w:after="0"/>
              <w:jc w:val="left"/>
            </w:pPr>
            <w:r>
              <w:rPr>
                <w:color w:val="1E59A3"/>
                <w:sz w:val="15"/>
              </w:rPr>
              <w:t>https://doi.org/10.3390/app142210390</w:t>
            </w:r>
          </w:p>
        </w:tc>
        <w:tc>
          <w:tcPr>
            <w:tcW w:type="dxa" w:w="1322"/>
            <w:vAlign w:val="center"/>
            <w:tcMar>
              <w:top w:w="70" w:type="dxa"/>
              <w:start w:w="80" w:type="dxa"/>
              <w:bottom w:w="70" w:type="dxa"/>
              <w:end w:w="80" w:type="dxa"/>
            </w:tcMar>
            <w:shd w:fill="F7FAFD"/>
          </w:tcPr>
          <w:p>
            <w:pPr>
              <w:spacing w:after="0"/>
              <w:jc w:val="left"/>
            </w:pPr>
            <w:r>
              <w:rPr>
                <w:color w:val="1E59A3"/>
                <w:sz w:val="15"/>
              </w:rPr>
              <w:t>10.3390/app142210390</w:t>
            </w:r>
          </w:p>
        </w:tc>
      </w:tr>
      <w:tr>
        <w:tc>
          <w:tcPr>
            <w:tcW w:type="dxa" w:w="1322"/>
            <w:vAlign w:val="center"/>
            <w:tcMar>
              <w:top w:w="70" w:type="dxa"/>
              <w:start w:w="80" w:type="dxa"/>
              <w:bottom w:w="70" w:type="dxa"/>
              <w:end w:w="80" w:type="dxa"/>
            </w:tcMar>
          </w:tcPr>
          <w:p>
            <w:pPr>
              <w:spacing w:after="0"/>
              <w:jc w:val="left"/>
            </w:pPr>
            <w:r>
              <w:rPr>
                <w:sz w:val="15"/>
              </w:rPr>
              <w:t>Diverse Machine Learning for Forecasting Goal-Scoring Likelihood in Elite Football Leagues</w:t>
            </w:r>
          </w:p>
        </w:tc>
        <w:tc>
          <w:tcPr>
            <w:tcW w:type="dxa" w:w="1322"/>
            <w:vAlign w:val="center"/>
            <w:tcMar>
              <w:top w:w="70" w:type="dxa"/>
              <w:start w:w="80" w:type="dxa"/>
              <w:bottom w:w="70" w:type="dxa"/>
              <w:end w:w="80" w:type="dxa"/>
            </w:tcMar>
          </w:tcPr>
          <w:p>
            <w:pPr>
              <w:spacing w:after="0"/>
              <w:jc w:val="left"/>
            </w:pPr>
            <w:r>
              <w:rPr>
                <w:sz w:val="15"/>
              </w:rPr>
              <w:t>Markopoulou et al. (2024)</w:t>
            </w:r>
          </w:p>
        </w:tc>
        <w:tc>
          <w:tcPr>
            <w:tcW w:type="dxa" w:w="1322"/>
            <w:vAlign w:val="center"/>
            <w:tcMar>
              <w:top w:w="70" w:type="dxa"/>
              <w:start w:w="80" w:type="dxa"/>
              <w:bottom w:w="70" w:type="dxa"/>
              <w:end w:w="80" w:type="dxa"/>
            </w:tcMar>
          </w:tcPr>
          <w:p>
            <w:pPr>
              <w:spacing w:after="0"/>
              <w:jc w:val="center"/>
            </w:pPr>
            <w:r>
              <w:rPr>
                <w:sz w:val="15"/>
              </w:rPr>
              <w:t>2024</w:t>
            </w:r>
          </w:p>
        </w:tc>
        <w:tc>
          <w:tcPr>
            <w:tcW w:type="dxa" w:w="1322"/>
            <w:vAlign w:val="center"/>
            <w:tcMar>
              <w:top w:w="70" w:type="dxa"/>
              <w:start w:w="80" w:type="dxa"/>
              <w:bottom w:w="70" w:type="dxa"/>
              <w:end w:w="80" w:type="dxa"/>
            </w:tcMar>
          </w:tcPr>
          <w:p>
            <w:pPr>
              <w:spacing w:after="0"/>
              <w:jc w:val="left"/>
            </w:pPr>
            <w:r>
              <w:rPr>
                <w:sz w:val="15"/>
              </w:rPr>
              <w:t>Machine Learning and Knowledge Extraction, 6(3), 1762–1781</w:t>
            </w:r>
          </w:p>
        </w:tc>
        <w:tc>
          <w:tcPr>
            <w:tcW w:type="dxa" w:w="1322"/>
            <w:vAlign w:val="center"/>
            <w:tcMar>
              <w:top w:w="70" w:type="dxa"/>
              <w:start w:w="80" w:type="dxa"/>
              <w:bottom w:w="70" w:type="dxa"/>
              <w:end w:w="80" w:type="dxa"/>
            </w:tcMar>
          </w:tcPr>
          <w:p>
            <w:pPr>
              <w:spacing w:after="0"/>
              <w:jc w:val="left"/>
            </w:pPr>
            <w:r>
              <w:rPr>
                <w:sz w:val="15"/>
              </w:rPr>
              <w:t>Association football</w:t>
            </w:r>
          </w:p>
        </w:tc>
        <w:tc>
          <w:tcPr>
            <w:tcW w:type="dxa" w:w="1322"/>
            <w:vAlign w:val="center"/>
            <w:tcMar>
              <w:top w:w="70" w:type="dxa"/>
              <w:start w:w="80" w:type="dxa"/>
              <w:bottom w:w="70" w:type="dxa"/>
              <w:end w:w="80" w:type="dxa"/>
            </w:tcMar>
          </w:tcPr>
          <w:p>
            <w:pPr>
              <w:spacing w:after="0"/>
              <w:jc w:val="left"/>
            </w:pPr>
            <w:r>
              <w:rPr>
                <w:sz w:val="15"/>
              </w:rPr>
              <w:t>Greece</w:t>
            </w:r>
          </w:p>
        </w:tc>
        <w:tc>
          <w:tcPr>
            <w:tcW w:type="dxa" w:w="1322"/>
            <w:vAlign w:val="center"/>
            <w:tcMar>
              <w:top w:w="70" w:type="dxa"/>
              <w:start w:w="80" w:type="dxa"/>
              <w:bottom w:w="70" w:type="dxa"/>
              <w:end w:w="80" w:type="dxa"/>
            </w:tcMar>
          </w:tcPr>
          <w:p>
            <w:pPr>
              <w:spacing w:after="0"/>
              <w:jc w:val="left"/>
            </w:pPr>
            <w:r>
              <w:rPr>
                <w:sz w:val="15"/>
              </w:rPr>
              <w:t>Forecast goal-scoring likelihood using a range of machine-learning approaches.</w:t>
            </w:r>
          </w:p>
        </w:tc>
        <w:tc>
          <w:tcPr>
            <w:tcW w:type="dxa" w:w="1322"/>
            <w:vAlign w:val="center"/>
            <w:tcMar>
              <w:top w:w="70" w:type="dxa"/>
              <w:start w:w="80" w:type="dxa"/>
              <w:bottom w:w="70" w:type="dxa"/>
              <w:end w:w="80" w:type="dxa"/>
            </w:tcMar>
          </w:tcPr>
          <w:p>
            <w:pPr>
              <w:spacing w:after="0"/>
              <w:jc w:val="left"/>
            </w:pPr>
            <w:r>
              <w:rPr>
                <w:sz w:val="15"/>
              </w:rPr>
              <w:t>Research article</w:t>
            </w:r>
          </w:p>
        </w:tc>
        <w:tc>
          <w:tcPr>
            <w:tcW w:type="dxa" w:w="1322"/>
            <w:vAlign w:val="center"/>
            <w:tcMar>
              <w:top w:w="70" w:type="dxa"/>
              <w:start w:w="80" w:type="dxa"/>
              <w:bottom w:w="70" w:type="dxa"/>
              <w:end w:w="80" w:type="dxa"/>
            </w:tcMar>
          </w:tcPr>
          <w:p>
            <w:pPr>
              <w:spacing w:after="0"/>
              <w:jc w:val="left"/>
            </w:pPr>
            <w:r>
              <w:rPr>
                <w:sz w:val="15"/>
              </w:rPr>
              <w:t>Compares diverse ML methods for goal-likelihood prediction in elite leagues. Useful as evidence of current predictive modelling practice in football.</w:t>
            </w:r>
          </w:p>
        </w:tc>
        <w:tc>
          <w:tcPr>
            <w:tcW w:type="dxa" w:w="1322"/>
            <w:vAlign w:val="center"/>
            <w:tcMar>
              <w:top w:w="70" w:type="dxa"/>
              <w:start w:w="80" w:type="dxa"/>
              <w:bottom w:w="70" w:type="dxa"/>
              <w:end w:w="80" w:type="dxa"/>
            </w:tcMar>
          </w:tcPr>
          <w:p>
            <w:pPr>
              <w:spacing w:after="0"/>
              <w:jc w:val="left"/>
            </w:pPr>
            <w:r>
              <w:rPr>
                <w:color w:val="1E59A3"/>
                <w:sz w:val="15"/>
              </w:rPr>
              <w:t>https://doi.org/10.3390/make6030086</w:t>
            </w:r>
          </w:p>
        </w:tc>
        <w:tc>
          <w:tcPr>
            <w:tcW w:type="dxa" w:w="1322"/>
            <w:vAlign w:val="center"/>
            <w:tcMar>
              <w:top w:w="70" w:type="dxa"/>
              <w:start w:w="80" w:type="dxa"/>
              <w:bottom w:w="70" w:type="dxa"/>
              <w:end w:w="80" w:type="dxa"/>
            </w:tcMar>
          </w:tcPr>
          <w:p>
            <w:pPr>
              <w:spacing w:after="0"/>
              <w:jc w:val="left"/>
            </w:pPr>
            <w:r>
              <w:rPr>
                <w:color w:val="1E59A3"/>
                <w:sz w:val="15"/>
              </w:rPr>
              <w:t>10.3390/make6030086</w:t>
            </w:r>
          </w:p>
        </w:tc>
      </w:tr>
      <w:tr>
        <w:tc>
          <w:tcPr>
            <w:tcW w:type="dxa" w:w="1322"/>
            <w:vAlign w:val="center"/>
            <w:tcMar>
              <w:top w:w="70" w:type="dxa"/>
              <w:start w:w="80" w:type="dxa"/>
              <w:bottom w:w="70" w:type="dxa"/>
              <w:end w:w="80" w:type="dxa"/>
            </w:tcMar>
            <w:shd w:fill="F7FAFD"/>
          </w:tcPr>
          <w:p>
            <w:pPr>
              <w:spacing w:after="0"/>
              <w:jc w:val="left"/>
            </w:pPr>
            <w:r>
              <w:rPr>
                <w:sz w:val="15"/>
              </w:rPr>
              <w:t>Characteristics and Perceived Suitability of Artificial Intelligence-Driven Sports Coaches: A Pilot Study on Psychological and Perceptual Factors</w:t>
            </w:r>
          </w:p>
        </w:tc>
        <w:tc>
          <w:tcPr>
            <w:tcW w:type="dxa" w:w="1322"/>
            <w:vAlign w:val="center"/>
            <w:tcMar>
              <w:top w:w="70" w:type="dxa"/>
              <w:start w:w="80" w:type="dxa"/>
              <w:bottom w:w="70" w:type="dxa"/>
              <w:end w:w="80" w:type="dxa"/>
            </w:tcMar>
            <w:shd w:fill="F7FAFD"/>
          </w:tcPr>
          <w:p>
            <w:pPr>
              <w:spacing w:after="0"/>
              <w:jc w:val="left"/>
            </w:pPr>
            <w:r>
              <w:rPr>
                <w:sz w:val="15"/>
              </w:rPr>
              <w:t>Dindorf et al. (2025)</w:t>
            </w:r>
          </w:p>
        </w:tc>
        <w:tc>
          <w:tcPr>
            <w:tcW w:type="dxa" w:w="1322"/>
            <w:vAlign w:val="center"/>
            <w:tcMar>
              <w:top w:w="70" w:type="dxa"/>
              <w:start w:w="80" w:type="dxa"/>
              <w:bottom w:w="70" w:type="dxa"/>
              <w:end w:w="80" w:type="dxa"/>
            </w:tcMar>
            <w:shd w:fill="F7FAFD"/>
          </w:tcPr>
          <w:p>
            <w:pPr>
              <w:spacing w:after="0"/>
              <w:jc w:val="center"/>
            </w:pPr>
            <w:r>
              <w:rPr>
                <w:sz w:val="15"/>
              </w:rPr>
              <w:t>2025</w:t>
            </w:r>
          </w:p>
        </w:tc>
        <w:tc>
          <w:tcPr>
            <w:tcW w:type="dxa" w:w="1322"/>
            <w:vAlign w:val="center"/>
            <w:tcMar>
              <w:top w:w="70" w:type="dxa"/>
              <w:start w:w="80" w:type="dxa"/>
              <w:bottom w:w="70" w:type="dxa"/>
              <w:end w:w="80" w:type="dxa"/>
            </w:tcMar>
            <w:shd w:fill="F7FAFD"/>
          </w:tcPr>
          <w:p>
            <w:pPr>
              <w:spacing w:after="0"/>
              <w:jc w:val="left"/>
            </w:pPr>
            <w:r>
              <w:rPr>
                <w:sz w:val="15"/>
              </w:rPr>
              <w:t>Frontiers in Sports and Active Living, 7, Article 1548980</w:t>
            </w:r>
          </w:p>
        </w:tc>
        <w:tc>
          <w:tcPr>
            <w:tcW w:type="dxa" w:w="1322"/>
            <w:vAlign w:val="center"/>
            <w:tcMar>
              <w:top w:w="70" w:type="dxa"/>
              <w:start w:w="80" w:type="dxa"/>
              <w:bottom w:w="70" w:type="dxa"/>
              <w:end w:w="80" w:type="dxa"/>
            </w:tcMar>
            <w:shd w:fill="F7FAFD"/>
          </w:tcPr>
          <w:p>
            <w:pPr>
              <w:spacing w:after="0"/>
              <w:jc w:val="left"/>
            </w:pPr>
            <w:r>
              <w:rPr>
                <w:sz w:val="15"/>
              </w:rPr>
              <w:t>Sports coaching / AI adoption</w:t>
            </w:r>
          </w:p>
        </w:tc>
        <w:tc>
          <w:tcPr>
            <w:tcW w:type="dxa" w:w="1322"/>
            <w:vAlign w:val="center"/>
            <w:tcMar>
              <w:top w:w="70" w:type="dxa"/>
              <w:start w:w="80" w:type="dxa"/>
              <w:bottom w:w="70" w:type="dxa"/>
              <w:end w:w="80" w:type="dxa"/>
            </w:tcMar>
            <w:shd w:fill="F7FAFD"/>
          </w:tcPr>
          <w:p>
            <w:pPr>
              <w:spacing w:after="0"/>
              <w:jc w:val="left"/>
            </w:pPr>
            <w:r>
              <w:rPr>
                <w:sz w:val="15"/>
              </w:rPr>
              <w:t>Germany</w:t>
            </w:r>
          </w:p>
        </w:tc>
        <w:tc>
          <w:tcPr>
            <w:tcW w:type="dxa" w:w="1322"/>
            <w:vAlign w:val="center"/>
            <w:tcMar>
              <w:top w:w="70" w:type="dxa"/>
              <w:start w:w="80" w:type="dxa"/>
              <w:bottom w:w="70" w:type="dxa"/>
              <w:end w:w="80" w:type="dxa"/>
            </w:tcMar>
            <w:shd w:fill="F7FAFD"/>
          </w:tcPr>
          <w:p>
            <w:pPr>
              <w:spacing w:after="0"/>
              <w:jc w:val="left"/>
            </w:pPr>
            <w:r>
              <w:rPr>
                <w:sz w:val="15"/>
              </w:rPr>
              <w:t>Examine psychological and perceptual factors shaping the acceptance of AI-driven sports coaches.</w:t>
            </w:r>
          </w:p>
        </w:tc>
        <w:tc>
          <w:tcPr>
            <w:tcW w:type="dxa" w:w="1322"/>
            <w:vAlign w:val="center"/>
            <w:tcMar>
              <w:top w:w="70" w:type="dxa"/>
              <w:start w:w="80" w:type="dxa"/>
              <w:bottom w:w="70" w:type="dxa"/>
              <w:end w:w="80" w:type="dxa"/>
            </w:tcMar>
            <w:shd w:fill="F7FAFD"/>
          </w:tcPr>
          <w:p>
            <w:pPr>
              <w:spacing w:after="0"/>
              <w:jc w:val="left"/>
            </w:pPr>
            <w:r>
              <w:rPr>
                <w:sz w:val="15"/>
              </w:rPr>
              <w:t>Pilot study</w:t>
            </w:r>
          </w:p>
        </w:tc>
        <w:tc>
          <w:tcPr>
            <w:tcW w:type="dxa" w:w="1322"/>
            <w:vAlign w:val="center"/>
            <w:tcMar>
              <w:top w:w="70" w:type="dxa"/>
              <w:start w:w="80" w:type="dxa"/>
              <w:bottom w:w="70" w:type="dxa"/>
              <w:end w:w="80" w:type="dxa"/>
            </w:tcMar>
            <w:shd w:fill="F7FAFD"/>
          </w:tcPr>
          <w:p>
            <w:pPr>
              <w:spacing w:after="0"/>
              <w:jc w:val="left"/>
            </w:pPr>
            <w:r>
              <w:rPr>
                <w:sz w:val="15"/>
              </w:rPr>
              <w:t>Directly informs adoption and trust considerations for AI coaching systems. Helps justify human-centred design and explainable outputs.</w:t>
            </w:r>
          </w:p>
        </w:tc>
        <w:tc>
          <w:tcPr>
            <w:tcW w:type="dxa" w:w="1322"/>
            <w:vAlign w:val="center"/>
            <w:tcMar>
              <w:top w:w="70" w:type="dxa"/>
              <w:start w:w="80" w:type="dxa"/>
              <w:bottom w:w="70" w:type="dxa"/>
              <w:end w:w="80" w:type="dxa"/>
            </w:tcMar>
            <w:shd w:fill="F7FAFD"/>
          </w:tcPr>
          <w:p>
            <w:pPr>
              <w:spacing w:after="0"/>
              <w:jc w:val="left"/>
            </w:pPr>
            <w:r>
              <w:rPr>
                <w:color w:val="1E59A3"/>
                <w:sz w:val="15"/>
              </w:rPr>
              <w:t>https://doi.org/10.3389/fspor.2025.1548980</w:t>
            </w:r>
          </w:p>
        </w:tc>
        <w:tc>
          <w:tcPr>
            <w:tcW w:type="dxa" w:w="1322"/>
            <w:vAlign w:val="center"/>
            <w:tcMar>
              <w:top w:w="70" w:type="dxa"/>
              <w:start w:w="80" w:type="dxa"/>
              <w:bottom w:w="70" w:type="dxa"/>
              <w:end w:w="80" w:type="dxa"/>
            </w:tcMar>
            <w:shd w:fill="F7FAFD"/>
          </w:tcPr>
          <w:p>
            <w:pPr>
              <w:spacing w:after="0"/>
              <w:jc w:val="left"/>
            </w:pPr>
            <w:r>
              <w:rPr>
                <w:color w:val="1E59A3"/>
                <w:sz w:val="15"/>
              </w:rPr>
              <w:t>10.3389/fspor.2025.1548980</w:t>
            </w:r>
          </w:p>
        </w:tc>
      </w:tr>
      <w:tr>
        <w:tc>
          <w:tcPr>
            <w:tcW w:type="dxa" w:w="1322"/>
            <w:vAlign w:val="center"/>
            <w:tcMar>
              <w:top w:w="70" w:type="dxa"/>
              <w:start w:w="80" w:type="dxa"/>
              <w:bottom w:w="70" w:type="dxa"/>
              <w:end w:w="80" w:type="dxa"/>
            </w:tcMar>
          </w:tcPr>
          <w:p>
            <w:pPr>
              <w:spacing w:after="0"/>
              <w:jc w:val="left"/>
            </w:pPr>
            <w:r>
              <w:rPr>
                <w:sz w:val="15"/>
              </w:rPr>
              <w:t>Big Data Analytics Framework for Decision-Making in Sports Performance Optimization</w:t>
            </w:r>
          </w:p>
        </w:tc>
        <w:tc>
          <w:tcPr>
            <w:tcW w:type="dxa" w:w="1322"/>
            <w:vAlign w:val="center"/>
            <w:tcMar>
              <w:top w:w="70" w:type="dxa"/>
              <w:start w:w="80" w:type="dxa"/>
              <w:bottom w:w="70" w:type="dxa"/>
              <w:end w:w="80" w:type="dxa"/>
            </w:tcMar>
          </w:tcPr>
          <w:p>
            <w:pPr>
              <w:spacing w:after="0"/>
              <w:jc w:val="left"/>
            </w:pPr>
            <w:r>
              <w:rPr>
                <w:sz w:val="15"/>
              </w:rPr>
              <w:t>Mănescu (2025)</w:t>
            </w:r>
          </w:p>
        </w:tc>
        <w:tc>
          <w:tcPr>
            <w:tcW w:type="dxa" w:w="1322"/>
            <w:vAlign w:val="center"/>
            <w:tcMar>
              <w:top w:w="70" w:type="dxa"/>
              <w:start w:w="80" w:type="dxa"/>
              <w:bottom w:w="70" w:type="dxa"/>
              <w:end w:w="80" w:type="dxa"/>
            </w:tcMar>
          </w:tcPr>
          <w:p>
            <w:pPr>
              <w:spacing w:after="0"/>
              <w:jc w:val="center"/>
            </w:pPr>
            <w:r>
              <w:rPr>
                <w:sz w:val="15"/>
              </w:rPr>
              <w:t>2025</w:t>
            </w:r>
          </w:p>
        </w:tc>
        <w:tc>
          <w:tcPr>
            <w:tcW w:type="dxa" w:w="1322"/>
            <w:vAlign w:val="center"/>
            <w:tcMar>
              <w:top w:w="70" w:type="dxa"/>
              <w:start w:w="80" w:type="dxa"/>
              <w:bottom w:w="70" w:type="dxa"/>
              <w:end w:w="80" w:type="dxa"/>
            </w:tcMar>
          </w:tcPr>
          <w:p>
            <w:pPr>
              <w:spacing w:after="0"/>
              <w:jc w:val="left"/>
            </w:pPr>
            <w:r>
              <w:rPr>
                <w:sz w:val="15"/>
              </w:rPr>
              <w:t>Data, 10(7), 116</w:t>
            </w:r>
          </w:p>
        </w:tc>
        <w:tc>
          <w:tcPr>
            <w:tcW w:type="dxa" w:w="1322"/>
            <w:vAlign w:val="center"/>
            <w:tcMar>
              <w:top w:w="70" w:type="dxa"/>
              <w:start w:w="80" w:type="dxa"/>
              <w:bottom w:w="70" w:type="dxa"/>
              <w:end w:w="80" w:type="dxa"/>
            </w:tcMar>
          </w:tcPr>
          <w:p>
            <w:pPr>
              <w:spacing w:after="0"/>
              <w:jc w:val="left"/>
            </w:pPr>
            <w:r>
              <w:rPr>
                <w:sz w:val="15"/>
              </w:rPr>
              <w:t>Sports analytics</w:t>
            </w:r>
          </w:p>
        </w:tc>
        <w:tc>
          <w:tcPr>
            <w:tcW w:type="dxa" w:w="1322"/>
            <w:vAlign w:val="center"/>
            <w:tcMar>
              <w:top w:w="70" w:type="dxa"/>
              <w:start w:w="80" w:type="dxa"/>
              <w:bottom w:w="70" w:type="dxa"/>
              <w:end w:w="80" w:type="dxa"/>
            </w:tcMar>
          </w:tcPr>
          <w:p>
            <w:pPr>
              <w:spacing w:after="0"/>
              <w:jc w:val="left"/>
            </w:pPr>
            <w:r>
              <w:rPr>
                <w:sz w:val="15"/>
              </w:rPr>
              <w:t>Romania</w:t>
            </w:r>
          </w:p>
        </w:tc>
        <w:tc>
          <w:tcPr>
            <w:tcW w:type="dxa" w:w="1322"/>
            <w:vAlign w:val="center"/>
            <w:tcMar>
              <w:top w:w="70" w:type="dxa"/>
              <w:start w:w="80" w:type="dxa"/>
              <w:bottom w:w="70" w:type="dxa"/>
              <w:end w:w="80" w:type="dxa"/>
            </w:tcMar>
          </w:tcPr>
          <w:p>
            <w:pPr>
              <w:spacing w:after="0"/>
              <w:jc w:val="left"/>
            </w:pPr>
            <w:r>
              <w:rPr>
                <w:sz w:val="15"/>
              </w:rPr>
              <w:t>Present a big-data analytics framework for sports-performance decision-making.</w:t>
            </w:r>
          </w:p>
        </w:tc>
        <w:tc>
          <w:tcPr>
            <w:tcW w:type="dxa" w:w="1322"/>
            <w:vAlign w:val="center"/>
            <w:tcMar>
              <w:top w:w="70" w:type="dxa"/>
              <w:start w:w="80" w:type="dxa"/>
              <w:bottom w:w="70" w:type="dxa"/>
              <w:end w:w="80" w:type="dxa"/>
            </w:tcMar>
          </w:tcPr>
          <w:p>
            <w:pPr>
              <w:spacing w:after="0"/>
              <w:jc w:val="left"/>
            </w:pPr>
            <w:r>
              <w:rPr>
                <w:sz w:val="15"/>
              </w:rPr>
              <w:t>Research article</w:t>
            </w:r>
          </w:p>
        </w:tc>
        <w:tc>
          <w:tcPr>
            <w:tcW w:type="dxa" w:w="1322"/>
            <w:vAlign w:val="center"/>
            <w:tcMar>
              <w:top w:w="70" w:type="dxa"/>
              <w:start w:w="80" w:type="dxa"/>
              <w:bottom w:w="70" w:type="dxa"/>
              <w:end w:w="80" w:type="dxa"/>
            </w:tcMar>
          </w:tcPr>
          <w:p>
            <w:pPr>
              <w:spacing w:after="0"/>
              <w:jc w:val="left"/>
            </w:pPr>
            <w:r>
              <w:rPr>
                <w:sz w:val="15"/>
              </w:rPr>
              <w:t>Provides a broad decision-support framing for analytics in sport. Useful for positioning a football system as one instance of a wider performance-optimization architecture.</w:t>
            </w:r>
          </w:p>
        </w:tc>
        <w:tc>
          <w:tcPr>
            <w:tcW w:type="dxa" w:w="1322"/>
            <w:vAlign w:val="center"/>
            <w:tcMar>
              <w:top w:w="70" w:type="dxa"/>
              <w:start w:w="80" w:type="dxa"/>
              <w:bottom w:w="70" w:type="dxa"/>
              <w:end w:w="80" w:type="dxa"/>
            </w:tcMar>
          </w:tcPr>
          <w:p>
            <w:pPr>
              <w:spacing w:after="0"/>
              <w:jc w:val="left"/>
            </w:pPr>
            <w:r>
              <w:rPr>
                <w:color w:val="1E59A3"/>
                <w:sz w:val="15"/>
              </w:rPr>
              <w:t>https://doi.org/10.3390/data10070116</w:t>
            </w:r>
          </w:p>
        </w:tc>
        <w:tc>
          <w:tcPr>
            <w:tcW w:type="dxa" w:w="1322"/>
            <w:vAlign w:val="center"/>
            <w:tcMar>
              <w:top w:w="70" w:type="dxa"/>
              <w:start w:w="80" w:type="dxa"/>
              <w:bottom w:w="70" w:type="dxa"/>
              <w:end w:w="80" w:type="dxa"/>
            </w:tcMar>
          </w:tcPr>
          <w:p>
            <w:pPr>
              <w:spacing w:after="0"/>
              <w:jc w:val="left"/>
            </w:pPr>
            <w:r>
              <w:rPr>
                <w:color w:val="1E59A3"/>
                <w:sz w:val="15"/>
              </w:rPr>
              <w:t>10.3390/data10070116</w:t>
            </w:r>
          </w:p>
        </w:tc>
      </w:tr>
    </w:tbl>
    <w:p>
      <w:pPr>
        <w:sectPr>
          <w:pgSz w:w="15840" w:h="12240" w:orient="landscape"/>
          <w:pgMar w:top="648" w:right="648" w:bottom="648" w:left="648" w:header="720" w:footer="720" w:gutter="0"/>
          <w:cols w:space="720"/>
          <w:docGrid w:linePitch="360"/>
        </w:sectPr>
      </w:pPr>
    </w:p>
    <w:p>
      <w:r>
        <w:rPr>
          <w:b/>
          <w:color w:val="1F3864"/>
          <w:sz w:val="28"/>
        </w:rPr>
        <w:t>Section 2. APA 7-style reference list</w:t>
      </w:r>
    </w:p>
    <w:p>
      <w:r>
        <w:t>Entries are alphabetized by first author surname and use verified title, journal, year, and DOI metadata.</w:t>
      </w:r>
    </w:p>
    <w:p>
      <w:pPr>
        <w:spacing w:after="80"/>
        <w:ind w:left="0" w:hanging="504"/>
      </w:pPr>
      <w:r>
        <w:rPr>
          <w:sz w:val="20"/>
        </w:rPr>
        <w:t>Alves, R., Dias, G., Nunes, N. A., Querido, S. M., &amp; Vaz, V. (2025). Social Network Analysis in Football: A Systematic Review of Performance and Tactical Applications. *Frontiers in Psychology, 16, Article 1659603*. https://doi.org/10.3389/fpsyg.2025.1659603</w:t>
      </w:r>
    </w:p>
    <w:p>
      <w:pPr>
        <w:spacing w:after="80"/>
        <w:ind w:left="0" w:hanging="504"/>
      </w:pPr>
      <w:r>
        <w:rPr>
          <w:sz w:val="20"/>
        </w:rPr>
        <w:t>Andrienko, G., Andrienko, N., Fuchs, G., Jares, A., &amp; Buchin, K. (2021). Constructing Spaces and Times for Tactical Analysis in Football. *IEEE Transactions on Visualization and Computer Graphics, 27(4), 2280–2297*. https://doi.org/10.1109/TVCG.2019.2952129</w:t>
      </w:r>
    </w:p>
    <w:p>
      <w:pPr>
        <w:spacing w:after="80"/>
        <w:ind w:left="0" w:hanging="504"/>
      </w:pPr>
      <w:r>
        <w:rPr>
          <w:sz w:val="20"/>
        </w:rPr>
        <w:t>Bajons, R., &amp; Hornik, K. (2025). Plus-Minus Models for Evaluating and Scouting Soccer Players Using Possession Sequences. *IMA Journal of Management Mathematics, 36(3), 593–614*. https://doi.org/10.1093/imaman/dpaf017</w:t>
      </w:r>
    </w:p>
    <w:p>
      <w:pPr>
        <w:spacing w:after="80"/>
        <w:ind w:left="0" w:hanging="504"/>
      </w:pPr>
      <w:r>
        <w:rPr>
          <w:sz w:val="20"/>
        </w:rPr>
        <w:t>Camilleri, V., Camilleri, R. Y., Fialovszky, M., Pace, D., Seychell, D., &amp; Montebello, M. (2025). Towards Explainable Multimodal Sensing for Swimming Analysis: Early Findings from the SWIM-360 Project. *Sensors, 25(22), 7047*. https://doi.org/10.3390/s25227047</w:t>
      </w:r>
    </w:p>
    <w:p>
      <w:pPr>
        <w:spacing w:after="80"/>
        <w:ind w:left="0" w:hanging="504"/>
      </w:pPr>
      <w:r>
        <w:rPr>
          <w:sz w:val="20"/>
        </w:rPr>
        <w:t>Canzone, A., Belmonte, G., Patti, A., Vicari, D. S. S., Rapisarda, F., Giustino, V., Drid, P., &amp; Bianco, A. (2025). The Multiple Uses of Artificial Intelligence in Exercise Programs: A Narrative Review. *Frontiers in Public Health, 13, Article 1510801*. https://doi.org/10.3389/fpubh.2025.1510801</w:t>
      </w:r>
    </w:p>
    <w:p>
      <w:pPr>
        <w:spacing w:after="80"/>
        <w:ind w:left="0" w:hanging="504"/>
      </w:pPr>
      <w:r>
        <w:rPr>
          <w:sz w:val="20"/>
        </w:rPr>
        <w:t>Dindorf, C., Dully, J., Bartaguiz, E., Menges, T., Reidick, C., Seibert, J.-N., &amp; Fröhlich, M. (2025). Characteristics and Perceived Suitability of Artificial Intelligence-Driven Sports Coaches: A Pilot Study on Psychological and Perceptual Factors. *Frontiers in Sports and Active Living, 7, Article 1548980*. https://doi.org/10.3389/fspor.2025.1548980</w:t>
      </w:r>
    </w:p>
    <w:p>
      <w:pPr>
        <w:spacing w:after="80"/>
        <w:ind w:left="0" w:hanging="504"/>
      </w:pPr>
      <w:r>
        <w:rPr>
          <w:sz w:val="20"/>
        </w:rPr>
        <w:t>Goes, F. R., Kempe, M., van Norel, J., &amp; Lemmink, K. A. P. M. (2021). Modelling Team Performance in Soccer Using Tactical Features Derived from Position Tracking Data. *IMA Journal of Management Mathematics, 32(4), 519–533*. https://doi.org/10.1093/imaman/dpab006</w:t>
      </w:r>
    </w:p>
    <w:p>
      <w:pPr>
        <w:spacing w:after="80"/>
        <w:ind w:left="0" w:hanging="504"/>
      </w:pPr>
      <w:r>
        <w:rPr>
          <w:sz w:val="20"/>
        </w:rPr>
        <w:t>Hammes, F., Hagg, A., Asteroth, A., &amp; Link, D. (2022). Artificial Intelligence in Elite Sports—A Narrative Review of Success Stories and Challenges. *Frontiers in Sports and Active Living, 4, Article 861466*. https://doi.org/10.3389/fspor.2022.861466</w:t>
      </w:r>
    </w:p>
    <w:p>
      <w:pPr>
        <w:spacing w:after="80"/>
        <w:ind w:left="0" w:hanging="504"/>
      </w:pPr>
      <w:r>
        <w:rPr>
          <w:sz w:val="20"/>
        </w:rPr>
        <w:t>Hewitt, J. H., &amp; Karakuş, O. (2023). A Machine Learning Approach for Player and Position Adjusted Expected Goals in Football (Soccer). *The Franklin Open, 4, Article 100034*. https://doi.org/10.1016/j.fraope.2023.100034</w:t>
      </w:r>
    </w:p>
    <w:p>
      <w:pPr>
        <w:spacing w:after="80"/>
        <w:ind w:left="0" w:hanging="504"/>
      </w:pPr>
      <w:r>
        <w:rPr>
          <w:sz w:val="20"/>
        </w:rPr>
        <w:t>Hirotsu, N., Masui, Y., Shimasaki, Y., &amp; Yoshimura, M. (2024). Modelling Tactical Changes in Association Football Using a Markov Game. *IMA Journal of Management Mathematics, 35(3), 503–535*. https://doi.org/10.1093/imaman/dpae002</w:t>
      </w:r>
    </w:p>
    <w:p>
      <w:pPr>
        <w:spacing w:after="80"/>
        <w:ind w:left="0" w:hanging="504"/>
      </w:pPr>
      <w:r>
        <w:rPr>
          <w:sz w:val="20"/>
        </w:rPr>
        <w:t>Kranzinger, S., Halmich, C., Hofer, D., &amp; Kranzinger, C. (2026). A Scoping Review of Explainable Artificial Intelligence in Sports Science. *Discover Artificial Intelligence, 6, Article 5*. https://doi.org/10.1007/s44163-025-00709-8</w:t>
      </w:r>
    </w:p>
    <w:p>
      <w:pPr>
        <w:spacing w:after="80"/>
        <w:ind w:left="0" w:hanging="504"/>
      </w:pPr>
      <w:r>
        <w:rPr>
          <w:sz w:val="20"/>
        </w:rPr>
        <w:t>Kröckel, P., &amp; Bodendorf, F. (2020). Process Mining of Football Event Data: A Novel Approach for Tactical Insights Into the Game. *Frontiers in Artificial Intelligence, 3, Article 47*. https://doi.org/10.3389/frai.2020.00047</w:t>
      </w:r>
    </w:p>
    <w:p>
      <w:pPr>
        <w:spacing w:after="80"/>
        <w:ind w:left="0" w:hanging="504"/>
      </w:pPr>
      <w:r>
        <w:rPr>
          <w:sz w:val="20"/>
        </w:rPr>
        <w:t>Kumar, R., Bogia, P., Ul Haq, A., Singh, V., &amp; Reddy, T. O. (2025). Leveraging Artificial Intelligence and Machine Learning in Sport Sciences: A Systematic Literature Review of Applications, Outcomes, and Future Directions. *Sport Sciences for Health, 21, 2429–2443*. https://doi.org/10.1007/s11332-025-01482-y</w:t>
      </w:r>
    </w:p>
    <w:p>
      <w:pPr>
        <w:spacing w:after="80"/>
        <w:ind w:left="0" w:hanging="504"/>
      </w:pPr>
      <w:r>
        <w:rPr>
          <w:sz w:val="20"/>
        </w:rPr>
        <w:t>Low, B., Coutinho, D., Gonçalves, B., Rein, R., Memmert, D., &amp; Sampaio, J. (2020). A Systematic Review of Collective Tactical Behaviours in Football Using Positional Data. *Sports Medicine, 50, 343–385*. https://doi.org/10.1007/s40279-019-01194-7</w:t>
      </w:r>
    </w:p>
    <w:p>
      <w:pPr>
        <w:spacing w:after="80"/>
        <w:ind w:left="0" w:hanging="504"/>
      </w:pPr>
      <w:r>
        <w:rPr>
          <w:sz w:val="20"/>
        </w:rPr>
        <w:t>Malikov, D., &amp; Kim, J. (2024). Beyond xG: A Dual Prediction Model for Analyzing Player Performance Through Expected and Actual Goals in European Soccer Leagues. *Applied Sciences, 14(22), 10390*. https://doi.org/10.3390/app142210390</w:t>
      </w:r>
    </w:p>
    <w:p>
      <w:pPr>
        <w:spacing w:after="80"/>
        <w:ind w:left="0" w:hanging="504"/>
      </w:pPr>
      <w:r>
        <w:rPr>
          <w:sz w:val="20"/>
        </w:rPr>
        <w:t>Markopoulou, C., Papageorgiou, G., &amp; Tjortjis, C. (2024). Diverse Machine Learning for Forecasting Goal-Scoring Likelihood in Elite Football Leagues. *Machine Learning and Knowledge Extraction, 6(3), 1762–1781*. https://doi.org/10.3390/make6030086</w:t>
      </w:r>
    </w:p>
    <w:p>
      <w:pPr>
        <w:spacing w:after="80"/>
        <w:ind w:left="0" w:hanging="504"/>
      </w:pPr>
      <w:r>
        <w:rPr>
          <w:sz w:val="20"/>
        </w:rPr>
        <w:t>Memmert, D., Lemmink, K. A. P. M., &amp; Sampaio, J. (2017). Current Approaches to Tactical Performance Analyses in Soccer Using Position Data. *Sports Medicine, 47, 1–10*. https://doi.org/10.1007/s40279-016-0562-5</w:t>
      </w:r>
    </w:p>
    <w:p>
      <w:pPr>
        <w:spacing w:after="80"/>
        <w:ind w:left="0" w:hanging="504"/>
      </w:pPr>
      <w:r>
        <w:rPr>
          <w:sz w:val="20"/>
        </w:rPr>
        <w:t>Mohandas, A., Ahsan, M., &amp; Haider, J. (2023). Tactically Maximize Game Advantage by Predicting Football Substitutions Using Machine Learning. *Big Data and Cognitive Computing, 7(2), 117*. https://doi.org/10.3390/bdcc7020117</w:t>
      </w:r>
    </w:p>
    <w:p>
      <w:pPr>
        <w:spacing w:after="80"/>
        <w:ind w:left="0" w:hanging="504"/>
      </w:pPr>
      <w:r>
        <w:rPr>
          <w:sz w:val="20"/>
        </w:rPr>
        <w:t>Moya, D., Tipantuña, C., Villa, G., Calderón-Hinojosa, X., Rivadeneira, B., &amp; Álvarez, R. (2025). Machine Learning Applied to Professional Football: Performance Improvement and Results Prediction. *Machine Learning and Knowledge Extraction, 7(3), Article 85*. https://doi.org/10.3390/make7030085</w:t>
      </w:r>
    </w:p>
    <w:p>
      <w:pPr>
        <w:spacing w:after="80"/>
        <w:ind w:left="0" w:hanging="504"/>
      </w:pPr>
      <w:r>
        <w:rPr>
          <w:sz w:val="20"/>
        </w:rPr>
        <w:t>Musat, C. L., Mereuta, C., Nechita, A., Tutunaru, D., Voipan, A. E., Voipan, D., Mereuta, E., Gurau, T. V., Gurău, G., &amp; Nechita, L. C. (2024). Diagnostic Applications of AI in Sports: A Comprehensive Review of Injury Risk Prediction Methods. *Diagnostics, 14(22), 2516*. https://doi.org/10.3390/diagnostics14222516</w:t>
      </w:r>
    </w:p>
    <w:p>
      <w:pPr>
        <w:spacing w:after="80"/>
        <w:ind w:left="0" w:hanging="504"/>
      </w:pPr>
      <w:r>
        <w:rPr>
          <w:sz w:val="20"/>
        </w:rPr>
        <w:t>Muñoz-Macho, S., Domínguez-Morales, M. J., &amp; Sevillano-Ramos, J. L. (2024). Performance and Healthcare Analysis in Elite Sports Teams Using Artificial Intelligence: A Scoping Review. *Frontiers in Sports and Active Living, 6, Article 1383723*. https://doi.org/10.3389/fspor.2024.1383723</w:t>
      </w:r>
    </w:p>
    <w:p>
      <w:pPr>
        <w:spacing w:after="80"/>
        <w:ind w:left="0" w:hanging="504"/>
      </w:pPr>
      <w:r>
        <w:rPr>
          <w:sz w:val="20"/>
        </w:rPr>
        <w:t>Mănescu, D. C. (2025). Big Data Analytics Framework for Decision-Making in Sports Performance Optimization. *Data, 10(7), 116*. https://doi.org/10.3390/data10070116</w:t>
      </w:r>
    </w:p>
    <w:p>
      <w:pPr>
        <w:spacing w:after="80"/>
        <w:ind w:left="0" w:hanging="504"/>
      </w:pPr>
      <w:r>
        <w:rPr>
          <w:sz w:val="20"/>
        </w:rPr>
        <w:t>Pietraszewski, P., Terbalyan, A., Roczniok, R., Maszczyk, A., Ornowski, K., Manilewska, D., Kuliś, S., Zając, A., &amp; Gołaś, A. (2025). The Role of Artificial Intelligence in Sports Analytics: A Systematic Review and Meta-Analysis of Performance Trends. *Applied Sciences, 15(13), 7254*. https://doi.org/10.3390/app15137254</w:t>
      </w:r>
    </w:p>
    <w:p>
      <w:pPr>
        <w:spacing w:after="80"/>
        <w:ind w:left="0" w:hanging="504"/>
      </w:pPr>
      <w:r>
        <w:rPr>
          <w:sz w:val="20"/>
        </w:rPr>
        <w:t>Postma, D. B. W., van Delden, R. W., Koekoek, J. H., Walinga, W. W., van Hilvoorde, I. M., van Beijnum, B. J. F., Salim, F. A., &amp; Reidsma, D. (2022). A Design Space of Sports Interaction Technology. *Foundations and Trends in Human–Computer Interaction, 15(2–3), 132–316*. https://doi.org/10.1561/1100000087</w:t>
      </w:r>
    </w:p>
    <w:p>
      <w:pPr>
        <w:spacing w:after="80"/>
        <w:ind w:left="0" w:hanging="504"/>
      </w:pPr>
      <w:r>
        <w:rPr>
          <w:sz w:val="20"/>
        </w:rPr>
        <w:t>Schwalbe, G., &amp; Finzel, B. (2024). A Comprehensive Taxonomy for Explainable Artificial Intelligence: A Systematic Survey of Surveys on Methods and Concepts. *Data Mining and Knowledge Discovery, 38, 3043–3101*. https://doi.org/10.1007/s10618-022-00867-8</w:t>
      </w:r>
    </w:p>
    <w:p>
      <w:pPr>
        <w:spacing w:after="80"/>
        <w:ind w:left="0" w:hanging="504"/>
      </w:pPr>
      <w:r>
        <w:rPr>
          <w:sz w:val="20"/>
        </w:rPr>
        <w:t>Smith, I., Scheme, E., &amp; Bateman, S. (2025). A Framework for Interactive Sport Training Technology. *Foundations and Trends in Human–Computer Interaction, 19(1), 1–111*. https://doi.org/10.1561/1100000096</w:t>
      </w:r>
    </w:p>
    <w:p>
      <w:pPr>
        <w:spacing w:after="80"/>
        <w:ind w:left="0" w:hanging="504"/>
      </w:pPr>
      <w:r>
        <w:rPr>
          <w:sz w:val="20"/>
        </w:rPr>
        <w:t>Sotudeh, H. (2025). The Principles of Tactical Formation Identification in Association Football (Soccer): A Survey. *Frontiers in Sports and Active Living, 6, Article 1512386*. https://doi.org/10.3389/fspor.2024.1512386</w:t>
      </w:r>
    </w:p>
    <w:p>
      <w:pPr>
        <w:spacing w:after="80"/>
        <w:ind w:left="0" w:hanging="504"/>
      </w:pPr>
      <w:r>
        <w:rPr>
          <w:sz w:val="20"/>
        </w:rPr>
        <w:t>Souaifi, M., Dhahbi, W., Jebabli, N., Ceylan, H. I., Boujabli, I., Muntean, C. H., &amp; Dergaa, I. (2025). Artificial Intelligence in Sports Biomechanics: A Scoping Review on Wearable Technology, Motion Analysis, and Injury Prevention. *Bioengineering, 12(8), 887*. https://doi.org/10.3390/bioengineering12080887</w:t>
      </w:r>
    </w:p>
    <w:p>
      <w:pPr>
        <w:spacing w:after="80"/>
        <w:ind w:left="0" w:hanging="504"/>
      </w:pPr>
      <w:r>
        <w:rPr>
          <w:sz w:val="20"/>
        </w:rPr>
        <w:t>Teixeira, J. E., Maio, E., Afonso, P., Encarnação, S., Machado, G. F., Morgans, R., Barbosa, T. M., Monteiro, A. M., Forte, P., Ferraz, R., &amp; Branquinho, L. (2025). Mapping Football Tactical Behavior and Collective Dynamics with Artificial Intelligence: A Systematic Review. *Frontiers in Sports and Active Living, 7, Article 1569155*. https://doi.org/10.3389/fspor.2025.1569155</w:t>
      </w:r>
    </w:p>
    <w:p>
      <w:pPr>
        <w:spacing w:after="80"/>
        <w:ind w:left="0" w:hanging="504"/>
      </w:pPr>
      <w:r>
        <w:rPr>
          <w:sz w:val="20"/>
        </w:rPr>
        <w:t>Theagarajan, R., &amp; Bhanu, B. (2021). An Automated System for Generating Tactical Performance Statistics for Individual Soccer Players From Videos. *IEEE Transactions on Circuits and Systems for Video Technology, 31(2), 632–646*. https://doi.org/10.1109/TCSVT.2020.2982580</w:t>
      </w:r>
    </w:p>
    <w:p>
      <w:pPr>
        <w:spacing w:after="80"/>
        <w:ind w:left="0" w:hanging="504"/>
      </w:pPr>
      <w:r>
        <w:rPr>
          <w:sz w:val="20"/>
        </w:rPr>
        <w:t>van Arem, K. W., Goes-Smit, F., &amp; Söhl, J. (2025). Forecasting the Future Development in Quality and Value of Professional Football Players. *Applied Sciences, 15(16), 8916*. https://doi.org/10.3390/app15168916</w:t>
      </w:r>
    </w:p>
    <w:p>
      <w:pPr>
        <w:spacing w:after="80"/>
        <w:ind w:left="0" w:hanging="504"/>
      </w:pPr>
      <w:r>
        <w:rPr>
          <w:sz w:val="20"/>
        </w:rPr>
        <w:t>Wachholz, F., Manno, S., Schlachter, D., Gamper, N., &amp; Schnitzer, M. (2025). Acceptance and Trust in AI-Generated Exercise Plans Among Recreational Athletes and Quality Evaluation by Experienced Coaches: A Pilot Study. *BMC Research Notes, 18, Article 112*. https://doi.org/10.1186/s13104-025-07172-9</w:t>
      </w:r>
    </w:p>
    <w:p>
      <w:pPr>
        <w:spacing w:after="80"/>
        <w:ind w:left="0" w:hanging="504"/>
      </w:pPr>
      <w:r>
        <w:rPr>
          <w:sz w:val="20"/>
        </w:rPr>
        <w:t>Wang, Y., Barlas, P., Eckley, M., Trivedi, P., Sykes, O., Woodward, M., Beal, R., Chen, X., Madden, J., Shafto, P., Noy, S., de Cote, E. M., Rhodes, C., McAleese, N., Stone, P., Genewein, T., Gustafson, L., Mavromatis, C., Harper, M., ... Tuyls, K. (2024). TacticAI: An AI Assistant for Football Tactics. *Nature Communications, 15, Article 1906*. https://doi.org/10.1038/s41467-024-45965-x</w:t>
      </w:r>
    </w:p>
    <w:p>
      <w:pPr>
        <w:spacing w:after="80"/>
        <w:ind w:left="0" w:hanging="504"/>
      </w:pPr>
      <w:r>
        <w:rPr>
          <w:sz w:val="20"/>
        </w:rPr>
        <w:t>Wang, J. (2025). Exploration of the Path of Digital Technology Empowering the Sustainable Development of Alumni Football: A Study Based on Ordinal Logistic Regression Analysis. *Frontiers in Sports and Active Living, 7, Article 1613339*. https://doi.org/10.3389/fspor.2025.1613339</w:t>
      </w:r>
    </w:p>
    <w:p>
      <w:pPr>
        <w:spacing w:after="80"/>
        <w:ind w:left="0" w:hanging="504"/>
      </w:pPr>
      <w:r>
        <w:rPr>
          <w:sz w:val="20"/>
        </w:rPr>
        <w:t>Yang, W., Wei, Y., Wei, H., Chen, Y., Huang, G., Li, X., Li, R., Yao, N., Wang, X., Gu, X., Amin, M. B., &amp; Kang, B. (2023). Survey on Explainable AI: From Approaches, Limitations and Applications Aspects. *Human-Centric Intelligent Systems, 3, 161–188*. https://doi.org/10.1007/s44230-023-00038-y</w:t>
      </w:r>
    </w:p>
    <w:p>
      <w:pPr>
        <w:spacing w:after="80"/>
        <w:ind w:left="0" w:hanging="504"/>
      </w:pPr>
      <w:r>
        <w:rPr>
          <w:sz w:val="20"/>
        </w:rPr>
        <w:t>Zhou, T., Wu, X., Wang, Y., Wang, Y., &amp; Zhang, S. (2024). Application of Artificial Intelligence in Physical Education: A Systematic Review. *Education and Information Technologies, 29, 8203–8220*. https://doi.org/10.1007/s10639-023-12128-2</w:t>
      </w:r>
    </w:p>
    <w:p>
      <w:pPr>
        <w:spacing w:after="80"/>
        <w:ind w:left="0" w:hanging="504"/>
      </w:pPr>
      <w:r>
        <w:rPr>
          <w:sz w:val="20"/>
        </w:rPr>
        <w:t>Ötting, M., &amp; Karlis, D. (2023). Football Tracking Data: A Copula-Based Hidden Markov Model for Classification of Tactics in Football. *Annals of Operations Research, 325(1), 167–183*. https://doi.org/10.1007/s10479-022-04660-0</w:t>
      </w:r>
    </w:p>
    <w:p>
      <w:r>
        <w:rPr>
          <w:b/>
          <w:color w:val="1F3864"/>
          <w:sz w:val="28"/>
        </w:rPr>
        <w:t>Section 3. Literature review draft</w:t>
      </w:r>
    </w:p>
    <w:p>
      <w:r>
        <w:t>The literature on football tactical analytics has progressed from descriptive movement analysis to increasingly sophisticated AI-driven decision-support systems. Early syntheses established the methodological foundations for tactical analysis using positional data. Memmert, Lemmink, and Sampaio (2017) explained how positional tracking could be used to study space, time, and coordinated movement, while Low et al. (2020) systematized collective tactical behaviour metrics such as synchronization, dispersion, and team coordination. These reviews are important because they show that football tactics can be quantified in a structured and theoretically grounded way, creating the basis for later machine-learning work.</w:t>
      </w:r>
    </w:p>
    <w:p>
      <w:r>
        <w:t>After this methodological phase, research increasingly moved toward model-based tactical interpretation. Andrienko et al. (2021) showed that football tactics can be understood through carefully constructed spatial-temporal representations, and Goes et al. (2021) demonstrated that tracking-derived tactical features can be linked to team performance outcomes. Ötting and Karlis (2023) advanced this line of work with a copula-based hidden Markov model for tactic classification, while Sotudeh (2025) reviewed formation-identification methods in association football. Together, these studies indicate that tactical behaviour is no longer treated only as a descriptive coaching concept; it is increasingly represented as a set of measurable states, structures, and transitions that can be analysed computationally.</w:t>
      </w:r>
    </w:p>
    <w:p>
      <w:r>
        <w:t>A more recent stream of research has focused on direct football decision support. Process mining has been used to identify tactical sequences from event data (Kröckel &amp; Bodendorf, 2020), and computer vision has enabled automatic tactical-statistic generation from video in lower-infrastructure settings (Theagarajan &amp; Bhanu, 2021). Applied predictive models have also broadened the analytical agenda: player- and position-adjusted expected goals (Hewitt &amp; Karakuş, 2023), substitution prediction (Mohandas et al., 2023), tactical adaptation through Markov games (Hirotsu et al., 2024), plus-minus scouting models (Bajons &amp; Hornik, 2025), and player-value forecasting with explainable machine learning (van Arem et al., 2025). This body of work suggests that football AI is shifting from post-hoc analysis toward systems that can support planning, selection, and in-game decisions.</w:t>
      </w:r>
    </w:p>
    <w:p>
      <w:r>
        <w:t>The strongest emblem of this shift is TacticAI (Wang et al., 2024), which shows that AI can be designed as a practical tactical assistant rather than merely a predictive engine. TacticAI is especially important because it frames AI outputs in ways that are intended to support expert decision-makers, which is much closer to real coaching practice. Additional football-specific reviews reinforce this trend. Teixeira et al. (2025) mapped AI methods for tactical behaviour and collective dynamics, Alves et al. (2025) reviewed social-network approaches to football coordination, and Moya et al. (2025) synthesized recent machine-learning work in professional football. Collectively, these studies show a rapidly maturing football analytics literature, but they also reveal that much of the field still prioritizes predictive performance over transparency, coach usability, and accessibility outside elite clubs.</w:t>
      </w:r>
    </w:p>
    <w:p>
      <w:r>
        <w:t>The broader sports-AI literature helps clarify why these issues matter. Reviews across elite sports and sport sciences describe clear opportunities for AI-driven performance analysis, health monitoring, biomechanics, and injury prediction, but they repeatedly point to the same practical constraints: fragmented data, limited standardization, trust concerns, and weak interpretability (Hammes et al., 2022; Muñoz-Macho et al., 2024; Musat et al., 2024; Kumar et al., 2025). Studies on athlete and coach acceptance make this problem even more concrete. Wachholz et al. (2025) found that trust remains a central issue when users evaluate AI-generated exercise plans, and Dindorf et al. (2025) showed that the perceived suitability of AI-driven sports coaches depends strongly on psychological and perceptual factors. Wang (2025) further extends the relevance of digital football tools beyond professional clubs by showing how technology can support football development in non-elite contexts.</w:t>
      </w:r>
    </w:p>
    <w:p>
      <w:r>
        <w:t>This is where explainability and human-centred design become especially important. Kranzinger et al. (2026) provide one of the clearest sport-specific syntheses of explainable AI, while Schwalbe and Finzel (2024) and Yang et al. (2023) offer the broader conceptual language needed to define explainability rigorously. In parallel, Camilleri et al. (2025) illustrate how explainability can be embedded early in the design of multimodal sensing systems, and the HCI-oriented work of Postma et al. (2022) and Smith et al. (2025) shows that sports technology should be evaluated not only by accuracy but also by interaction design, feedback structure, and fit with real training environments. These studies collectively support the argument that a useful football AI system should not only predict well; it should also communicate clearly, align with coaches' workflows, and remain usable in low-resource settings.</w:t>
      </w:r>
    </w:p>
    <w:p>
      <w:r>
        <w:t>Overall, the literature supports a strong research gap at the intersection of football tactical analytics, explainable AI, and coach-friendly system design. There is already substantial evidence that positional data, event data, video analysis, and machine-learning models can reveal meaningful tactical patterns. However, fewer studies translate these capabilities into transparent, accessible tools that help coaches and players understand why a recommendation was made. A study that develops or evaluates an explainable, human-centred football tactical support system would therefore be well justified, particularly if it targets practical use beyond elite, data-rich environments.</w:t>
      </w:r>
    </w:p>
    <w:p>
      <w:r>
        <w:rPr>
          <w:b/>
          <w:color w:val="1F3864"/>
          <w:sz w:val="24"/>
        </w:rPr>
        <w:t>Suggested subsection mapping</w:t>
      </w:r>
    </w:p>
    <w:tbl>
      <w:tblPr>
        <w:tblStyle w:val="TableGrid"/>
        <w:tblW w:type="auto" w:w="0"/>
        <w:jc w:val="center"/>
        <w:tblLook w:firstColumn="1" w:firstRow="1" w:lastColumn="0" w:lastRow="0" w:noHBand="0" w:noVBand="1" w:val="04A0"/>
        <w:tblBorders>
          <w:top w:val="single" w:sz="4" w:space="0" w:color="C6D3E1"/>
          <w:left w:val="single" w:sz="4" w:space="0" w:color="C6D3E1"/>
          <w:bottom w:val="single" w:sz="4" w:space="0" w:color="C6D3E1"/>
          <w:right w:val="single" w:sz="4" w:space="0" w:color="C6D3E1"/>
          <w:insideH w:val="single" w:sz="4" w:space="0" w:color="C6D3E1"/>
          <w:insideV w:val="single" w:sz="4" w:space="0" w:color="C6D3E1"/>
        </w:tblBorders>
      </w:tblPr>
      <w:tblGrid>
        <w:gridCol w:w="5004"/>
        <w:gridCol w:w="5004"/>
      </w:tblGrid>
      <w:tr>
        <w:tc>
          <w:tcPr>
            <w:tcW w:type="dxa" w:w="5004"/>
            <w:shd w:fill="DCE6F2"/>
          </w:tcPr>
          <w:p>
            <w:pPr>
              <w:jc w:val="center"/>
            </w:pPr>
            <w:r>
              <w:rPr>
                <w:b/>
                <w:sz w:val="19"/>
              </w:rPr>
              <w:t>Subsection</w:t>
            </w:r>
          </w:p>
        </w:tc>
        <w:tc>
          <w:tcPr>
            <w:tcW w:type="dxa" w:w="5004"/>
            <w:shd w:fill="DCE6F2"/>
          </w:tcPr>
          <w:p>
            <w:pPr>
              <w:jc w:val="center"/>
            </w:pPr>
            <w:r>
              <w:rPr>
                <w:b/>
                <w:sz w:val="19"/>
              </w:rPr>
              <w:t>Best sources</w:t>
            </w:r>
          </w:p>
        </w:tc>
      </w:tr>
      <w:tr>
        <w:tc>
          <w:tcPr>
            <w:tcW w:type="dxa" w:w="5004"/>
            <w:tcMar>
              <w:top w:w="80" w:type="dxa"/>
              <w:start w:w="90" w:type="dxa"/>
              <w:bottom w:w="80" w:type="dxa"/>
              <w:end w:w="90" w:type="dxa"/>
            </w:tcMar>
          </w:tcPr>
          <w:p>
            <w:pPr>
              <w:spacing w:after="0"/>
            </w:pPr>
            <w:r>
              <w:rPr>
                <w:sz w:val="18"/>
              </w:rPr>
              <w:t>Foundations of football tactical analysis</w:t>
            </w:r>
          </w:p>
        </w:tc>
        <w:tc>
          <w:tcPr>
            <w:tcW w:type="dxa" w:w="5004"/>
            <w:tcMar>
              <w:top w:w="80" w:type="dxa"/>
              <w:start w:w="90" w:type="dxa"/>
              <w:bottom w:w="80" w:type="dxa"/>
              <w:end w:w="90" w:type="dxa"/>
            </w:tcMar>
          </w:tcPr>
          <w:p>
            <w:pPr>
              <w:spacing w:after="0"/>
            </w:pPr>
            <w:r>
              <w:rPr>
                <w:sz w:val="18"/>
              </w:rPr>
              <w:t>Memmert et al. (2017); Low et al. (2020); Andrienko et al. (2021); Goes et al. (2021); Ötting &amp; Karlis (2023)</w:t>
            </w:r>
          </w:p>
        </w:tc>
      </w:tr>
      <w:tr>
        <w:tc>
          <w:tcPr>
            <w:tcW w:type="dxa" w:w="5004"/>
            <w:tcMar>
              <w:top w:w="80" w:type="dxa"/>
              <w:start w:w="90" w:type="dxa"/>
              <w:bottom w:w="80" w:type="dxa"/>
              <w:end w:w="90" w:type="dxa"/>
            </w:tcMar>
          </w:tcPr>
          <w:p>
            <w:pPr>
              <w:spacing w:after="0"/>
            </w:pPr>
            <w:r>
              <w:rPr>
                <w:sz w:val="18"/>
              </w:rPr>
              <w:t>AI methods for football tactical decision support</w:t>
            </w:r>
          </w:p>
        </w:tc>
        <w:tc>
          <w:tcPr>
            <w:tcW w:type="dxa" w:w="5004"/>
            <w:tcMar>
              <w:top w:w="80" w:type="dxa"/>
              <w:start w:w="90" w:type="dxa"/>
              <w:bottom w:w="80" w:type="dxa"/>
              <w:end w:w="90" w:type="dxa"/>
            </w:tcMar>
          </w:tcPr>
          <w:p>
            <w:pPr>
              <w:spacing w:after="0"/>
            </w:pPr>
            <w:r>
              <w:rPr>
                <w:sz w:val="18"/>
              </w:rPr>
              <w:t>Kröckel &amp; Bodendorf (2020); Theagarajan &amp; Bhanu (2021); Hewitt &amp; Karakuş (2023); Wang et al. (2024); Hirotsu et al. (2024); van Arem et al. (2025)</w:t>
            </w:r>
          </w:p>
        </w:tc>
      </w:tr>
      <w:tr>
        <w:tc>
          <w:tcPr>
            <w:tcW w:type="dxa" w:w="5004"/>
            <w:tcMar>
              <w:top w:w="80" w:type="dxa"/>
              <w:start w:w="90" w:type="dxa"/>
              <w:bottom w:w="80" w:type="dxa"/>
              <w:end w:w="90" w:type="dxa"/>
            </w:tcMar>
          </w:tcPr>
          <w:p>
            <w:pPr>
              <w:spacing w:after="0"/>
            </w:pPr>
            <w:r>
              <w:rPr>
                <w:sz w:val="18"/>
              </w:rPr>
              <w:t>Broader sports-AI evidence and adoption</w:t>
            </w:r>
          </w:p>
        </w:tc>
        <w:tc>
          <w:tcPr>
            <w:tcW w:type="dxa" w:w="5004"/>
            <w:tcMar>
              <w:top w:w="80" w:type="dxa"/>
              <w:start w:w="90" w:type="dxa"/>
              <w:bottom w:w="80" w:type="dxa"/>
              <w:end w:w="90" w:type="dxa"/>
            </w:tcMar>
          </w:tcPr>
          <w:p>
            <w:pPr>
              <w:spacing w:after="0"/>
            </w:pPr>
            <w:r>
              <w:rPr>
                <w:sz w:val="18"/>
              </w:rPr>
              <w:t>Hammes et al. (2022); Muñoz-Macho et al. (2024); Musat et al. (2024); Kumar et al. (2025); Wachholz et al. (2025); Dindorf et al. (2025)</w:t>
            </w:r>
          </w:p>
        </w:tc>
      </w:tr>
      <w:tr>
        <w:tc>
          <w:tcPr>
            <w:tcW w:type="dxa" w:w="5004"/>
            <w:tcMar>
              <w:top w:w="80" w:type="dxa"/>
              <w:start w:w="90" w:type="dxa"/>
              <w:bottom w:w="80" w:type="dxa"/>
              <w:end w:w="90" w:type="dxa"/>
            </w:tcMar>
          </w:tcPr>
          <w:p>
            <w:pPr>
              <w:spacing w:after="0"/>
            </w:pPr>
            <w:r>
              <w:rPr>
                <w:sz w:val="18"/>
              </w:rPr>
              <w:t>Explainability and human-centred design</w:t>
            </w:r>
          </w:p>
        </w:tc>
        <w:tc>
          <w:tcPr>
            <w:tcW w:type="dxa" w:w="5004"/>
            <w:tcMar>
              <w:top w:w="80" w:type="dxa"/>
              <w:start w:w="90" w:type="dxa"/>
              <w:bottom w:w="80" w:type="dxa"/>
              <w:end w:w="90" w:type="dxa"/>
            </w:tcMar>
          </w:tcPr>
          <w:p>
            <w:pPr>
              <w:spacing w:after="0"/>
            </w:pPr>
            <w:r>
              <w:rPr>
                <w:sz w:val="18"/>
              </w:rPr>
              <w:t>Kranzinger et al. (2026); Schwalbe &amp; Finzel (2024); Yang et al. (2023); Camilleri et al. (2025); Postma et al. (2022); Smith et al. (2025)</w:t>
            </w:r>
          </w:p>
        </w:tc>
      </w:tr>
    </w:tbl>
    <w:sectPr w:rsidR="00FC693F" w:rsidRPr="0006063C" w:rsidSect="00034616">
      <w:pgSz w:w="12240" w:h="15840"/>
      <w:pgMar w:top="936" w:right="1080"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