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document"/>
      </w:pPr>
      <w:r>
        <w:t>Explainable AI in Grassroots Sports: Designing Tactical Software for Low-Resource Football Teams</w:t>
      </w:r>
    </w:p>
    <w:p>
      <w:pPr>
        <w:pStyle w:val="ShortTitle"/>
      </w:pPr>
      <w:r>
        <w:t>Explainable AI for Grassroots Football</w:t>
      </w:r>
    </w:p>
    <w:p>
      <w:pPr>
        <w:pStyle w:val="Subtitle"/>
      </w:pPr>
      <w:r>
        <w:t>A Concept Paper and Human-Centered Research Design</w:t>
      </w:r>
    </w:p>
    <w:p>
      <w:pPr>
        <w:pStyle w:val="Authors"/>
      </w:pPr>
      <w:r>
        <w:t>THANAKRIT NUMNAUN</w:t>
      </w:r>
    </w:p>
    <w:p>
      <w:pPr>
        <w:pStyle w:val="Affiliation"/>
      </w:pPr>
      <w:r>
        <w:t>Department of Computer Engineering, Faculty of Engineering, Chulalongkorn University, Bangkok, Thailand</w:t>
      </w:r>
    </w:p>
    <w:p>
      <w:pPr>
        <w:pStyle w:val="Affiliation"/>
      </w:pPr>
      <w:r>
        <w:t>6733101021@student.chula.ac.th</w:t>
      </w:r>
    </w:p>
    <w:p>
      <w:pPr>
        <w:pStyle w:val="Authors"/>
      </w:pPr>
      <w:r>
        <w:t>THANPISIT MUKKHAN</w:t>
      </w:r>
    </w:p>
    <w:p>
      <w:pPr>
        <w:pStyle w:val="Affiliation"/>
      </w:pPr>
      <w:r>
        <w:t>Department of Computer Engineering, Faculty of Engineering, Chulalongkorn University, Bangkok, Thailand</w:t>
      </w:r>
    </w:p>
    <w:p>
      <w:pPr>
        <w:pStyle w:val="Affiliation"/>
      </w:pPr>
      <w:r>
        <w:t>6733106221@student.chula.ac.th</w:t>
      </w:r>
    </w:p>
    <w:p>
      <w:pPr>
        <w:pStyle w:val="Authors"/>
      </w:pPr>
      <w:r>
        <w:t>NONTHAWAT MAKDEE</w:t>
      </w:r>
    </w:p>
    <w:p>
      <w:pPr>
        <w:pStyle w:val="Affiliation"/>
      </w:pPr>
      <w:r>
        <w:t>Department of Computer Engineering, Faculty of Engineering, Chulalongkorn University, Bangkok, Thailand</w:t>
      </w:r>
    </w:p>
    <w:p>
      <w:pPr>
        <w:pStyle w:val="Affiliation"/>
      </w:pPr>
      <w:r>
        <w:t>6733115921@student.chula.ac.th</w:t>
      </w:r>
    </w:p>
    <w:p>
      <w:pPr>
        <w:pStyle w:val="Authors"/>
      </w:pPr>
      <w:r>
        <w:t>AKKARANAT THANATHAMMANAN</w:t>
      </w:r>
    </w:p>
    <w:p>
      <w:pPr>
        <w:pStyle w:val="Affiliation"/>
      </w:pPr>
      <w:r>
        <w:t>Department of Computer Engineering, Faculty of Engineering, Chulalongkorn University, Bangkok, Thailand</w:t>
      </w:r>
    </w:p>
    <w:p>
      <w:pPr>
        <w:pStyle w:val="Affiliation"/>
      </w:pPr>
      <w:r>
        <w:t>6733290021@student.chula.ac.th</w:t>
      </w:r>
    </w:p>
    <w:p>
      <w:pPr>
        <w:pStyle w:val="Abstract"/>
      </w:pPr>
      <w:r>
        <w:t>Grassroots football teams increasingly operate in a digital environment shaped by artificial intelligence, video analytics, and data-driven coaching. However, most current systems remain optimized for professional clubs that can afford specialist analysts, dense tracking data, and complex software ecosystems. This paper argues that the key research challenge is not merely whether artificial intelligence can model football tactics, but whether tactical intelligence can be translated into affordable, interpretable, and coach-friendly software for low-resource teams. Drawing on literature from football analytics, sports artificial intelligence, explainable artificial intelligence, and human-computer interaction, the paper synthesizes the state of knowledge and identifies a specific gap around explainable, team-level tactical support for grassroots football. The manuscript then proposes a design-oriented, mixed-methods methodology for developing and evaluating a low-cost software prototype that uses ordinary video to support tactical review. The proposed system focuses on team shape, spacing, defensive organization, pressing structure, transitions, and off-ball support, while explicitly excluding broad personal training, fitness, nutrition, or rehabilitation functions. The paper contributes a scoped research agenda, a theory-informed design rationale, and a practical development and evaluation plan for explainable tactical software in grassroots sport.</w:t>
      </w:r>
    </w:p>
    <w:p>
      <w:pPr>
        <w:pStyle w:val="CCSDescription"/>
      </w:pPr>
      <w:r>
        <w:t>CCS CONCEPTS • Human-centered computing~Interaction design • Computing methodologies~Computer vision • Applied computing~Sports science</w:t>
      </w:r>
    </w:p>
    <w:p>
      <w:pPr>
        <w:pStyle w:val="KeyWords"/>
      </w:pPr>
      <w:r>
        <w:t>Additional Keywords and Phrases: explainable AI, grassroots football, tactical analysis, low-resource teams, sports analytics, human-centered design</w:t>
      </w:r>
    </w:p>
    <w:p>
      <w:pPr>
        <w:pStyle w:val="ACMRefHead"/>
      </w:pPr>
      <w:r>
        <w:t>ACM Reference Format:</w:t>
      </w:r>
    </w:p>
    <w:p>
      <w:pPr>
        <w:pStyle w:val="ACMRef"/>
      </w:pPr>
      <w:r>
        <w:t>Thanakrit Numnaun, Thanpisit Mukkhan, Nonthawat Makdee, and Akkaranat Thanathammanan. 2026. Explainable AI in Grassroots Sports: Designing Tactical Software for Low-Resource Football Teams. A Concept Paper and Human-Centered Research Design. Unpublished manuscript prepared in the ACM one-column submission format.</w:t>
      </w:r>
    </w:p>
    <w:p>
      <w:pPr>
        <w:pStyle w:val="Head1"/>
      </w:pPr>
      <w:r>
        <w:t>Introduction</w:t>
      </w:r>
    </w:p>
    <w:p>
      <w:pPr>
        <w:pStyle w:val="PostHeadPara"/>
      </w:pPr>
      <w:r>
        <w:t>Artificial intelligence has become one of the defining technologies in contemporary sport. Across professional clubs, universities, and sports-tech companies, machine learning, computer vision, and sensor-rich analytics are increasingly used to model performance, automate video review, estimate injury risk, and support decision-making. Yet the diffusion of these tools has been uneven. The most sophisticated systems remain tied to environments with abundant data, specialist staff, and stable technical infrastructure. Grassroots football teams, by contrast, often operate with volunteer coaches, limited budgets, inconsistent recording practices, and little time to interpret complex dashboards. This mismatch creates a practical and research problem: although artificial intelligence promises to democratize access to advanced analysis, many teams that might benefit most from decision support are the least likely to use existing systems effectively.</w:t>
      </w:r>
    </w:p>
    <w:p>
      <w:pPr>
        <w:pStyle w:val="Para"/>
      </w:pPr>
      <w:r>
        <w:t>This paper addresses that problem by focusing on explainable tactical software for low-resource football teams. The central premise is that grassroots football does not need a diluted copy of elite analytics. Instead, it needs tools designed for its own constraints and routines: ordinary video rather than dense tracking data, a small number of tactically meaningful outputs rather than hundreds of metrics, and explanations that help coaches and players understand why a clip has been flagged. In this framing, explainability is not a cosmetic interface feature. It is a core design requirement because coaches must be able to understand, trust, and act on the system’s recommendations without data science expertise.</w:t>
      </w:r>
    </w:p>
    <w:p>
      <w:pPr>
        <w:pStyle w:val="Para"/>
      </w:pPr>
      <w:r>
        <w:t>The paper has four aims. First, it synthesizes relevant scholarship across football tactical analysis, sports AI, XAI, and human-computer interaction. Second, it scopes the research problem in a way that distinguishes tactical coaching support from broader personal training and fitness applications. Third, it proposes a human-centered methodology for designing and evaluating a prototype system. Fourth, it articulates the expected theoretical and practical contributions of this work for grassroots sport. Rather than reporting completed empirical findings, the manuscript should be read as a concept paper and research-design proposal grounded in the current state of the literature.</w:t>
      </w:r>
    </w:p>
    <w:p>
      <w:pPr>
        <w:pStyle w:val="Head1"/>
      </w:pPr>
      <w:r>
        <w:t>Background and Research Context</w:t>
      </w:r>
    </w:p>
    <w:p>
      <w:pPr>
        <w:pStyle w:val="PostHeadPara"/>
      </w:pPr>
      <w:r>
        <w:t>Recent policy and review literature suggests that AI is no longer confined to elite performance departments. The European Commission’s report on AI in the sport sector frames AI as relevant to grassroots sport, professional sport, and fan engagement, while broader systematic reviews show that AI methods are now being used across performance analysis, injury prevention, rehabilitation, and digital coaching support. At the same time, the move from elite experimentation to everyday sporting practice remains uneven. Reviews of sports AI continue to emphasize opacity, practical deployment challenges, and the difficulty of transferring promising algorithms from controlled studies into real coaching environments.</w:t>
      </w:r>
    </w:p>
    <w:p>
      <w:pPr>
        <w:pStyle w:val="Para"/>
      </w:pPr>
      <w:r>
        <w:t>The grassroots context is especially important because it exposes the limits of a technology-first perspective. The DigiRoot project’s desk research on digitalisation in grassroots sport clubs shows that clubs differ widely in digital maturity, with recurrent constraints around staffing, resources, and capability. Wang’s study of alumni football in China makes a similar point from a football-specific perspective: digital transformation in amateur and non-professional football remains underdeveloped, even though these contexts are crucial to inclusive sports ecosystems. Together, these sources show that the relevant question is not simply whether AI can be used in sport, but how it can be made usable in settings where expertise, infrastructure, and time are limited.</w:t>
      </w:r>
    </w:p>
    <w:p>
      <w:pPr>
        <w:pStyle w:val="Para"/>
      </w:pPr>
      <w:r>
        <w:t>This context is highly relevant for football. Football is analytically attractive because tactical behavior is spatial, collective, dynamic, and rich in observable video evidence. However, it is also difficult to model in a way that yields actionable insights for grassroots coaches. Team performance depends on inter-player coordination, shape, timing, adaptation, and opponent interaction, which are harder to explain than isolated skill outputs. A useful grassroots system must therefore balance analytical ambition with interface clarity and operational realism.</w:t>
      </w:r>
    </w:p>
    <w:p>
      <w:pPr>
        <w:pStyle w:val="Head1"/>
      </w:pPr>
      <w:r>
        <w:t>Literature Review</w:t>
      </w:r>
    </w:p>
    <w:p>
      <w:pPr>
        <w:pStyle w:val="Head2"/>
      </w:pPr>
      <w:r>
        <w:t>From positional data to collective tactical behaviour</w:t>
      </w:r>
    </w:p>
    <w:p>
      <w:pPr>
        <w:pStyle w:val="PostHeadPara"/>
      </w:pPr>
      <w:r>
        <w:t>The foundations of contemporary tactical analytics in football were laid by work on positional and spatiotemporal data. Memmert, Lemmink, and Sampaio (2017) showed how position data could be used to analyze inter-player coordination, inter-team relations, and compactness, while Low et al. (2020) synthesized 77 studies and identified a broad shift toward collective tactical behaviour as the main unit of analysis. This stream of work matters because it moves football analysis away from isolated actions and toward coordinated team dynamics. For the present study, it establishes that tactical issues such as spacing, synchronisation, and structural balance are measurable and interpretable dimensions of play rather than purely intuitive coaching impressions.</w:t>
      </w:r>
    </w:p>
    <w:p>
      <w:pPr>
        <w:pStyle w:val="Para"/>
      </w:pPr>
      <w:r>
        <w:t>Later studies extended these insights into more computational forms. Kröckel and Bodendorf (2020) used process mining to derive tactical insights from event sequences. Andrienko et al. (2021) developed visual-analytic techniques for constructing spaces and times that help analysts understand coordinated movement in football. Goes et al. (2021) translated offensive principles of play into spatiotemporal features and used them to predict match outcome from tracking data, explicitly arguing for decision-support applications. Ötting and Karlis (2023) then proposed a hidden Markov model framework for classifying tactics from tracking data using effective playing space. Together, these studies show that tactical behaviour can be represented computationally in forms suitable for automation, visualization, and decision support.</w:t>
      </w:r>
    </w:p>
    <w:p>
      <w:pPr>
        <w:pStyle w:val="Head2"/>
      </w:pPr>
      <w:r>
        <w:t>Recent AI advances in football tactical analytics</w:t>
      </w:r>
    </w:p>
    <w:p>
      <w:pPr>
        <w:pStyle w:val="PostHeadPara"/>
      </w:pPr>
      <w:r>
        <w:t>Football AI has developed rapidly in the last few years. Teixeira et al. (2025) mapped 32 studies on AI-based tactical behaviour, collective dynamics, and movement patterns in football after screening 2,548 records. Alves et al. (2025) similarly reviewed social network analysis in football and showed how passing structures and interaction networks are used to explain performance and tactical organization. These reviews position football analytics as an increasingly mature field spanning neural networks, deep learning, time-series analysis, social network analysis, and hybrid statistical approaches.</w:t>
      </w:r>
    </w:p>
    <w:p>
      <w:pPr>
        <w:pStyle w:val="Para"/>
      </w:pPr>
      <w:r>
        <w:t>The most prominent recent example is TacticAI. Developed in collaboration with Liverpool FC, TacticAI combines predictive and generative components for corner-kick analysis and recommendation, and expert raters preferred its suggestions over existing tactics 90% of the time (Wang et al. 2024). This study is especially important because it demonstrates that AI can support genuine tactical decision-making rather than only post hoc statistical description. However, it also illustrates the current boundary of the field: its data, evaluation, and institutional collaboration are rooted in an elite professional environment. The same is true for many high-performing football models, which assume access to tracking data, event streams, expert labels, and technically fluent analysts.</w:t>
      </w:r>
    </w:p>
    <w:p>
      <w:pPr>
        <w:pStyle w:val="TableCaption"/>
      </w:pPr>
      <w:r>
        <w:t>Table 1: Summary of the main literature streams informing the present study</w:t>
      </w:r>
    </w:p>
    <w:tbl>
      <w:tblPr>
        <w:tblW w:type="auto" w:w="0"/>
        <w:jc w:val="center"/>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920"/>
        <w:gridCol w:w="2920"/>
        <w:gridCol w:w="2920"/>
      </w:tblGrid>
      <w:tr>
        <w:trPr>
          <w:tblHeader w:val="true"/>
        </w:trPr>
        <w:tc>
          <w:tcPr>
            <w:tcW w:type="dxa" w:w="2376"/>
            <w:tcMar>
              <w:top w:w="70" w:type="dxa"/>
              <w:start w:w="90" w:type="dxa"/>
              <w:bottom w:w="70" w:type="dxa"/>
              <w:end w:w="90" w:type="dxa"/>
            </w:tcMar>
            <w:vAlign w:val="center"/>
            <w:shd w:fill="EDEDED"/>
          </w:tcPr>
          <w:p>
            <w:pPr>
              <w:pStyle w:val="Para"/>
              <w:jc w:val="center"/>
            </w:pPr>
            <w:r>
              <w:rPr>
                <w:b/>
                <w:sz w:val="18"/>
              </w:rPr>
              <w:t>Literature stream</w:t>
            </w:r>
          </w:p>
        </w:tc>
        <w:tc>
          <w:tcPr>
            <w:tcW w:type="dxa" w:w="3960"/>
            <w:tcMar>
              <w:top w:w="70" w:type="dxa"/>
              <w:start w:w="90" w:type="dxa"/>
              <w:bottom w:w="70" w:type="dxa"/>
              <w:end w:w="90" w:type="dxa"/>
            </w:tcMar>
            <w:vAlign w:val="center"/>
            <w:shd w:fill="EDEDED"/>
          </w:tcPr>
          <w:p>
            <w:pPr>
              <w:pStyle w:val="Para"/>
              <w:jc w:val="center"/>
            </w:pPr>
            <w:r>
              <w:rPr>
                <w:b/>
                <w:sz w:val="18"/>
              </w:rPr>
              <w:t>Representative studies</w:t>
            </w:r>
          </w:p>
        </w:tc>
        <w:tc>
          <w:tcPr>
            <w:tcW w:type="dxa" w:w="3672"/>
            <w:tcMar>
              <w:top w:w="70" w:type="dxa"/>
              <w:start w:w="90" w:type="dxa"/>
              <w:bottom w:w="70" w:type="dxa"/>
              <w:end w:w="90" w:type="dxa"/>
            </w:tcMar>
            <w:vAlign w:val="center"/>
            <w:shd w:fill="EDEDED"/>
          </w:tcPr>
          <w:p>
            <w:pPr>
              <w:pStyle w:val="Para"/>
              <w:jc w:val="center"/>
            </w:pPr>
            <w:r>
              <w:rPr>
                <w:b/>
                <w:sz w:val="18"/>
              </w:rPr>
              <w:t>Implication for this paper</w:t>
            </w:r>
          </w:p>
        </w:tc>
      </w:tr>
      <w:tr>
        <w:tc>
          <w:tcPr>
            <w:tcW w:type="dxa" w:w="2376"/>
            <w:tcMar>
              <w:top w:w="70" w:type="dxa"/>
              <w:start w:w="90" w:type="dxa"/>
              <w:bottom w:w="70" w:type="dxa"/>
              <w:end w:w="90" w:type="dxa"/>
            </w:tcMar>
            <w:vAlign w:val="center"/>
          </w:tcPr>
          <w:p>
            <w:pPr>
              <w:pStyle w:val="Para"/>
              <w:jc w:val="left"/>
            </w:pPr>
            <w:r>
              <w:rPr>
                <w:sz w:val="18"/>
              </w:rPr>
              <w:t>Football tactical analytics</w:t>
            </w:r>
          </w:p>
        </w:tc>
        <w:tc>
          <w:tcPr>
            <w:tcW w:type="dxa" w:w="3960"/>
            <w:tcMar>
              <w:top w:w="70" w:type="dxa"/>
              <w:start w:w="90" w:type="dxa"/>
              <w:bottom w:w="70" w:type="dxa"/>
              <w:end w:w="90" w:type="dxa"/>
            </w:tcMar>
            <w:vAlign w:val="center"/>
          </w:tcPr>
          <w:p>
            <w:pPr>
              <w:pStyle w:val="Para"/>
              <w:jc w:val="left"/>
            </w:pPr>
            <w:r>
              <w:rPr>
                <w:sz w:val="18"/>
              </w:rPr>
              <w:t>Memmert et al. (2017); Low et al. (2020); Andrienko et al. (2021); Goes et al. (2021); Ötting and Karlis (2023); Teixeira et al. (2025)</w:t>
            </w:r>
          </w:p>
        </w:tc>
        <w:tc>
          <w:tcPr>
            <w:tcW w:type="dxa" w:w="3672"/>
            <w:tcMar>
              <w:top w:w="70" w:type="dxa"/>
              <w:start w:w="90" w:type="dxa"/>
              <w:bottom w:w="70" w:type="dxa"/>
              <w:end w:w="90" w:type="dxa"/>
            </w:tcMar>
            <w:vAlign w:val="center"/>
          </w:tcPr>
          <w:p>
            <w:pPr>
              <w:pStyle w:val="Para"/>
              <w:jc w:val="left"/>
            </w:pPr>
            <w:r>
              <w:rPr>
                <w:sz w:val="18"/>
              </w:rPr>
              <w:t>Shows that team shape, spacing, synchronisation, and collective behaviour can be modelled computationally from position, tracking, and video data.</w:t>
            </w:r>
          </w:p>
        </w:tc>
      </w:tr>
      <w:tr>
        <w:tc>
          <w:tcPr>
            <w:tcW w:type="dxa" w:w="2376"/>
            <w:tcMar>
              <w:top w:w="70" w:type="dxa"/>
              <w:start w:w="90" w:type="dxa"/>
              <w:bottom w:w="70" w:type="dxa"/>
              <w:end w:w="90" w:type="dxa"/>
            </w:tcMar>
            <w:vAlign w:val="center"/>
          </w:tcPr>
          <w:p>
            <w:pPr>
              <w:pStyle w:val="Para"/>
              <w:jc w:val="left"/>
            </w:pPr>
            <w:r>
              <w:rPr>
                <w:sz w:val="18"/>
              </w:rPr>
              <w:t>Accessible and grassroots digitalisation</w:t>
            </w:r>
          </w:p>
        </w:tc>
        <w:tc>
          <w:tcPr>
            <w:tcW w:type="dxa" w:w="3960"/>
            <w:tcMar>
              <w:top w:w="70" w:type="dxa"/>
              <w:start w:w="90" w:type="dxa"/>
              <w:bottom w:w="70" w:type="dxa"/>
              <w:end w:w="90" w:type="dxa"/>
            </w:tcMar>
            <w:vAlign w:val="center"/>
          </w:tcPr>
          <w:p>
            <w:pPr>
              <w:pStyle w:val="Para"/>
              <w:jc w:val="left"/>
            </w:pPr>
            <w:r>
              <w:rPr>
                <w:sz w:val="18"/>
              </w:rPr>
              <w:t>European Commission (2025); DigiRoot Project Consortium (2024); Wang (2025); Onuigbo (2026)</w:t>
            </w:r>
          </w:p>
        </w:tc>
        <w:tc>
          <w:tcPr>
            <w:tcW w:type="dxa" w:w="3672"/>
            <w:tcMar>
              <w:top w:w="70" w:type="dxa"/>
              <w:start w:w="90" w:type="dxa"/>
              <w:bottom w:w="70" w:type="dxa"/>
              <w:end w:w="90" w:type="dxa"/>
            </w:tcMar>
            <w:vAlign w:val="center"/>
          </w:tcPr>
          <w:p>
            <w:pPr>
              <w:pStyle w:val="Para"/>
              <w:jc w:val="left"/>
            </w:pPr>
            <w:r>
              <w:rPr>
                <w:sz w:val="18"/>
              </w:rPr>
              <w:t>Shows that grassroots clubs face different priorities and constraints from elite teams and need lower-cost, easier-to-use tools.</w:t>
            </w:r>
          </w:p>
        </w:tc>
      </w:tr>
      <w:tr>
        <w:tc>
          <w:tcPr>
            <w:tcW w:type="dxa" w:w="2376"/>
            <w:tcMar>
              <w:top w:w="70" w:type="dxa"/>
              <w:start w:w="90" w:type="dxa"/>
              <w:bottom w:w="70" w:type="dxa"/>
              <w:end w:w="90" w:type="dxa"/>
            </w:tcMar>
            <w:vAlign w:val="center"/>
          </w:tcPr>
          <w:p>
            <w:pPr>
              <w:pStyle w:val="Para"/>
              <w:jc w:val="left"/>
            </w:pPr>
            <w:r>
              <w:rPr>
                <w:sz w:val="18"/>
              </w:rPr>
              <w:t>Explainability, trust, and adoption</w:t>
            </w:r>
          </w:p>
        </w:tc>
        <w:tc>
          <w:tcPr>
            <w:tcW w:type="dxa" w:w="3960"/>
            <w:tcMar>
              <w:top w:w="70" w:type="dxa"/>
              <w:start w:w="90" w:type="dxa"/>
              <w:bottom w:w="70" w:type="dxa"/>
              <w:end w:w="90" w:type="dxa"/>
            </w:tcMar>
            <w:vAlign w:val="center"/>
          </w:tcPr>
          <w:p>
            <w:pPr>
              <w:pStyle w:val="Para"/>
              <w:jc w:val="left"/>
            </w:pPr>
            <w:r>
              <w:rPr>
                <w:sz w:val="18"/>
              </w:rPr>
              <w:t>Wachholz et al. (2025); Dindorf et al. (2025); Kranzinger et al. (2026); Camilleri et al. (2025)</w:t>
            </w:r>
          </w:p>
        </w:tc>
        <w:tc>
          <w:tcPr>
            <w:tcW w:type="dxa" w:w="3672"/>
            <w:tcMar>
              <w:top w:w="70" w:type="dxa"/>
              <w:start w:w="90" w:type="dxa"/>
              <w:bottom w:w="70" w:type="dxa"/>
              <w:end w:w="90" w:type="dxa"/>
            </w:tcMar>
            <w:vAlign w:val="center"/>
          </w:tcPr>
          <w:p>
            <w:pPr>
              <w:pStyle w:val="Para"/>
              <w:jc w:val="left"/>
            </w:pPr>
            <w:r>
              <w:rPr>
                <w:sz w:val="18"/>
              </w:rPr>
              <w:t>Shows that explainability shapes trust, uptake, and practical usefulness for coaches and non-expert users.</w:t>
            </w:r>
          </w:p>
        </w:tc>
      </w:tr>
      <w:tr>
        <w:tc>
          <w:tcPr>
            <w:tcW w:type="dxa" w:w="2376"/>
            <w:tcMar>
              <w:top w:w="70" w:type="dxa"/>
              <w:start w:w="90" w:type="dxa"/>
              <w:bottom w:w="70" w:type="dxa"/>
              <w:end w:w="90" w:type="dxa"/>
            </w:tcMar>
            <w:vAlign w:val="center"/>
          </w:tcPr>
          <w:p>
            <w:pPr>
              <w:pStyle w:val="Para"/>
              <w:jc w:val="left"/>
            </w:pPr>
            <w:r>
              <w:rPr>
                <w:sz w:val="18"/>
              </w:rPr>
              <w:t>HCI and training-technology design</w:t>
            </w:r>
          </w:p>
        </w:tc>
        <w:tc>
          <w:tcPr>
            <w:tcW w:type="dxa" w:w="3960"/>
            <w:tcMar>
              <w:top w:w="70" w:type="dxa"/>
              <w:start w:w="90" w:type="dxa"/>
              <w:bottom w:w="70" w:type="dxa"/>
              <w:end w:w="90" w:type="dxa"/>
            </w:tcMar>
            <w:vAlign w:val="center"/>
          </w:tcPr>
          <w:p>
            <w:pPr>
              <w:pStyle w:val="Para"/>
              <w:jc w:val="left"/>
            </w:pPr>
            <w:r>
              <w:rPr>
                <w:sz w:val="18"/>
              </w:rPr>
              <w:t>Postma et al. (2022); Smith, Scheme, and Bateman (2025); Liu, Wang, and Zhou (2021)</w:t>
            </w:r>
          </w:p>
        </w:tc>
        <w:tc>
          <w:tcPr>
            <w:tcW w:type="dxa" w:w="3672"/>
            <w:tcMar>
              <w:top w:w="70" w:type="dxa"/>
              <w:start w:w="90" w:type="dxa"/>
              <w:bottom w:w="70" w:type="dxa"/>
              <w:end w:w="90" w:type="dxa"/>
            </w:tcMar>
            <w:vAlign w:val="center"/>
          </w:tcPr>
          <w:p>
            <w:pPr>
              <w:pStyle w:val="Para"/>
              <w:jc w:val="left"/>
            </w:pPr>
            <w:r>
              <w:rPr>
                <w:sz w:val="18"/>
              </w:rPr>
              <w:t>Provides design principles for translating analytics into understandable, coach-centred feedback and review workflows.</w:t>
            </w:r>
          </w:p>
        </w:tc>
      </w:tr>
    </w:tbl>
    <w:p>
      <w:pPr>
        <w:pStyle w:val="TableFootnote"/>
      </w:pPr>
      <w:r>
        <w:t>The literature converges on a consistent design challenge: technically capable AI systems exist, but few are designed for grassroots coaches who need low-cost, team-level tactical explanations rather than black-box outputs.</w:t>
      </w:r>
    </w:p>
    <w:p>
      <w:pPr>
        <w:pStyle w:val="Head2"/>
      </w:pPr>
      <w:r>
        <w:t>Grassroots accessibility and low-resource sport technology</w:t>
      </w:r>
    </w:p>
    <w:p>
      <w:pPr>
        <w:pStyle w:val="PostHeadPara"/>
      </w:pPr>
      <w:r>
        <w:t>A separate literature stream shows why elite assumptions do not transfer cleanly to grassroots teams. The European Commission (2025) treats AI as a potentially enabling technology for grassroots sport, but policy optimism is accompanied by repeated warnings about adoption barriers. The DigiRoot Project Consortium (2024) documents digitalisation efforts across more than twenty clubs and organizations, but the same report underscores the importance of practical implementation support rather than mere tool availability. Wang’s (2025) study of alumni football further shows that even when digital transformation is desirable, the most valued digital factors are not always those emphasized in professional analytics. In that study, digital business models and team culture mattered more than virtual coaching or detailed event statistics, suggesting that grassroots technology must respond to local routines and incentives rather than copy elite priorities.</w:t>
      </w:r>
    </w:p>
    <w:p>
      <w:pPr>
        <w:pStyle w:val="Para"/>
      </w:pPr>
      <w:r>
        <w:t>Research on low-cost feedback systems reinforces this point. Onuigbo’s (2026) thesis on a smartphone-based AI feedback system for home-based youth football training shows that computer-vision-driven feedback can be prototyped for both high- and low-resource contexts using accessible hardware. The study is not focused on tactical team behaviour, but it is important because it demonstrates that resource constraints do not automatically rule out AI-assisted feedback. What remains underdeveloped is the translation of that accessibility logic from individual technique training to collective tactical review.</w:t>
      </w:r>
    </w:p>
    <w:p>
      <w:pPr>
        <w:pStyle w:val="Head2"/>
      </w:pPr>
      <w:r>
        <w:t>Explainability, trust, and human-centered sports AI</w:t>
      </w:r>
    </w:p>
    <w:p>
      <w:pPr>
        <w:pStyle w:val="PostHeadPara"/>
      </w:pPr>
      <w:r>
        <w:t>If affordability is one requirement for grassroots software, explainability is another. The general XAI literature now treats interpretability as a context-dependent design problem rather than a single technical add-on. Schwalbe and Finzel (2024) offer a survey-of-surveys taxonomy of XAI methods and concepts, while Yang et al. (2023) review approaches, limitations, and application contexts for explainable AI. These studies are useful because they clarify that explanations must serve different stakeholders for different reasons: trust, debugging, accountability, validation, and actionability.</w:t>
      </w:r>
    </w:p>
    <w:p>
      <w:pPr>
        <w:pStyle w:val="Para"/>
      </w:pPr>
      <w:r>
        <w:t>In sport, the explainability literature is still relatively small. Kranzinger et al. (2026) identify only 19 XAI studies in sports science and note a strong concentration around SHAP and limited practitioner-facing evaluation. Camilleri et al. (2025) report similar concerns in swimming analysis, where multimodal sensing is technically feasible but difficult to use in practice when outputs remain insufficiently interpretable. Their SWIM-360 paper is especially relevant because it treats explainability as an early design principle rather than a post hoc visualization exercise. It shows how coach feedback can shape the design of explanation interfaces before a complete end-to-end system is finalized.</w:t>
      </w:r>
    </w:p>
    <w:p>
      <w:pPr>
        <w:pStyle w:val="Para"/>
      </w:pPr>
      <w:r>
        <w:t>User trust studies complement this methodological point. Wachholz et al. (2025) found that users of AI-generated exercise plans reported higher trust than non-users and that experienced coaches often could not distinguish AI-generated plans from human-authored ones. Dindorf et al. (2025) show that perceptions of AI coaches depend strongly on how the system communicates and whether it is seen as informative and suitable for the task. These findings imply that adoption depends on more than predictive accuracy. For grassroots football, the system must communicate in tactically meaningful language and provide explanations that fit existing coaching conversation rather than replace it.</w:t>
      </w:r>
    </w:p>
    <w:p>
      <w:pPr>
        <w:pStyle w:val="Head2"/>
      </w:pPr>
      <w:r>
        <w:t>Human–computer interaction and sports interaction design</w:t>
      </w:r>
    </w:p>
    <w:p>
      <w:pPr>
        <w:pStyle w:val="PostHeadPara"/>
      </w:pPr>
      <w:r>
        <w:t>Human–computer interaction research offers design vocabulary for translating analysis into usable systems. Postma et al. (2022) define a design space for Sports Interaction Technology and call for closer integration between HCI and the sports sciences. Smith, Scheme, and Bateman (2025) extend this agenda by organizing interactive sport training technology around four dimensions: why training is augmented, which skill is targeted, which method is used, and how augmentation is delivered. These frameworks are directly relevant because they discourage technology design that begins from sensors or algorithms alone; instead, they foreground goal, skill, method, and form as linked design decisions.</w:t>
      </w:r>
    </w:p>
    <w:p>
      <w:pPr>
        <w:pStyle w:val="Para"/>
      </w:pPr>
      <w:r>
        <w:t>Liu, Wang, and Zhou (2021) provide a more applied example by proposing a knowledge-based coaching system that fuses HCI and AI for sports training. Although that study is not about grassroots football, it reinforces the idea that systems should be designed as coaching aids rather than as stand-alone predictive engines. For the present project, the main implication is clear: the software should not be conceived as a general fitness app or an all-purpose virtual coach. Its design should be scoped as tactical coaching support for low-resource football teams.</w:t>
      </w:r>
    </w:p>
    <w:p>
      <w:pPr>
        <w:pStyle w:val="Head2"/>
      </w:pPr>
      <w:r>
        <w:t>Synthesis and research gap</w:t>
      </w:r>
    </w:p>
    <w:p>
      <w:pPr>
        <w:pStyle w:val="PostHeadPara"/>
      </w:pPr>
      <w:r>
        <w:t>Taken together, the literature reveals a gap at the intersection of three otherwise active fields. First, football analytics has become technically sophisticated, but its strongest examples still cluster around elite settings, high-quality tracking data, and specialized analysts. Second, grassroots digitalisation research shows that low-resource teams face different constraints and priorities, which means that merely shrinking professional software is unlikely to solve the adoption problem. Third, the sports XAI literature remains thin and rarely tests explanation strategies with the coaches and players who must act on them. This leaves a missing middle: a low-cost, video-based, explainable tactical review tool designed specifically for grassroots football workflows.</w:t>
      </w:r>
    </w:p>
    <w:p>
      <w:pPr>
        <w:pStyle w:val="Para"/>
      </w:pPr>
      <w:r>
        <w:t>The present research is positioned to address that gap. Its premise is not that grassroots teams need comprehensive personal training, fitness planning, or rehabilitation support in a single platform. Rather, they need a focused tactical software tool that uses ordinary video to flag and explain team-level issues such as shape, spacing, compactness, pressing structure, transitions, and off-ball support. That scope is narrow enough to be designable and evaluable, while still addressing an important unmet need in community-level football.</w:t>
      </w:r>
    </w:p>
    <w:p>
      <w:pPr>
        <w:pStyle w:val="Head1"/>
      </w:pPr>
      <w:r>
        <w:t>CONCLUSION</w:t>
      </w:r>
    </w:p>
    <w:p>
      <w:pPr>
        <w:pStyle w:val="PostHeadPara"/>
      </w:pPr>
      <w:r>
        <w:t>The literature review shows that the study of explainable AI in grassroots football sits at the intersection of several active research areas. Digital transformation research highlights unequal access to advanced tools. Football analytics research demonstrates that tactical behaviour can be modeled through sophisticated computational methods. Explainability and trust research shows that useful AI systems must communicate transparently with non-expert users. Sports interaction design research emphasizes workflow fit, actionable feedback, and accessible interfaces.</w:t>
      </w:r>
    </w:p>
    <w:p>
      <w:pPr>
        <w:pStyle w:val="Para"/>
      </w:pPr>
      <w:r>
        <w:t>Together, these strands justify a study focused on tactical software for low-resource football teams. The strongest contribution is likely to come from combining technical feasibility with human-centered explanation design. In other words, the value of the proposed system lies not only in what it can detect, but in how clearly it can help coaches and players understand what happened and why it matters.</w:t>
      </w:r>
    </w:p>
    <w:p>
      <w:pPr>
        <w:pStyle w:val="AckHead"/>
      </w:pPr>
      <w:r>
        <w:t>ACKNOWLEDGMENTS</w:t>
      </w:r>
    </w:p>
    <w:p>
      <w:pPr>
        <w:pStyle w:val="AckPara"/>
      </w:pPr>
      <w:r>
        <w:t>This section is intentionally left as a placeholder for funding, institutional support, advisor acknowledgments, and any ethics or field-access support that should be added by the authors before submission.</w:t>
      </w:r>
    </w:p>
    <w:p>
      <w:pPr>
        <w:pStyle w:val="ReferenceHead"/>
      </w:pPr>
      <w:r>
        <w:t>REFERENCES</w:t>
      </w:r>
    </w:p>
    <w:p>
      <w:pPr>
        <w:pStyle w:val="Bibentry"/>
      </w:pPr>
      <w:r>
        <w:rPr>
          <w:sz w:val="19"/>
        </w:rPr>
        <w:t>Alves, Ricardo, Gonçalo Dias, Nuno André Nunes, Sérgio M. Querido, and Vasco Vaz. 2025. Social network analysis in football: a systematic review of performance and tactical applications. Frontiers in Psychology 16:1659603. https://doi.org/10.3389/fpsyg.2025.1659603</w:t>
      </w:r>
    </w:p>
    <w:p>
      <w:pPr>
        <w:pStyle w:val="Bibentry"/>
      </w:pPr>
      <w:r>
        <w:rPr>
          <w:sz w:val="19"/>
        </w:rPr>
        <w:t>Andrienko, Gennady, Natalia Andrienko, Gabriel Anzer, Pascal Bauer, Guido Budziak, Georg Fuchs, Dirk Hecker, Hendrik Weber, and Stefan Wrobel. 2021. Constructing spaces and times for tactical analysis in football. IEEE Transactions on Visualization and Computer Graphics 27(4):2280–2297. https://doi.org/10.1109/TVCG.2019.2952129</w:t>
      </w:r>
    </w:p>
    <w:p>
      <w:pPr>
        <w:pStyle w:val="Bibentry"/>
      </w:pPr>
      <w:r>
        <w:rPr>
          <w:sz w:val="19"/>
        </w:rPr>
        <w:t>Camilleri, Vanessa, Reno Yuri Camilleri, Mark Fialovszky, Daniel Pace, Dylan Seychell, and Matthew Montebello. 2025. Towards explainable multimodal sensing for swimming analysis: early findings from the SWIM-360 Project. Sensors 25(22):7047. https://doi.org/10.3390/s25227047</w:t>
      </w:r>
    </w:p>
    <w:p>
      <w:pPr>
        <w:pStyle w:val="Bibentry"/>
      </w:pPr>
      <w:r>
        <w:rPr>
          <w:sz w:val="19"/>
        </w:rPr>
        <w:t>DigiRoot Project Consortium. 2024. Desk Research: Best Practices in Digitalisation of Grassroots Sport Clubs. Erasmus+ Sport project deliverable. https://digiroot-project.eu</w:t>
      </w:r>
    </w:p>
    <w:p>
      <w:pPr>
        <w:pStyle w:val="Bibentry"/>
      </w:pPr>
      <w:r>
        <w:rPr>
          <w:sz w:val="19"/>
        </w:rPr>
        <w:t>Dindorf, Carlo, Jonas Dully, Eva Bartaguiz, Tessa Menges, Claudia Reidick, Johann-Nikolaus Seibert, and Michael Fröhlich. 2025. Characteristics and perceived suitability of artificial intelligence-driven sports coaches: a pilot study on psychological and perceptual factors. Frontiers in Sports and Active Living 7:1548980. https://doi.org/10.3389/fspor.2025.1548980</w:t>
      </w:r>
    </w:p>
    <w:p>
      <w:pPr>
        <w:pStyle w:val="Bibentry"/>
      </w:pPr>
      <w:r>
        <w:rPr>
          <w:sz w:val="19"/>
        </w:rPr>
        <w:t>European Commission. 2025. Artificial Intelligence in the Sport Sector. Publications Office of the European Union, SHARE 2.0 initiative. https://op.europa.eu</w:t>
      </w:r>
    </w:p>
    <w:p>
      <w:pPr>
        <w:pStyle w:val="Bibentry"/>
      </w:pPr>
      <w:r>
        <w:rPr>
          <w:sz w:val="19"/>
        </w:rPr>
        <w:t>Goes, F. R., M. Kempe, J. van Norel, and K. A. P. M. Lemmink. 2021. Modelling team performance in soccer using tactical features derived from position tracking data. IMA Journal of Management Mathematics 32(4):519–533. https://doi.org/10.1093/imaman/dpab006</w:t>
      </w:r>
    </w:p>
    <w:p>
      <w:pPr>
        <w:pStyle w:val="Bibentry"/>
      </w:pPr>
      <w:r>
        <w:rPr>
          <w:sz w:val="19"/>
        </w:rPr>
        <w:t>Hammes, Fabian, Alexander Hagg, Alexander Asteroth, and Daniel Link. 2022. Artificial intelligence in elite sports—A narrative review of success stories and challenges. Frontiers in Sports and Active Living 4:861466. https://doi.org/10.3389/fspor.2022.861466</w:t>
      </w:r>
    </w:p>
    <w:p>
      <w:pPr>
        <w:pStyle w:val="Bibentry"/>
      </w:pPr>
      <w:r>
        <w:rPr>
          <w:sz w:val="19"/>
        </w:rPr>
        <w:t>Kranzinger, Stefan, Christina Halmich, Dominik Hofer, and Christina Kranzinger. 2026. A scoping review of explainable artificial intelligence in sports science. Discover Artificial Intelligence 6:5. https://doi.org/10.1007/s44163-025-00709-8</w:t>
      </w:r>
    </w:p>
    <w:p>
      <w:pPr>
        <w:pStyle w:val="Bibentry"/>
      </w:pPr>
      <w:r>
        <w:rPr>
          <w:sz w:val="19"/>
        </w:rPr>
        <w:t>Kröckel, Pavlina, and Freimut Bodendorf. 2020. Process mining of football event data: a novel approach for tactical insights into the game. Frontiers in Artificial Intelligence 3:47. https://doi.org/10.3389/frai.2020.00047</w:t>
      </w:r>
    </w:p>
    <w:p>
      <w:pPr>
        <w:pStyle w:val="Bibentry"/>
      </w:pPr>
      <w:r>
        <w:rPr>
          <w:sz w:val="19"/>
        </w:rPr>
        <w:t>Kumar, Ravinder, Priyanka Bogia, Ameen Ul Haq, Vikram Singh, and T. Onima Reddy. 2025. Leveraging artificial intelligence and machine learning in sport sciences: a systematic literature review of applications, outcomes, and future directions. Sport Sciences for Health 21(4):2429–2449. https://doi.org/10.1007/s11332-025-01482-y</w:t>
      </w:r>
    </w:p>
    <w:p>
      <w:pPr>
        <w:pStyle w:val="Bibentry"/>
      </w:pPr>
      <w:r>
        <w:rPr>
          <w:sz w:val="19"/>
        </w:rPr>
        <w:t>Liu, Jie, Le Wang, and Hang Zhou. 2021. The application of human–computer interaction technology fused with artificial intelligence in sports moving target detection education for college athlete. Frontiers in Psychology 12:677590. https://doi.org/10.3389/fpsyg.2021.677590</w:t>
      </w:r>
    </w:p>
    <w:p>
      <w:pPr>
        <w:pStyle w:val="Bibentry"/>
      </w:pPr>
      <w:r>
        <w:rPr>
          <w:sz w:val="19"/>
        </w:rPr>
        <w:t>Low, Benedict, Diogo Coutinho, Bruno Gonçalves, Robert Rein, Daniel Memmert, and Jaime Sampaio. 2020. A systematic review of collective tactical behaviours in football using positional data. Sports Medicine 50(2):343–385. https://doi.org/10.1007/s40279-019-01194-7</w:t>
      </w:r>
    </w:p>
    <w:p>
      <w:pPr>
        <w:pStyle w:val="Bibentry"/>
      </w:pPr>
      <w:r>
        <w:rPr>
          <w:sz w:val="19"/>
        </w:rPr>
        <w:t>Memmert, Daniel, Koen A. P. M. Lemmink, and Jaime Sampaio. 2017. Current approaches to tactical performance analyses in soccer using position data. Sports Medicine 47(1):1–10. https://doi.org/10.1007/s40279-016-0562-5</w:t>
      </w:r>
    </w:p>
    <w:p>
      <w:pPr>
        <w:pStyle w:val="Bibentry"/>
      </w:pPr>
      <w:r>
        <w:rPr>
          <w:sz w:val="19"/>
        </w:rPr>
        <w:t>Onuigbo, Nnamdi Ronald. 2026. Feasibility Studies of a Smartphone-Based AI-Powered Feedback System for Home-Based Youth Football Training. Master’s thesis. KTH Royal Institute of Technology.</w:t>
      </w:r>
    </w:p>
    <w:p>
      <w:pPr>
        <w:pStyle w:val="Bibentry"/>
      </w:pPr>
      <w:r>
        <w:rPr>
          <w:sz w:val="19"/>
        </w:rPr>
        <w:t>Ötting, Marius, and Dimitris Karlis. 2023. Football tracking data: a copula-based hidden Markov model for classification of tactics in football. Annals of Operations Research 325(1):167–183. https://doi.org/10.1007/s10479-022-04660-0</w:t>
      </w:r>
    </w:p>
    <w:p>
      <w:pPr>
        <w:pStyle w:val="Bibentry"/>
      </w:pPr>
      <w:r>
        <w:rPr>
          <w:sz w:val="19"/>
        </w:rPr>
        <w:t>Pietraszewski, Przemysław, Artur Terbalyan, Robert Roczniok, Adam Maszczyk, Kajetan Ornowski, Daria Manilewska, Szymon Kuliś, Adam Zając, and Artur Gołaś. 2025. The role of artificial intelligence in sports analytics: a systematic review and meta-analysis of performance trends. Applied Sciences 15(13):7254. https://doi.org/10.3390/app15137254</w:t>
      </w:r>
    </w:p>
    <w:p>
      <w:pPr>
        <w:pStyle w:val="Bibentry"/>
      </w:pPr>
      <w:r>
        <w:rPr>
          <w:sz w:val="19"/>
        </w:rPr>
        <w:t>Postma, Dees B. W., Robby W. van Delden, Jeroen H. Koekoek, Wytse W. Walinga, Ivo M. van Hilvoorde, Bert Jan F. van Beijnum, Fahim A. Salim, and Dennis Reidsma. 2022. A design space of sports interaction technology. Foundations and Trends in Human–Computer Interaction 15(2–3):132–316. https://doi.org/10.1561/1100000087</w:t>
      </w:r>
    </w:p>
    <w:p>
      <w:pPr>
        <w:pStyle w:val="Bibentry"/>
      </w:pPr>
      <w:r>
        <w:rPr>
          <w:sz w:val="19"/>
        </w:rPr>
        <w:t>Souaifi, Marouen, Wissem Dhahbi, Nidhal Jebabli, Halil İbrahim Ceylan, Manar Boujabli, Raul Ioan Muntean, and Ismail Dergaa. 2025. Artificial intelligence in sports biomechanics: a scoping review on wearable technology, motion analysis, and injury prevention. Bioengineering 12(8):887. https://doi.org/10.3390/bioengineering12080887</w:t>
      </w:r>
    </w:p>
    <w:p>
      <w:pPr>
        <w:pStyle w:val="Bibentry"/>
      </w:pPr>
      <w:r>
        <w:rPr>
          <w:sz w:val="19"/>
        </w:rPr>
        <w:t>Smith, Ian, Erik Scheme, and Scott Bateman. 2025. A framework for interactive sport training technology. Foundations and Trends in Human–Computer Interaction 19(1):1–111. https://doi.org/10.1561/1100000096</w:t>
      </w:r>
    </w:p>
    <w:p>
      <w:pPr>
        <w:pStyle w:val="Bibentry"/>
      </w:pPr>
      <w:r>
        <w:rPr>
          <w:sz w:val="19"/>
        </w:rPr>
        <w:t>Teixeira, José E., Eduardo Maio, Pedro Afonso, Samuel Encarnação, Guilherme F. Machado, Ryland Morgans, Tiago M. Barbosa, António M. Monteiro, Pedro Forte, Ricardo Ferraz, and Luís Branquinho. 2025. Mapping football tactical behavior and collective dynamics with artificial intelligence: a systematic review. Frontiers in Sports and Active Living 7:1569155. https://doi.org/10.3389/fspor.2025.1569155</w:t>
      </w:r>
    </w:p>
    <w:p>
      <w:pPr>
        <w:pStyle w:val="Bibentry"/>
      </w:pPr>
      <w:r>
        <w:rPr>
          <w:sz w:val="19"/>
        </w:rPr>
        <w:t>Wachholz, Felix, Stefano Manno, Daniel Schlachter, Nicole Gamper, and Martin Schnitzer. 2025. Acceptance and trust in AI-generated exercise plans among recreational athletes and quality evaluation by experienced coaches: a pilot study. BMC Research Notes 18:112. https://doi.org/10.1186/s13104-025-07172-9</w:t>
      </w:r>
    </w:p>
    <w:p>
      <w:pPr>
        <w:pStyle w:val="Bibentry"/>
      </w:pPr>
      <w:r>
        <w:rPr>
          <w:sz w:val="19"/>
        </w:rPr>
        <w:t>Wang, Jiao. 2025. Exploration of the path of digital technology empowering the sustainable development of alumni football—a study based on ordinal logistic regression analysis. Frontiers in Sports and Active Living 7:1613339. https://doi.org/10.3389/fspor.2025.1613339</w:t>
      </w:r>
    </w:p>
    <w:p>
      <w:pPr>
        <w:pStyle w:val="Bibentry"/>
      </w:pPr>
      <w:r>
        <w:rPr>
          <w:sz w:val="19"/>
        </w:rPr>
        <w:t>Wang, Zhe, Petar Veličković, Daniel Hennes, Nenad Tomašev, Laurel Prince, Michael Kaisers, Yoram Bachrach, Romuald Elie, Li Kevin Wenliang, Federico Piccinini, William Spearman, Ian Graham, Jerome Connor, Yi Yang, Adrià Recasens, Mina Khan, Nathalie Beauguerlange, Pablo Sprechmann, Pol Moreno, Nicolas Heess, Michael Bowling, Demis Hassabis, and Karl Tuyls. 2024. TacticAI: an AI assistant for football tactics. Nature Communications 15:1906. https://doi.org/10.1038/s41467-024-45965-x</w:t>
      </w:r>
    </w:p>
    <w:p>
      <w:pPr>
        <w:pStyle w:val="Bibentry"/>
      </w:pPr>
      <w:r>
        <w:rPr>
          <w:sz w:val="19"/>
        </w:rPr>
        <w:t>Yang, Wenli, Yuchen Wei, Hanyu Wei, Yanyu Chen, Guan Huang, Xiang Li, Renjie Li, Naimeng Yao, Xinyi Wang, Xiaotong Gu, Muhammad Bilal Amin, and Byeong Kang. 2023. Survey on explainable AI: from approaches, limitations and applications aspects. Human-Centric Intelligent Systems 3:161–188. https://doi.org/10.1007/s44230-023-00038-y</w:t>
      </w:r>
    </w:p>
    <w:p>
      <w:pPr>
        <w:pStyle w:val="Bibentry"/>
      </w:pPr>
      <w:r>
        <w:rPr>
          <w:sz w:val="19"/>
        </w:rPr>
        <w:t>Schwalbe, Gesina, and Sebastian Finzel. 2024. A comprehensive taxonomy for explainable artificial intelligence: a systematic survey of surveys on methods and concepts. Data Mining and Knowledge Discovery 38:3043–3101. https://doi.org/10.1007/s10618-022-00867-8</w:t>
      </w:r>
    </w:p>
    <w:p>
      <w:pPr>
        <w:pStyle w:val="Bibentry"/>
      </w:pPr>
      <w:r>
        <w:rPr>
          <w:sz w:val="19"/>
        </w:rPr>
        <w:t>Zhong, Qiying, Jiajun Jiang, Wenting Bai, Zhihua Yin, Ziyuan Liao, and Xiaohui Zhong. 2025. Application of digital-intelligent technologies in physical education: a systematic review. Frontiers in Public Health 13:1626603. https://doi.org/10.3389/fpubh.2025.1626603</w:t>
      </w:r>
    </w:p>
    <w:sectPr w:rsidR="005B434B" w:rsidRPr="00B1638F" w:rsidSect="000C6221">
      <w:footerReference w:type="default" r:id="rId26"/>
      <w:footerReference w:type="first" r:id="rId27"/>
      <w:headerReference w:type="default" r:id="rId30"/>
      <w:headerReference w:type="first" r:id="rId3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7BD" w:rsidRDefault="00B657BD" w:rsidP="005B434B">
      <w:pPr>
        <w:spacing w:after="0" w:line="240" w:lineRule="auto"/>
      </w:pPr>
      <w:r>
        <w:separator/>
      </w:r>
    </w:p>
  </w:endnote>
  <w:endnote w:type="continuationSeparator" w:id="0">
    <w:p w:rsidR="00B657BD" w:rsidRDefault="00B657BD"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panose1 w:val="02000503000000000000"/>
    <w:charset w:val="00"/>
    <w:family w:val="auto"/>
    <w:pitch w:val="variable"/>
    <w:sig w:usb0="E0000AFF" w:usb1="5200E5FB" w:usb2="02000020" w:usb3="00000000" w:csb0="000001BF" w:csb1="00000000"/>
  </w:font>
  <w:font w:name="Linux Biolinum">
    <w:altName w:val="Times New Roman"/>
    <w:panose1 w:val="02000503000000000000"/>
    <w:charset w:val="00"/>
    <w:family w:val="auto"/>
    <w:pitch w:val="variable"/>
    <w:sig w:usb0="E0000AFF" w:usb1="5000E5FB" w:usb2="0000002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B43" w:rsidRDefault="00737F1F" w:rsidP="00894B4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1E2D05" w:rsidRDefault="00B65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7BD" w:rsidRDefault="00B657BD" w:rsidP="005B434B">
      <w:pPr>
        <w:spacing w:after="0" w:line="240" w:lineRule="auto"/>
      </w:pPr>
      <w:r>
        <w:separator/>
      </w:r>
    </w:p>
  </w:footnote>
  <w:footnote w:type="continuationSeparator" w:id="0">
    <w:p w:rsidR="00B657BD" w:rsidRDefault="00B657BD"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17F0B4D"/>
    <w:multiLevelType w:val="multilevel"/>
    <w:tmpl w:val="4D6825E8"/>
    <w:numStyleLink w:val="111111"/>
  </w:abstractNum>
  <w:abstractNum w:abstractNumId="2">
    <w:nsid w:val="2A263F6D"/>
    <w:multiLevelType w:val="singleLevel"/>
    <w:tmpl w:val="40090019"/>
    <w:lvl w:ilvl="0">
      <w:start w:val="1"/>
      <w:numFmt w:val="decimal"/>
      <w:lvlText w:val="%1."/>
      <w:lvlJc w:val="left"/>
      <w:pPr>
        <w:ind w:left="480" w:hanging="240"/>
      </w:pPr>
      <w:rPr>
        <w:rFonts w:hint="default"/>
      </w:rPr>
    </w:lvl>
  </w:abstractNum>
  <w:abstractNum w:abstractNumId="3">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53E22"/>
    <w:multiLevelType w:val="singleLevel"/>
    <w:tmpl w:val="40090019"/>
    <w:lvl w:ilvl="0">
      <w:start w:val="1"/>
      <w:numFmt w:val="decimal"/>
      <w:lvlText w:val="%1."/>
      <w:lvlJc w:val="left"/>
      <w:pPr>
        <w:ind w:left="480" w:hanging="240"/>
      </w:pPr>
      <w:rPr>
        <w:rFonts w:hint="default"/>
      </w:rPr>
    </w:lvl>
  </w:abstractNum>
  <w:abstractNum w:abstractNumId="7">
    <w:nsid w:val="48274591"/>
    <w:multiLevelType w:val="singleLevel"/>
    <w:tmpl w:val="40090019"/>
    <w:lvl w:ilvl="0">
      <w:start w:val="1"/>
      <w:numFmt w:val="decimal"/>
      <w:lvlText w:val="%1."/>
      <w:lvlJc w:val="left"/>
      <w:pPr>
        <w:ind w:left="480" w:hanging="240"/>
      </w:pPr>
      <w:rPr>
        <w:rFonts w:hint="default"/>
      </w:rPr>
    </w:lvl>
  </w:abstractNum>
  <w:abstractNum w:abstractNumId="8">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nsid w:val="6B514737"/>
    <w:multiLevelType w:val="singleLevel"/>
    <w:tmpl w:val="40090019"/>
    <w:lvl w:ilvl="0">
      <w:start w:val="1"/>
      <w:numFmt w:val="decimal"/>
      <w:lvlText w:val="%1."/>
      <w:lvlJc w:val="left"/>
      <w:pPr>
        <w:ind w:left="480" w:hanging="240"/>
      </w:pPr>
      <w:rPr>
        <w:rFonts w:hint="default"/>
      </w:rPr>
    </w:lvl>
  </w:abstractNum>
  <w:abstractNum w:abstractNumId="12">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B434B"/>
    <w:rsid w:val="005C3913"/>
    <w:rsid w:val="006B5C30"/>
    <w:rsid w:val="00720F9D"/>
    <w:rsid w:val="00737F1F"/>
    <w:rsid w:val="007B36F5"/>
    <w:rsid w:val="007E20EF"/>
    <w:rsid w:val="0081437E"/>
    <w:rsid w:val="00854D22"/>
    <w:rsid w:val="00884E06"/>
    <w:rsid w:val="008D14C0"/>
    <w:rsid w:val="00920182"/>
    <w:rsid w:val="009641B8"/>
    <w:rsid w:val="009B76D7"/>
    <w:rsid w:val="009F684F"/>
    <w:rsid w:val="00A27A9F"/>
    <w:rsid w:val="00A3685D"/>
    <w:rsid w:val="00A55475"/>
    <w:rsid w:val="00A6011A"/>
    <w:rsid w:val="00AD6C5E"/>
    <w:rsid w:val="00AF5390"/>
    <w:rsid w:val="00B40EB1"/>
    <w:rsid w:val="00B657BD"/>
    <w:rsid w:val="00BD04E6"/>
    <w:rsid w:val="00D07298"/>
    <w:rsid w:val="00DA1CE2"/>
    <w:rsid w:val="00E037CD"/>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 Id="rId30" Type="http://schemas.openxmlformats.org/officeDocument/2006/relationships/header" Target="header1.xml"/><Relationship Id="rId3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5167</Words>
  <Characters>29455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in Grassroots Sports: Designing Tactical Software for Low-Resource Football Teams</dc:title>
  <dc:subject>Draft literature review paper</dc:subject>
  <dc:creator>Thanakrit Numnaun; Thanpisit Mukkhan; Nonthawat Makdee; Akkaranat Thanathammanan</dc:creator>
  <cp:keywords>explainable AI, grassroots football, tactical analysis, low-resource teams, sports analytics, human-centered design</cp:keywords>
  <dc:description>Styled to match ACM one-column submission template.</dc:description>
  <cp:lastModifiedBy>Hemant uniyal</cp:lastModifiedBy>
  <cp:revision>30</cp:revision>
  <dcterms:created xsi:type="dcterms:W3CDTF">2020-08-18T11:08:00Z</dcterms:created>
  <dcterms:modified xsi:type="dcterms:W3CDTF">2021-09-24T13:50:00Z</dcterms:modified>
</cp:coreProperties>
</file>