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480"/>
        <w:jc w:val="center"/>
      </w:pPr>
      <w:r>
        <w:drawing>
          <wp:inline xmlns:a="http://schemas.openxmlformats.org/drawingml/2006/main" xmlns:pic="http://schemas.openxmlformats.org/drawingml/2006/picture">
            <wp:extent cx="5943600" cy="3121163"/>
            <wp:docPr id="1" name="Picture 1" descr="FinAccess Eswatini report cover graphic with the project title and analytical motif." title="FinAccess Eswatini report cover graphic with the project title and analytical motif."/>
            <wp:cNvGraphicFramePr>
              <a:graphicFrameLocks noChangeAspect="1"/>
            </wp:cNvGraphicFramePr>
            <a:graphic>
              <a:graphicData uri="http://schemas.openxmlformats.org/drawingml/2006/picture">
                <pic:pic>
                  <pic:nvPicPr>
                    <pic:cNvPr id="0" name="og.png"/>
                    <pic:cNvPicPr/>
                  </pic:nvPicPr>
                  <pic:blipFill>
                    <a:blip r:embed="rId12"/>
                    <a:stretch>
                      <a:fillRect/>
                    </a:stretch>
                  </pic:blipFill>
                  <pic:spPr>
                    <a:xfrm>
                      <a:off x="0" y="0"/>
                      <a:ext cx="5943600" cy="3121163"/>
                    </a:xfrm>
                    <a:prstGeom prst="rect"/>
                  </pic:spPr>
                </pic:pic>
              </a:graphicData>
            </a:graphic>
          </wp:inline>
        </w:drawing>
      </w:r>
    </w:p>
    <w:p>
      <w:pPr>
        <w:spacing w:after="160"/>
        <w:jc w:val="center"/>
      </w:pPr>
      <w:r>
        <w:rPr>
          <w:rFonts w:ascii="Calibri" w:hAnsi="Calibri"/>
          <w:b/>
          <w:color w:val="294A78"/>
          <w:sz w:val="48"/>
        </w:rPr>
        <w:t>PHASE 1-11 IMPLEMENTATION REPORT</w:t>
      </w:r>
    </w:p>
    <w:p>
      <w:pPr>
        <w:spacing w:after="360"/>
        <w:jc w:val="center"/>
      </w:pPr>
      <w:r>
        <w:rPr>
          <w:rFonts w:ascii="Calibri" w:hAnsi="Calibri"/>
          <w:color w:val="697B91"/>
          <w:sz w:val="25"/>
        </w:rPr>
        <w:t>Tasks completed, technical reasoning, evidence, and current project state</w:t>
      </w:r>
    </w:p>
    <w:tbl>
      <w:tblPr>
        <w:tblW w:type="dxa" w:w="9360"/>
        <w:jc w:val="left"/>
        <w:tblLayout w:type="fixed"/>
        <w:tblLook w:firstColumn="1" w:firstRow="1" w:lastColumn="0" w:lastRow="0" w:noHBand="0" w:noVBand="1" w:val="04A0"/>
        <w:tblInd w:w="120" w:type="dxa"/>
        <w:tblBorders>
          <w:top w:val="single" w:sz="6" w:color="D9E3F0"/>
          <w:left w:val="single" w:sz="6" w:color="D9E3F0"/>
          <w:bottom w:val="single" w:sz="6" w:color="D9E3F0"/>
          <w:right w:val="single" w:sz="6" w:color="D9E3F0"/>
          <w:insideH w:val="single" w:sz="6" w:color="D9E3F0"/>
          <w:insideV w:val="single" w:sz="6" w:color="D9E3F0"/>
        </w:tblBorders>
      </w:tblPr>
      <w:tblGrid>
        <w:gridCol w:w="2500"/>
        <w:gridCol w:w="6860"/>
      </w:tblGrid>
      <w:tr>
        <w:trPr>
          <w:cantSplit/>
        </w:trPr>
        <w:tc>
          <w:tcPr>
            <w:tcW w:type="dxa" w:w="2500"/>
            <w:tcMar>
              <w:top w:w="80" w:type="dxa"/>
              <w:start w:w="120" w:type="dxa"/>
              <w:bottom w:w="80" w:type="dxa"/>
              <w:end w:w="120" w:type="dxa"/>
            </w:tcMar>
            <w:vAlign w:val="center"/>
            <w:shd w:fill="EAF1FB"/>
          </w:tcPr>
          <w:p>
            <w:r>
              <w:rPr>
                <w:rFonts w:ascii="Calibri" w:hAnsi="Calibri"/>
                <w:b/>
                <w:color w:val="386BD1"/>
                <w:sz w:val="17"/>
              </w:rPr>
              <w:t>PROJECT</w:t>
            </w:r>
          </w:p>
        </w:tc>
        <w:tc>
          <w:tcPr>
            <w:tcW w:type="dxa" w:w="6860"/>
            <w:tcMar>
              <w:top w:w="80" w:type="dxa"/>
              <w:start w:w="120" w:type="dxa"/>
              <w:bottom w:w="80" w:type="dxa"/>
              <w:end w:w="120" w:type="dxa"/>
            </w:tcMar>
            <w:vAlign w:val="center"/>
          </w:tcPr>
          <w:p>
            <w:r>
              <w:rPr>
                <w:rFonts w:ascii="Calibri" w:hAnsi="Calibri"/>
                <w:color w:val="263F61"/>
                <w:sz w:val="21"/>
              </w:rPr>
              <w:t>FinAccess Eswatini</w:t>
            </w:r>
          </w:p>
        </w:tc>
      </w:tr>
      <w:tr>
        <w:trPr>
          <w:cantSplit/>
        </w:trPr>
        <w:tc>
          <w:tcPr>
            <w:tcW w:type="dxa" w:w="2500"/>
            <w:tcMar>
              <w:top w:w="80" w:type="dxa"/>
              <w:start w:w="120" w:type="dxa"/>
              <w:bottom w:w="80" w:type="dxa"/>
              <w:end w:w="120" w:type="dxa"/>
            </w:tcMar>
            <w:vAlign w:val="center"/>
            <w:shd w:fill="EAF1FB"/>
          </w:tcPr>
          <w:p>
            <w:r>
              <w:rPr>
                <w:rFonts w:ascii="Calibri" w:hAnsi="Calibri"/>
                <w:b/>
                <w:color w:val="386BD1"/>
                <w:sz w:val="17"/>
              </w:rPr>
              <w:t>PREPARED FOR</w:t>
            </w:r>
          </w:p>
        </w:tc>
        <w:tc>
          <w:tcPr>
            <w:tcW w:type="dxa" w:w="6860"/>
            <w:tcMar>
              <w:top w:w="80" w:type="dxa"/>
              <w:start w:w="120" w:type="dxa"/>
              <w:bottom w:w="80" w:type="dxa"/>
              <w:end w:w="120" w:type="dxa"/>
            </w:tcMar>
            <w:vAlign w:val="center"/>
          </w:tcPr>
          <w:p>
            <w:r>
              <w:rPr>
                <w:rFonts w:ascii="Calibri" w:hAnsi="Calibri"/>
                <w:color w:val="263F61"/>
                <w:sz w:val="21"/>
              </w:rPr>
              <w:t>Project owner and portfolio reviewers</w:t>
            </w:r>
          </w:p>
        </w:tc>
      </w:tr>
      <w:tr>
        <w:trPr>
          <w:cantSplit/>
        </w:trPr>
        <w:tc>
          <w:tcPr>
            <w:tcW w:type="dxa" w:w="2500"/>
            <w:tcMar>
              <w:top w:w="80" w:type="dxa"/>
              <w:start w:w="120" w:type="dxa"/>
              <w:bottom w:w="80" w:type="dxa"/>
              <w:end w:w="120" w:type="dxa"/>
            </w:tcMar>
            <w:vAlign w:val="center"/>
            <w:shd w:fill="EAF1FB"/>
          </w:tcPr>
          <w:p>
            <w:r>
              <w:rPr>
                <w:rFonts w:ascii="Calibri" w:hAnsi="Calibri"/>
                <w:b/>
                <w:color w:val="386BD1"/>
                <w:sz w:val="17"/>
              </w:rPr>
              <w:t>PREPARED BY</w:t>
            </w:r>
          </w:p>
        </w:tc>
        <w:tc>
          <w:tcPr>
            <w:tcW w:type="dxa" w:w="6860"/>
            <w:tcMar>
              <w:top w:w="80" w:type="dxa"/>
              <w:start w:w="120" w:type="dxa"/>
              <w:bottom w:w="80" w:type="dxa"/>
              <w:end w:w="120" w:type="dxa"/>
            </w:tcMar>
            <w:vAlign w:val="center"/>
          </w:tcPr>
          <w:p>
            <w:r>
              <w:rPr>
                <w:rFonts w:ascii="Calibri" w:hAnsi="Calibri"/>
                <w:color w:val="263F61"/>
                <w:sz w:val="21"/>
              </w:rPr>
              <w:t>Thando F. Dlamini</w:t>
            </w:r>
          </w:p>
        </w:tc>
      </w:tr>
      <w:tr>
        <w:trPr>
          <w:cantSplit/>
        </w:trPr>
        <w:tc>
          <w:tcPr>
            <w:tcW w:type="dxa" w:w="2500"/>
            <w:tcMar>
              <w:top w:w="80" w:type="dxa"/>
              <w:start w:w="120" w:type="dxa"/>
              <w:bottom w:w="80" w:type="dxa"/>
              <w:end w:w="120" w:type="dxa"/>
            </w:tcMar>
            <w:vAlign w:val="center"/>
            <w:shd w:fill="EAF1FB"/>
          </w:tcPr>
          <w:p>
            <w:r>
              <w:rPr>
                <w:rFonts w:ascii="Calibri" w:hAnsi="Calibri"/>
                <w:b/>
                <w:color w:val="386BD1"/>
                <w:sz w:val="17"/>
              </w:rPr>
              <w:t>REPORTING DATE</w:t>
            </w:r>
          </w:p>
        </w:tc>
        <w:tc>
          <w:tcPr>
            <w:tcW w:type="dxa" w:w="6860"/>
            <w:tcMar>
              <w:top w:w="80" w:type="dxa"/>
              <w:start w:w="120" w:type="dxa"/>
              <w:bottom w:w="80" w:type="dxa"/>
              <w:end w:w="120" w:type="dxa"/>
            </w:tcMar>
            <w:vAlign w:val="center"/>
          </w:tcPr>
          <w:p>
            <w:r>
              <w:rPr>
                <w:rFonts w:ascii="Calibri" w:hAnsi="Calibri"/>
                <w:color w:val="263F61"/>
                <w:sz w:val="21"/>
              </w:rPr>
              <w:t>11 August 2026</w:t>
            </w:r>
          </w:p>
        </w:tc>
      </w:tr>
    </w:tbl>
    <w:p>
      <w:pPr>
        <w:spacing w:after="80"/>
      </w:pPr>
    </w:p>
    <w:tbl>
      <w:tblPr>
        <w:tblW w:type="dxa" w:w="9360"/>
        <w:jc w:val="left"/>
        <w:tblLayout w:type="fixed"/>
        <w:tblLook w:firstColumn="1" w:firstRow="1" w:lastColumn="0" w:lastRow="0" w:noHBand="0" w:noVBand="1" w:val="04A0"/>
        <w:tblInd w:w="120" w:type="dxa"/>
        <w:tblBorders>
          <w:top w:val="single" w:sz="8" w:color="2E9E92"/>
          <w:left w:val="single" w:sz="8" w:color="2E9E92"/>
          <w:bottom w:val="single" w:sz="8" w:color="2E9E92"/>
          <w:right w:val="single" w:sz="8" w:color="2E9E92"/>
          <w:insideH w:val="single" w:sz="8" w:color="2E9E92"/>
          <w:insideV w:val="single" w:sz="8" w:color="2E9E92"/>
        </w:tblBorders>
      </w:tblPr>
      <w:tblGrid>
        <w:gridCol w:w="9360"/>
      </w:tblGrid>
      <w:tr>
        <w:trPr>
          <w:cantSplit/>
        </w:trPr>
        <w:tc>
          <w:tcPr>
            <w:tcW w:type="dxa" w:w="9360"/>
            <w:tcMar>
              <w:top w:w="80" w:type="dxa"/>
              <w:start w:w="120" w:type="dxa"/>
              <w:bottom w:w="80" w:type="dxa"/>
              <w:end w:w="120" w:type="dxa"/>
            </w:tcMar>
            <w:vAlign w:val="center"/>
            <w:shd w:fill="E5F4F2"/>
          </w:tcPr>
          <w:p>
            <w:pPr>
              <w:spacing w:after="60"/>
            </w:pPr>
            <w:r>
              <w:rPr>
                <w:rFonts w:ascii="Calibri" w:hAnsi="Calibri"/>
                <w:b/>
                <w:color w:val="2E9E92"/>
                <w:sz w:val="17"/>
              </w:rPr>
              <w:t>CURRENT POSITION</w:t>
            </w:r>
          </w:p>
          <w:p>
            <w:pPr>
              <w:spacing w:after="0" w:line="259" w:lineRule="auto"/>
            </w:pPr>
            <w:r>
              <w:rPr>
                <w:rFonts w:ascii="Calibri" w:hAnsi="Calibri"/>
                <w:color w:val="263F61"/>
                <w:sz w:val="21"/>
              </w:rPr>
              <w:t>Eleven phases are complete. Two validated explainable models, a combined prediction API, and the selected Signal web application are ready for the deployment phase. Public deployment has not started.</w:t>
            </w:r>
          </w:p>
        </w:tc>
      </w:tr>
    </w:tbl>
    <w:p>
      <w:pPr>
        <w:spacing w:after="40"/>
      </w:pPr>
    </w:p>
    <w:p>
      <w:r>
        <w:br w:type="page"/>
      </w:r>
    </w:p>
    <w:p>
      <w:pPr>
        <w:pStyle w:val="Heading1"/>
      </w:pPr>
      <w:r>
        <w:t>Executive summary</w:t>
      </w:r>
    </w:p>
    <w:p>
      <w:pPr>
        <w:spacing w:after="120"/>
      </w:pPr>
      <w:r>
        <w:rPr>
          <w:rFonts w:ascii="Calibri" w:hAnsi="Calibri"/>
          <w:i w:val="0"/>
          <w:color w:val="263F61"/>
        </w:rPr>
        <w:t>FinAccess Eswatini is a portfolio-grade analytical and decision-support proof of concept built from World Bank Global Findex Eswatini microdata. The work was deliberately executed phase by phase so that data understanding, leakage control, statistical reasoning, predictive modelling, explainability, API engineering, and product design could each be validated before the next layer was introduced.</w:t>
      </w:r>
    </w:p>
    <w:p>
      <w:pPr>
        <w:spacing w:after="120"/>
      </w:pPr>
      <w:r>
        <w:rPr>
          <w:rFonts w:ascii="Calibri" w:hAnsi="Calibri"/>
          <w:i w:val="0"/>
          <w:color w:val="263F61"/>
        </w:rPr>
        <w:t>The system contains two independent machine-learning engines: one estimates whether a profile is likely to be financially included and the other estimates whether the profile is likely to use mobile money. The models share a product experience, but they do not share feature blueprints, selection decisions, evaluation splits, or explainers.</w:t>
      </w:r>
    </w:p>
    <w:tbl>
      <w:tblPr>
        <w:tblW w:type="dxa" w:w="9360"/>
        <w:jc w:val="left"/>
        <w:tblLayout w:type="fixed"/>
        <w:tblLook w:firstColumn="1" w:firstRow="1" w:lastColumn="0" w:lastRow="0" w:noHBand="0" w:noVBand="1" w:val="04A0"/>
        <w:tblInd w:w="120" w:type="dxa"/>
        <w:tblBorders>
          <w:top w:val="single" w:sz="8" w:color="386BD1"/>
          <w:left w:val="single" w:sz="8" w:color="386BD1"/>
          <w:bottom w:val="single" w:sz="8" w:color="386BD1"/>
          <w:right w:val="single" w:sz="8" w:color="386BD1"/>
          <w:insideH w:val="single" w:sz="8" w:color="386BD1"/>
          <w:insideV w:val="single" w:sz="8" w:color="386BD1"/>
        </w:tblBorders>
      </w:tblPr>
      <w:tblGrid>
        <w:gridCol w:w="9360"/>
      </w:tblGrid>
      <w:tr>
        <w:trPr>
          <w:cantSplit/>
        </w:trPr>
        <w:tc>
          <w:tcPr>
            <w:tcW w:type="dxa" w:w="9360"/>
            <w:tcMar>
              <w:top w:w="80" w:type="dxa"/>
              <w:start w:w="120" w:type="dxa"/>
              <w:bottom w:w="80" w:type="dxa"/>
              <w:end w:w="120" w:type="dxa"/>
            </w:tcMar>
            <w:vAlign w:val="center"/>
            <w:shd w:fill="EAF1FB"/>
          </w:tcPr>
          <w:p>
            <w:pPr>
              <w:spacing w:after="60"/>
            </w:pPr>
            <w:r>
              <w:rPr>
                <w:rFonts w:ascii="Calibri" w:hAnsi="Calibri"/>
                <w:b/>
                <w:color w:val="386BD1"/>
                <w:sz w:val="17"/>
              </w:rPr>
              <w:t>OUTCOME</w:t>
            </w:r>
          </w:p>
          <w:p>
            <w:pPr>
              <w:spacing w:after="0" w:line="259" w:lineRule="auto"/>
            </w:pPr>
            <w:r>
              <w:rPr>
                <w:rFonts w:ascii="Calibri" w:hAnsi="Calibri"/>
                <w:color w:val="263F61"/>
                <w:sz w:val="21"/>
              </w:rPr>
              <w:t>The project has progressed from a raw 1,051-row, 199-variable survey file to two leakage-reviewed model pipelines, validated SHAP explanations, a 17-field combined API, and a responsive Signal frontend with five product areas.</w:t>
            </w:r>
          </w:p>
        </w:tc>
      </w:tr>
    </w:tbl>
    <w:p>
      <w:pPr>
        <w:spacing w:after="40"/>
      </w:pPr>
    </w:p>
    <w:p>
      <w:pPr>
        <w:pStyle w:val="Heading2"/>
      </w:pPr>
      <w:r>
        <w:t>Project at a glance</w:t>
      </w:r>
    </w:p>
    <w:tbl>
      <w:tblPr>
        <w:tblW w:type="dxa" w:w="9360"/>
        <w:jc w:val="left"/>
        <w:tblLayout w:type="fixed"/>
        <w:tblLook w:firstColumn="1" w:firstRow="1" w:lastColumn="0" w:lastRow="0" w:noHBand="0" w:noVBand="1" w:val="04A0"/>
        <w:tblInd w:w="120" w:type="dxa"/>
        <w:tblBorders>
          <w:top w:val="single" w:sz="6" w:color="D7E0EB"/>
          <w:left w:val="single" w:sz="6" w:color="D7E0EB"/>
          <w:bottom w:val="single" w:sz="6" w:color="D7E0EB"/>
          <w:right w:val="single" w:sz="6" w:color="D7E0EB"/>
          <w:insideH w:val="single" w:sz="6" w:color="D7E0EB"/>
          <w:insideV w:val="single" w:sz="6" w:color="D7E0EB"/>
        </w:tblBorders>
      </w:tblPr>
      <w:tblGrid>
        <w:gridCol w:w="3000"/>
        <w:gridCol w:w="1860"/>
        <w:gridCol w:w="4500"/>
      </w:tblGrid>
      <w:tr>
        <w:trPr>
          <w:cantSplit/>
          <w:tblHeader w:val="true"/>
        </w:trPr>
        <w:tc>
          <w:tcPr>
            <w:tcW w:type="dxa" w:w="3000"/>
            <w:tcMar>
              <w:top w:w="80" w:type="dxa"/>
              <w:start w:w="120" w:type="dxa"/>
              <w:bottom w:w="80" w:type="dxa"/>
              <w:end w:w="120" w:type="dxa"/>
            </w:tcMar>
            <w:vAlign w:val="center"/>
            <w:shd w:fill="294A78"/>
          </w:tcPr>
          <w:p>
            <w:r>
              <w:rPr>
                <w:rFonts w:ascii="Calibri" w:hAnsi="Calibri"/>
                <w:b/>
                <w:color w:val="FFFFFF"/>
                <w:sz w:val="19"/>
              </w:rPr>
              <w:t>Measure</w:t>
            </w:r>
          </w:p>
        </w:tc>
        <w:tc>
          <w:tcPr>
            <w:tcW w:type="dxa" w:w="1860"/>
            <w:tcMar>
              <w:top w:w="80" w:type="dxa"/>
              <w:start w:w="120" w:type="dxa"/>
              <w:bottom w:w="80" w:type="dxa"/>
              <w:end w:w="120" w:type="dxa"/>
            </w:tcMar>
            <w:vAlign w:val="center"/>
            <w:shd w:fill="294A78"/>
          </w:tcPr>
          <w:p>
            <w:r>
              <w:rPr>
                <w:rFonts w:ascii="Calibri" w:hAnsi="Calibri"/>
                <w:b/>
                <w:color w:val="FFFFFF"/>
                <w:sz w:val="19"/>
              </w:rPr>
              <w:t>Result</w:t>
            </w:r>
          </w:p>
        </w:tc>
        <w:tc>
          <w:tcPr>
            <w:tcW w:type="dxa" w:w="4500"/>
            <w:tcMar>
              <w:top w:w="80" w:type="dxa"/>
              <w:start w:w="120" w:type="dxa"/>
              <w:bottom w:w="80" w:type="dxa"/>
              <w:end w:w="120" w:type="dxa"/>
            </w:tcMar>
            <w:vAlign w:val="center"/>
            <w:shd w:fill="294A78"/>
          </w:tcPr>
          <w:p>
            <w:r>
              <w:rPr>
                <w:rFonts w:ascii="Calibri" w:hAnsi="Calibri"/>
                <w:b/>
                <w:color w:val="FFFFFF"/>
                <w:sz w:val="19"/>
              </w:rPr>
              <w:t>Interpretation</w:t>
            </w:r>
          </w:p>
        </w:tc>
      </w:tr>
      <w:tr>
        <w:tc>
          <w:tcPr>
            <w:tcW w:type="dxa" w:w="3000"/>
            <w:shd w:fill="F8FAFC"/>
          </w:tcPr>
          <w:p>
            <w:r>
              <w:rPr>
                <w:rFonts w:ascii="Calibri" w:hAnsi="Calibri"/>
                <w:b w:val="0"/>
                <w:color w:val="263F61"/>
                <w:sz w:val="18"/>
              </w:rPr>
              <w:t>Raw dataset</w:t>
            </w:r>
          </w:p>
        </w:tc>
        <w:tc>
          <w:tcPr>
            <w:tcW w:type="dxa" w:w="1860"/>
            <w:shd w:fill="F8FAFC"/>
          </w:tcPr>
          <w:p>
            <w:r>
              <w:rPr>
                <w:rFonts w:ascii="Calibri" w:hAnsi="Calibri"/>
                <w:b/>
                <w:color w:val="263F61"/>
                <w:sz w:val="18"/>
              </w:rPr>
              <w:t>1,051 x 199</w:t>
            </w:r>
          </w:p>
        </w:tc>
        <w:tc>
          <w:tcPr>
            <w:tcW w:type="dxa" w:w="4500"/>
            <w:shd w:fill="F8FAFC"/>
          </w:tcPr>
          <w:p>
            <w:r>
              <w:rPr>
                <w:rFonts w:ascii="Calibri" w:hAnsi="Calibri"/>
                <w:b w:val="0"/>
                <w:color w:val="263F61"/>
                <w:sz w:val="18"/>
              </w:rPr>
              <w:t>One Eswatini survey extract; respondent-level microdata</w:t>
            </w:r>
          </w:p>
        </w:tc>
      </w:tr>
      <w:tr>
        <w:tc>
          <w:tcPr>
            <w:tcW w:type="dxa" w:w="3000"/>
          </w:tcPr>
          <w:p>
            <w:r>
              <w:rPr>
                <w:rFonts w:ascii="Calibri" w:hAnsi="Calibri"/>
                <w:b w:val="0"/>
                <w:color w:val="263F61"/>
                <w:sz w:val="18"/>
              </w:rPr>
              <w:t>Weighted financial inclusion</w:t>
            </w:r>
          </w:p>
        </w:tc>
        <w:tc>
          <w:tcPr>
            <w:tcW w:type="dxa" w:w="1860"/>
          </w:tcPr>
          <w:p>
            <w:r>
              <w:rPr>
                <w:rFonts w:ascii="Calibri" w:hAnsi="Calibri"/>
                <w:b/>
                <w:color w:val="263F61"/>
                <w:sz w:val="18"/>
              </w:rPr>
              <w:t>43.1%</w:t>
            </w:r>
          </w:p>
        </w:tc>
        <w:tc>
          <w:tcPr>
            <w:tcW w:type="dxa" w:w="4500"/>
          </w:tcPr>
          <w:p>
            <w:r>
              <w:rPr>
                <w:rFonts w:ascii="Calibri" w:hAnsi="Calibri"/>
                <w:b w:val="0"/>
                <w:color w:val="263F61"/>
                <w:sz w:val="18"/>
              </w:rPr>
              <w:t>Financial institution account estimate</w:t>
            </w:r>
          </w:p>
        </w:tc>
      </w:tr>
      <w:tr>
        <w:tc>
          <w:tcPr>
            <w:tcW w:type="dxa" w:w="3000"/>
            <w:shd w:fill="F8FAFC"/>
          </w:tcPr>
          <w:p>
            <w:r>
              <w:rPr>
                <w:rFonts w:ascii="Calibri" w:hAnsi="Calibri"/>
                <w:b w:val="0"/>
                <w:color w:val="263F61"/>
                <w:sz w:val="18"/>
              </w:rPr>
              <w:t>Weighted mobile money</w:t>
            </w:r>
          </w:p>
        </w:tc>
        <w:tc>
          <w:tcPr>
            <w:tcW w:type="dxa" w:w="1860"/>
            <w:shd w:fill="F8FAFC"/>
          </w:tcPr>
          <w:p>
            <w:r>
              <w:rPr>
                <w:rFonts w:ascii="Calibri" w:hAnsi="Calibri"/>
                <w:b/>
                <w:color w:val="263F61"/>
                <w:sz w:val="18"/>
              </w:rPr>
              <w:t>50.4%</w:t>
            </w:r>
          </w:p>
        </w:tc>
        <w:tc>
          <w:tcPr>
            <w:tcW w:type="dxa" w:w="4500"/>
            <w:shd w:fill="F8FAFC"/>
          </w:tcPr>
          <w:p>
            <w:r>
              <w:rPr>
                <w:rFonts w:ascii="Calibri" w:hAnsi="Calibri"/>
                <w:b w:val="0"/>
                <w:color w:val="263F61"/>
                <w:sz w:val="18"/>
              </w:rPr>
              <w:t>Mobile money account estimate</w:t>
            </w:r>
          </w:p>
        </w:tc>
      </w:tr>
      <w:tr>
        <w:tc>
          <w:tcPr>
            <w:tcW w:type="dxa" w:w="3000"/>
          </w:tcPr>
          <w:p>
            <w:r>
              <w:rPr>
                <w:rFonts w:ascii="Calibri" w:hAnsi="Calibri"/>
                <w:b w:val="0"/>
                <w:color w:val="263F61"/>
                <w:sz w:val="18"/>
              </w:rPr>
              <w:t>Model 1</w:t>
            </w:r>
          </w:p>
        </w:tc>
        <w:tc>
          <w:tcPr>
            <w:tcW w:type="dxa" w:w="1860"/>
          </w:tcPr>
          <w:p>
            <w:r>
              <w:rPr>
                <w:rFonts w:ascii="Calibri" w:hAnsi="Calibri"/>
                <w:b/>
                <w:color w:val="263F61"/>
                <w:sz w:val="18"/>
              </w:rPr>
              <w:t>ROC-AUC 0.745</w:t>
            </w:r>
          </w:p>
        </w:tc>
        <w:tc>
          <w:tcPr>
            <w:tcW w:type="dxa" w:w="4500"/>
          </w:tcPr>
          <w:p>
            <w:r>
              <w:rPr>
                <w:rFonts w:ascii="Calibri" w:hAnsi="Calibri"/>
                <w:b w:val="0"/>
                <w:color w:val="263F61"/>
                <w:sz w:val="18"/>
              </w:rPr>
              <w:t>Gradient Boosting on a protected 211-row holdout</w:t>
            </w:r>
          </w:p>
        </w:tc>
      </w:tr>
      <w:tr>
        <w:tc>
          <w:tcPr>
            <w:tcW w:type="dxa" w:w="3000"/>
            <w:shd w:fill="F8FAFC"/>
          </w:tcPr>
          <w:p>
            <w:r>
              <w:rPr>
                <w:rFonts w:ascii="Calibri" w:hAnsi="Calibri"/>
                <w:b w:val="0"/>
                <w:color w:val="263F61"/>
                <w:sz w:val="18"/>
              </w:rPr>
              <w:t>Model 2</w:t>
            </w:r>
          </w:p>
        </w:tc>
        <w:tc>
          <w:tcPr>
            <w:tcW w:type="dxa" w:w="1860"/>
            <w:shd w:fill="F8FAFC"/>
          </w:tcPr>
          <w:p>
            <w:r>
              <w:rPr>
                <w:rFonts w:ascii="Calibri" w:hAnsi="Calibri"/>
                <w:b/>
                <w:color w:val="263F61"/>
                <w:sz w:val="18"/>
              </w:rPr>
              <w:t>ROC-AUC 0.726</w:t>
            </w:r>
          </w:p>
        </w:tc>
        <w:tc>
          <w:tcPr>
            <w:tcW w:type="dxa" w:w="4500"/>
            <w:shd w:fill="F8FAFC"/>
          </w:tcPr>
          <w:p>
            <w:r>
              <w:rPr>
                <w:rFonts w:ascii="Calibri" w:hAnsi="Calibri"/>
                <w:b w:val="0"/>
                <w:color w:val="263F61"/>
                <w:sz w:val="18"/>
              </w:rPr>
              <w:t>Logistic Regression on a protected 210-row holdout</w:t>
            </w:r>
          </w:p>
        </w:tc>
      </w:tr>
      <w:tr>
        <w:tc>
          <w:tcPr>
            <w:tcW w:type="dxa" w:w="3000"/>
          </w:tcPr>
          <w:p>
            <w:r>
              <w:rPr>
                <w:rFonts w:ascii="Calibri" w:hAnsi="Calibri"/>
                <w:b w:val="0"/>
                <w:color w:val="263F61"/>
                <w:sz w:val="18"/>
              </w:rPr>
              <w:t>Explainability</w:t>
            </w:r>
          </w:p>
        </w:tc>
        <w:tc>
          <w:tcPr>
            <w:tcW w:type="dxa" w:w="1860"/>
          </w:tcPr>
          <w:p>
            <w:r>
              <w:rPr>
                <w:rFonts w:ascii="Calibri" w:hAnsi="Calibri"/>
                <w:b/>
                <w:color w:val="263F61"/>
                <w:sz w:val="18"/>
              </w:rPr>
              <w:t>2 SHAP explainers</w:t>
            </w:r>
          </w:p>
        </w:tc>
        <w:tc>
          <w:tcPr>
            <w:tcW w:type="dxa" w:w="4500"/>
          </w:tcPr>
          <w:p>
            <w:r>
              <w:rPr>
                <w:rFonts w:ascii="Calibri" w:hAnsi="Calibri"/>
                <w:b w:val="0"/>
                <w:color w:val="263F61"/>
                <w:sz w:val="18"/>
              </w:rPr>
              <w:t>Five model-derived factors can be returned per outcome</w:t>
            </w:r>
          </w:p>
        </w:tc>
      </w:tr>
      <w:tr>
        <w:tc>
          <w:tcPr>
            <w:tcW w:type="dxa" w:w="3000"/>
            <w:shd w:fill="F8FAFC"/>
          </w:tcPr>
          <w:p>
            <w:r>
              <w:rPr>
                <w:rFonts w:ascii="Calibri" w:hAnsi="Calibri"/>
                <w:b w:val="0"/>
                <w:color w:val="263F61"/>
                <w:sz w:val="18"/>
              </w:rPr>
              <w:t>API</w:t>
            </w:r>
          </w:p>
        </w:tc>
        <w:tc>
          <w:tcPr>
            <w:tcW w:type="dxa" w:w="1860"/>
            <w:shd w:fill="F8FAFC"/>
          </w:tcPr>
          <w:p>
            <w:r>
              <w:rPr>
                <w:rFonts w:ascii="Calibri" w:hAnsi="Calibri"/>
                <w:b/>
                <w:color w:val="263F61"/>
                <w:sz w:val="18"/>
              </w:rPr>
              <w:t>17 validated inputs</w:t>
            </w:r>
          </w:p>
        </w:tc>
        <w:tc>
          <w:tcPr>
            <w:tcW w:type="dxa" w:w="4500"/>
            <w:shd w:fill="F8FAFC"/>
          </w:tcPr>
          <w:p>
            <w:r>
              <w:rPr>
                <w:rFonts w:ascii="Calibri" w:hAnsi="Calibri"/>
                <w:b w:val="0"/>
                <w:color w:val="263F61"/>
                <w:sz w:val="18"/>
              </w:rPr>
              <w:t>One request runs both models and both explanation paths</w:t>
            </w:r>
          </w:p>
        </w:tc>
      </w:tr>
      <w:tr>
        <w:tc>
          <w:tcPr>
            <w:tcW w:type="dxa" w:w="3000"/>
          </w:tcPr>
          <w:p>
            <w:r>
              <w:rPr>
                <w:rFonts w:ascii="Calibri" w:hAnsi="Calibri"/>
                <w:b w:val="0"/>
                <w:color w:val="263F61"/>
                <w:sz w:val="18"/>
              </w:rPr>
              <w:t>Frontend</w:t>
            </w:r>
          </w:p>
        </w:tc>
        <w:tc>
          <w:tcPr>
            <w:tcW w:type="dxa" w:w="1860"/>
          </w:tcPr>
          <w:p>
            <w:r>
              <w:rPr>
                <w:rFonts w:ascii="Calibri" w:hAnsi="Calibri"/>
                <w:b/>
                <w:color w:val="263F61"/>
                <w:sz w:val="18"/>
              </w:rPr>
              <w:t>Signal selected</w:t>
            </w:r>
          </w:p>
        </w:tc>
        <w:tc>
          <w:tcPr>
            <w:tcW w:type="dxa" w:w="4500"/>
          </w:tcPr>
          <w:p>
            <w:r>
              <w:rPr>
                <w:rFonts w:ascii="Calibri" w:hAnsi="Calibri"/>
                <w:b w:val="0"/>
                <w:color w:val="263F61"/>
                <w:sz w:val="18"/>
              </w:rPr>
              <w:t>Overview, two analytics areas, assessment, and methodology</w:t>
            </w:r>
          </w:p>
        </w:tc>
      </w:tr>
      <w:tr>
        <w:tc>
          <w:tcPr>
            <w:tcW w:type="dxa" w:w="3000"/>
            <w:shd w:fill="F8FAFC"/>
          </w:tcPr>
          <w:p>
            <w:r>
              <w:rPr>
                <w:rFonts w:ascii="Calibri" w:hAnsi="Calibri"/>
                <w:b w:val="0"/>
                <w:color w:val="263F61"/>
                <w:sz w:val="18"/>
              </w:rPr>
              <w:t>Automated validation</w:t>
            </w:r>
          </w:p>
        </w:tc>
        <w:tc>
          <w:tcPr>
            <w:tcW w:type="dxa" w:w="1860"/>
            <w:shd w:fill="F8FAFC"/>
          </w:tcPr>
          <w:p>
            <w:r>
              <w:rPr>
                <w:rFonts w:ascii="Calibri" w:hAnsi="Calibri"/>
                <w:b/>
                <w:color w:val="263F61"/>
                <w:sz w:val="18"/>
              </w:rPr>
              <w:t>89 Python tests</w:t>
            </w:r>
          </w:p>
        </w:tc>
        <w:tc>
          <w:tcPr>
            <w:tcW w:type="dxa" w:w="4500"/>
            <w:shd w:fill="F8FAFC"/>
          </w:tcPr>
          <w:p>
            <w:r>
              <w:rPr>
                <w:rFonts w:ascii="Calibri" w:hAnsi="Calibri"/>
                <w:b w:val="0"/>
                <w:color w:val="263F61"/>
                <w:sz w:val="18"/>
              </w:rPr>
              <w:t>Plus 5 rendered-route tests and 15 frontend contract checks</w:t>
            </w:r>
          </w:p>
        </w:tc>
      </w:tr>
    </w:tbl>
    <w:p>
      <w:pPr>
        <w:pStyle w:val="Heading2"/>
      </w:pPr>
      <w:r>
        <w:t>Governing engineering principles</w:t>
      </w:r>
    </w:p>
    <w:p>
      <w:pPr>
        <w:pStyle w:val="ListBullet"/>
        <w:keepLines/>
      </w:pPr>
      <w:r>
        <w:rPr>
          <w:rFonts w:ascii="Calibri" w:hAnsi="Calibri"/>
          <w:b/>
          <w:color w:val="294A78"/>
        </w:rPr>
        <w:t xml:space="preserve">Phase gating. </w:t>
      </w:r>
      <w:r>
        <w:rPr>
          <w:rFonts w:ascii="Calibri" w:hAnsi="Calibri"/>
          <w:color w:val="263F61"/>
        </w:rPr>
        <w:t>Each phase was completed, validated, reported, and stopped before the next phase began.</w:t>
      </w:r>
    </w:p>
    <w:p>
      <w:pPr>
        <w:pStyle w:val="ListBullet"/>
        <w:keepLines/>
      </w:pPr>
      <w:r>
        <w:rPr>
          <w:rFonts w:ascii="Calibri" w:hAnsi="Calibri"/>
          <w:b/>
          <w:color w:val="294A78"/>
        </w:rPr>
        <w:t xml:space="preserve">Leakage prevention. </w:t>
      </w:r>
      <w:r>
        <w:rPr>
          <w:rFonts w:ascii="Calibri" w:hAnsi="Calibri"/>
          <w:color w:val="263F61"/>
        </w:rPr>
        <w:t>Predictors were included only when defensible for the specific target; parallel outcomes and post-outcome behaviours were excluded.</w:t>
      </w:r>
    </w:p>
    <w:p>
      <w:pPr>
        <w:pStyle w:val="ListBullet"/>
        <w:keepLines/>
      </w:pPr>
      <w:r>
        <w:rPr>
          <w:rFonts w:ascii="Calibri" w:hAnsi="Calibri"/>
          <w:b/>
          <w:color w:val="294A78"/>
        </w:rPr>
        <w:t xml:space="preserve">Separation of claims. </w:t>
      </w:r>
      <w:r>
        <w:rPr>
          <w:rFonts w:ascii="Calibri" w:hAnsi="Calibri"/>
          <w:color w:val="263F61"/>
        </w:rPr>
        <w:t>Weighted description, statistical association, prediction, and causal inference were treated as different analytical activities.</w:t>
      </w:r>
    </w:p>
    <w:p>
      <w:pPr>
        <w:pStyle w:val="ListBullet"/>
        <w:keepLines/>
      </w:pPr>
      <w:r>
        <w:rPr>
          <w:rFonts w:ascii="Calibri" w:hAnsi="Calibri"/>
          <w:b/>
          <w:color w:val="294A78"/>
        </w:rPr>
        <w:t xml:space="preserve">Protected evaluation. </w:t>
      </w:r>
      <w:r>
        <w:rPr>
          <w:rFonts w:ascii="Calibri" w:hAnsi="Calibri"/>
          <w:color w:val="263F61"/>
        </w:rPr>
        <w:t>Identical predictor profiles were grouped so matching profiles could not cross training, validation, or holdout boundaries.</w:t>
      </w:r>
    </w:p>
    <w:p>
      <w:pPr>
        <w:pStyle w:val="ListBullet"/>
        <w:keepLines/>
      </w:pPr>
      <w:r>
        <w:rPr>
          <w:rFonts w:ascii="Calibri" w:hAnsi="Calibri"/>
          <w:b/>
          <w:color w:val="294A78"/>
        </w:rPr>
        <w:t xml:space="preserve">Reproducibility. </w:t>
      </w:r>
      <w:r>
        <w:rPr>
          <w:rFonts w:ascii="Calibri" w:hAnsi="Calibri"/>
          <w:color w:val="263F61"/>
        </w:rPr>
        <w:t>Raw data and model artifacts were protected by hashes, reusable modules, executed notebooks, and automated tests.</w:t>
      </w:r>
    </w:p>
    <w:p>
      <w:pPr>
        <w:pStyle w:val="ListBullet"/>
        <w:keepLines/>
      </w:pPr>
      <w:r>
        <w:rPr>
          <w:rFonts w:ascii="Calibri" w:hAnsi="Calibri"/>
          <w:b/>
          <w:color w:val="294A78"/>
        </w:rPr>
        <w:t xml:space="preserve">Human-readable output. </w:t>
      </w:r>
      <w:r>
        <w:rPr>
          <w:rFonts w:ascii="Calibri" w:hAnsi="Calibri"/>
          <w:color w:val="263F61"/>
        </w:rPr>
        <w:t>The product leads with plain-language answers, then probabilities and model-derived explanation factors.</w:t>
      </w:r>
    </w:p>
    <w:p>
      <w:pPr>
        <w:pStyle w:val="Heading1"/>
      </w:pPr>
      <w:r>
        <w:t>System architecture at the Phase 11 handoff</w:t>
      </w:r>
    </w:p>
    <w:p>
      <w:pPr>
        <w:pStyle w:val="ListNumber"/>
        <w:keepLines/>
      </w:pPr>
      <w:r>
        <w:rPr>
          <w:rFonts w:ascii="Calibri" w:hAnsi="Calibri"/>
          <w:color w:val="263F61"/>
        </w:rPr>
        <w:t>World Bank Global Findex Eswatini raw microdata is verified against an immutable file hash.</w:t>
      </w:r>
    </w:p>
    <w:p>
      <w:pPr>
        <w:pStyle w:val="ListNumber"/>
        <w:keepLines/>
      </w:pPr>
      <w:r>
        <w:rPr>
          <w:rFonts w:ascii="Calibri" w:hAnsi="Calibri"/>
          <w:color w:val="263F61"/>
        </w:rPr>
        <w:t>Model-specific cleaning and deterministic feature engineering create separate final matrices.</w:t>
      </w:r>
    </w:p>
    <w:p>
      <w:pPr>
        <w:pStyle w:val="ListNumber"/>
        <w:keepLines/>
      </w:pPr>
      <w:r>
        <w:rPr>
          <w:rFonts w:ascii="Calibri" w:hAnsi="Calibri"/>
          <w:color w:val="263F61"/>
        </w:rPr>
        <w:t>Independent preprocessing and estimators produce financial-inclusion and mobile-money probabilities.</w:t>
      </w:r>
    </w:p>
    <w:p>
      <w:pPr>
        <w:pStyle w:val="ListNumber"/>
        <w:keepLines/>
      </w:pPr>
      <w:r>
        <w:rPr>
          <w:rFonts w:ascii="Calibri" w:hAnsi="Calibri"/>
          <w:color w:val="263F61"/>
        </w:rPr>
        <w:t>Model-matched SHAP explainers generate signed global and individual contributions.</w:t>
      </w:r>
    </w:p>
    <w:p>
      <w:pPr>
        <w:pStyle w:val="ListNumber"/>
        <w:keepLines/>
      </w:pPr>
      <w:r>
        <w:rPr>
          <w:rFonts w:ascii="Calibri" w:hAnsi="Calibri"/>
          <w:color w:val="263F61"/>
        </w:rPr>
        <w:t>FastAPI validates one 17-field profile, runs both pipelines, and returns structured natural-language results.</w:t>
      </w:r>
    </w:p>
    <w:p>
      <w:pPr>
        <w:pStyle w:val="ListNumber"/>
        <w:keepLines/>
      </w:pPr>
      <w:r>
        <w:rPr>
          <w:rFonts w:ascii="Calibri" w:hAnsi="Calibri"/>
          <w:color w:val="263F61"/>
        </w:rPr>
        <w:t>The selected Signal frontend presents descriptive evidence, assessment inputs, predictions, and methodology.</w:t>
      </w:r>
    </w:p>
    <w:tbl>
      <w:tblPr>
        <w:tblW w:type="dxa" w:w="9360"/>
        <w:jc w:val="left"/>
        <w:tblLayout w:type="fixed"/>
        <w:tblLook w:firstColumn="1" w:firstRow="1" w:lastColumn="0" w:lastRow="0" w:noHBand="0" w:noVBand="1" w:val="04A0"/>
        <w:tblInd w:w="120" w:type="dxa"/>
        <w:tblBorders>
          <w:top w:val="single" w:sz="8" w:color="C49137"/>
          <w:left w:val="single" w:sz="8" w:color="C49137"/>
          <w:bottom w:val="single" w:sz="8" w:color="C49137"/>
          <w:right w:val="single" w:sz="8" w:color="C49137"/>
          <w:insideH w:val="single" w:sz="8" w:color="C49137"/>
          <w:insideV w:val="single" w:sz="8" w:color="C49137"/>
        </w:tblBorders>
      </w:tblPr>
      <w:tblGrid>
        <w:gridCol w:w="9360"/>
      </w:tblGrid>
      <w:tr>
        <w:trPr>
          <w:cantSplit/>
        </w:trPr>
        <w:tc>
          <w:tcPr>
            <w:tcW w:type="dxa" w:w="9360"/>
            <w:tcMar>
              <w:top w:w="80" w:type="dxa"/>
              <w:start w:w="120" w:type="dxa"/>
              <w:bottom w:w="80" w:type="dxa"/>
              <w:end w:w="120" w:type="dxa"/>
            </w:tcMar>
            <w:vAlign w:val="center"/>
            <w:shd w:fill="FFF7E6"/>
          </w:tcPr>
          <w:p>
            <w:pPr>
              <w:spacing w:after="60"/>
            </w:pPr>
            <w:r>
              <w:rPr>
                <w:rFonts w:ascii="Calibri" w:hAnsi="Calibri"/>
                <w:b/>
                <w:color w:val="C49137"/>
                <w:sz w:val="17"/>
              </w:rPr>
              <w:t>SCOPE BOUNDARY</w:t>
            </w:r>
          </w:p>
          <w:p>
            <w:pPr>
              <w:spacing w:after="0" w:line="259" w:lineRule="auto"/>
            </w:pPr>
            <w:r>
              <w:rPr>
                <w:rFonts w:ascii="Calibri" w:hAnsi="Calibri"/>
                <w:color w:val="263F61"/>
                <w:sz w:val="21"/>
              </w:rPr>
              <w:t>Phases 12 and 13 have not started. Public hosting, deployment configuration, live end-to-end production testing, final README screenshots, and recruiter-ready publication polish remain future work.</w:t>
            </w:r>
          </w:p>
        </w:tc>
      </w:tr>
    </w:tbl>
    <w:p>
      <w:pPr>
        <w:spacing w:after="40"/>
      </w:pPr>
    </w:p>
    <w:p>
      <w:r>
        <w:br w:type="page"/>
      </w:r>
    </w:p>
    <w:p>
      <w:pPr>
        <w:pStyle w:val="Heading1"/>
        <w:spacing w:before="0"/>
      </w:pPr>
      <w:r>
        <w:t>Phase 1  |  Project Setup and Data Audit</w:t>
      </w:r>
    </w:p>
    <w:tbl>
      <w:tblPr>
        <w:tblW w:type="dxa" w:w="9360"/>
        <w:jc w:val="left"/>
        <w:tblLayout w:type="fixed"/>
        <w:tblLook w:firstColumn="1" w:firstRow="1" w:lastColumn="0" w:lastRow="0" w:noHBand="0" w:noVBand="1" w:val="04A0"/>
        <w:tblInd w:w="120" w:type="dxa"/>
        <w:tblBorders>
          <w:top w:val="single" w:sz="6" w:color="D7E0EB"/>
          <w:left w:val="single" w:sz="6" w:color="D7E0EB"/>
          <w:bottom w:val="single" w:sz="6" w:color="D7E0EB"/>
          <w:right w:val="single" w:sz="6" w:color="D7E0EB"/>
          <w:insideH w:val="single" w:sz="6" w:color="D7E0EB"/>
          <w:insideV w:val="single" w:sz="6" w:color="D7E0EB"/>
        </w:tblBorders>
      </w:tblPr>
      <w:tblGrid>
        <w:gridCol w:w="1750"/>
        <w:gridCol w:w="7610"/>
      </w:tblGrid>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STATUS</w:t>
            </w:r>
          </w:p>
        </w:tc>
        <w:tc>
          <w:tcPr>
            <w:tcW w:type="dxa" w:w="7610"/>
            <w:tcMar>
              <w:top w:w="80" w:type="dxa"/>
              <w:start w:w="120" w:type="dxa"/>
              <w:bottom w:w="80" w:type="dxa"/>
              <w:end w:w="120" w:type="dxa"/>
            </w:tcMar>
            <w:vAlign w:val="center"/>
          </w:tcPr>
          <w:p>
            <w:r>
              <w:rPr>
                <w:rFonts w:ascii="Calibri" w:hAnsi="Calibri"/>
                <w:b/>
                <w:color w:val="263F61"/>
                <w:sz w:val="20"/>
              </w:rPr>
              <w:t>PASSED WITH NOTES</w:t>
            </w:r>
          </w:p>
        </w:tc>
      </w:tr>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PHASE PURPOSE</w:t>
            </w:r>
          </w:p>
        </w:tc>
        <w:tc>
          <w:tcPr>
            <w:tcW w:type="dxa" w:w="7610"/>
            <w:tcMar>
              <w:top w:w="80" w:type="dxa"/>
              <w:start w:w="120" w:type="dxa"/>
              <w:bottom w:w="80" w:type="dxa"/>
              <w:end w:w="120" w:type="dxa"/>
            </w:tcMar>
            <w:vAlign w:val="center"/>
          </w:tcPr>
          <w:p>
            <w:r>
              <w:rPr>
                <w:rFonts w:ascii="Calibri" w:hAnsi="Calibri"/>
                <w:b w:val="0"/>
                <w:color w:val="263F61"/>
                <w:sz w:val="20"/>
              </w:rPr>
              <w:t>Establish a trustworthy project foundation and understand the supplied raw data without changing it.</w:t>
            </w:r>
          </w:p>
        </w:tc>
      </w:tr>
    </w:tbl>
    <w:p>
      <w:pPr>
        <w:spacing w:after="0"/>
      </w:pPr>
    </w:p>
    <w:p>
      <w:pPr>
        <w:pStyle w:val="Heading2"/>
      </w:pPr>
      <w:r>
        <w:t>Tasks completed</w:t>
      </w:r>
    </w:p>
    <w:p>
      <w:pPr>
        <w:pStyle w:val="ListBullet"/>
        <w:keepLines/>
      </w:pPr>
      <w:r>
        <w:rPr>
          <w:rFonts w:ascii="Calibri" w:hAnsi="Calibri"/>
          <w:color w:val="263F61"/>
        </w:rPr>
        <w:t>Created the professional repository structure and placed the source CSV under data/raw.</w:t>
      </w:r>
    </w:p>
    <w:p>
      <w:pPr>
        <w:pStyle w:val="ListBullet"/>
        <w:keepLines/>
      </w:pPr>
      <w:r>
        <w:rPr>
          <w:rFonts w:ascii="Calibri" w:hAnsi="Calibri"/>
          <w:color w:val="263F61"/>
        </w:rPr>
        <w:t>Verified the file encoding, delimiter, SHA-256 fingerprint, dimensions, headers, and row widths.</w:t>
      </w:r>
    </w:p>
    <w:p>
      <w:pPr>
        <w:pStyle w:val="ListBullet"/>
        <w:keepLines/>
      </w:pPr>
      <w:r>
        <w:rPr>
          <w:rFonts w:ascii="Calibri" w:hAnsi="Calibri"/>
          <w:color w:val="263F61"/>
        </w:rPr>
        <w:t>Confirmed both targets are present, complete, binary, and coded 0/1.</w:t>
      </w:r>
    </w:p>
    <w:p>
      <w:pPr>
        <w:pStyle w:val="ListBullet"/>
        <w:keepLines/>
      </w:pPr>
      <w:r>
        <w:rPr>
          <w:rFonts w:ascii="Calibri" w:hAnsi="Calibri"/>
          <w:color w:val="263F61"/>
        </w:rPr>
        <w:t>Audited missingness, data types, value sets, exact duplicates, plausible ranges, identifiers, metadata, and constant fields.</w:t>
      </w:r>
    </w:p>
    <w:p>
      <w:pPr>
        <w:pStyle w:val="ListBullet"/>
        <w:keepLines/>
      </w:pPr>
      <w:r>
        <w:rPr>
          <w:rFonts w:ascii="Calibri" w:hAnsi="Calibri"/>
          <w:color w:val="263F61"/>
        </w:rPr>
        <w:t>Created an executed data-understanding notebook and reproducible audit reports.</w:t>
      </w:r>
    </w:p>
    <w:p>
      <w:pPr>
        <w:pStyle w:val="Heading2"/>
      </w:pPr>
      <w:r>
        <w:t>Reasoning behind the work</w:t>
      </w:r>
    </w:p>
    <w:p>
      <w:pPr>
        <w:spacing w:after="120"/>
      </w:pPr>
      <w:r>
        <w:rPr>
          <w:rFonts w:ascii="Calibri" w:hAnsi="Calibri"/>
          <w:b/>
          <w:color w:val="263F61"/>
        </w:rPr>
        <w:t xml:space="preserve">Immutable raw-data contract: </w:t>
      </w:r>
      <w:r>
        <w:rPr>
          <w:rFonts w:ascii="Calibri" w:hAnsi="Calibri"/>
          <w:i w:val="0"/>
          <w:color w:val="263F61"/>
        </w:rPr>
        <w:t>The source hash prevents accidental replacement or silent mutation from contaminating later phases.</w:t>
      </w:r>
    </w:p>
    <w:p>
      <w:pPr>
        <w:spacing w:after="120"/>
      </w:pPr>
      <w:r>
        <w:rPr>
          <w:rFonts w:ascii="Calibri" w:hAnsi="Calibri"/>
          <w:b/>
          <w:color w:val="263F61"/>
        </w:rPr>
        <w:t xml:space="preserve">No early recoding: </w:t>
      </w:r>
      <w:r>
        <w:rPr>
          <w:rFonts w:ascii="Calibri" w:hAnsi="Calibri"/>
          <w:i w:val="0"/>
          <w:color w:val="263F61"/>
        </w:rPr>
        <w:t>Numeric survey codes can represent categories, refusals, routing states, or real values. Their meaning had to be confirmed before transformation.</w:t>
      </w:r>
    </w:p>
    <w:p>
      <w:pPr>
        <w:spacing w:after="120"/>
      </w:pPr>
      <w:r>
        <w:rPr>
          <w:rFonts w:ascii="Calibri" w:hAnsi="Calibri"/>
          <w:b/>
          <w:color w:val="263F61"/>
        </w:rPr>
        <w:t xml:space="preserve">Retain duplicate candidates: </w:t>
      </w:r>
      <w:r>
        <w:rPr>
          <w:rFonts w:ascii="Calibri" w:hAnsi="Calibri"/>
          <w:i w:val="0"/>
          <w:color w:val="263F61"/>
        </w:rPr>
        <w:t>Respondent identifiers were unique, so identical profiles were treated as plausible respondents rather than deleted automatically.</w:t>
      </w:r>
    </w:p>
    <w:p>
      <w:pPr>
        <w:spacing w:after="120"/>
      </w:pPr>
      <w:r>
        <w:rPr>
          <w:rFonts w:ascii="Calibri" w:hAnsi="Calibri"/>
          <w:b/>
          <w:color w:val="263F61"/>
        </w:rPr>
        <w:t xml:space="preserve">Separate weights from predictors: </w:t>
      </w:r>
      <w:r>
        <w:rPr>
          <w:rFonts w:ascii="Calibri" w:hAnsi="Calibri"/>
          <w:i w:val="0"/>
          <w:color w:val="263F61"/>
        </w:rPr>
        <w:t>The survey weight is useful for population description but is not a personal characteristic available to an inference user.</w:t>
      </w:r>
    </w:p>
    <w:p>
      <w:pPr>
        <w:pStyle w:val="Heading2"/>
      </w:pPr>
      <w:r>
        <w:t>Validation and handoff</w:t>
      </w:r>
    </w:p>
    <w:p>
      <w:pPr>
        <w:pStyle w:val="ListBullet"/>
        <w:keepLines/>
      </w:pPr>
      <w:r>
        <w:rPr>
          <w:rFonts w:ascii="Calibri" w:hAnsi="Calibri"/>
          <w:color w:val="263F61"/>
        </w:rPr>
        <w:t>Validated shape: 1,051 respondents and 199 variables.</w:t>
      </w:r>
    </w:p>
    <w:p>
      <w:pPr>
        <w:pStyle w:val="ListBullet"/>
        <w:keepLines/>
      </w:pPr>
      <w:r>
        <w:rPr>
          <w:rFonts w:ascii="Calibri" w:hAnsi="Calibri"/>
          <w:color w:val="263F61"/>
        </w:rPr>
        <w:t>Found 14 fully missing columns, 107 columns at least 50% missing, and no exact duplicate rows in the full file.</w:t>
      </w:r>
    </w:p>
    <w:p>
      <w:pPr>
        <w:pStyle w:val="ListBullet"/>
        <w:keepLines/>
      </w:pPr>
      <w:r>
        <w:rPr>
          <w:rFonts w:ascii="Calibri" w:hAnsi="Calibri"/>
          <w:color w:val="263F61"/>
        </w:rPr>
        <w:t>Identified wpid_random as unique respondent identifier and six constant metadata/no-variance fields.</w:t>
      </w:r>
    </w:p>
    <w:p>
      <w:pPr>
        <w:pStyle w:val="ListBullet"/>
        <w:keepLines/>
      </w:pPr>
      <w:r>
        <w:rPr>
          <w:rFonts w:ascii="Calibri" w:hAnsi="Calibri"/>
          <w:color w:val="263F61"/>
        </w:rPr>
        <w:t>Confirmed age, income quintile, targets, weights, gender code set, and employment code set passed basic plausibility checks.</w:t>
      </w:r>
    </w:p>
    <w:tbl>
      <w:tblPr>
        <w:tblW w:type="dxa" w:w="9360"/>
        <w:jc w:val="left"/>
        <w:tblLayout w:type="fixed"/>
        <w:tblLook w:firstColumn="1" w:firstRow="1" w:lastColumn="0" w:lastRow="0" w:noHBand="0" w:noVBand="1" w:val="04A0"/>
        <w:tblInd w:w="120" w:type="dxa"/>
        <w:tblBorders>
          <w:top w:val="single" w:sz="8" w:color="A23B3B"/>
          <w:left w:val="single" w:sz="8" w:color="A23B3B"/>
          <w:bottom w:val="single" w:sz="8" w:color="A23B3B"/>
          <w:right w:val="single" w:sz="8" w:color="A23B3B"/>
          <w:insideH w:val="single" w:sz="8" w:color="A23B3B"/>
          <w:insideV w:val="single" w:sz="8" w:color="A23B3B"/>
        </w:tblBorders>
      </w:tblPr>
      <w:tblGrid>
        <w:gridCol w:w="9360"/>
      </w:tblGrid>
      <w:tr>
        <w:trPr>
          <w:cantSplit/>
        </w:trPr>
        <w:tc>
          <w:tcPr>
            <w:tcW w:type="dxa" w:w="9360"/>
            <w:tcMar>
              <w:top w:w="80" w:type="dxa"/>
              <w:start w:w="120" w:type="dxa"/>
              <w:bottom w:w="80" w:type="dxa"/>
              <w:end w:w="120" w:type="dxa"/>
            </w:tcMar>
            <w:vAlign w:val="center"/>
            <w:shd w:fill="FFF0ED"/>
          </w:tcPr>
          <w:p>
            <w:pPr>
              <w:spacing w:after="60"/>
            </w:pPr>
            <w:r>
              <w:rPr>
                <w:rFonts w:ascii="Calibri" w:hAnsi="Calibri"/>
                <w:b/>
                <w:color w:val="A23B3B"/>
                <w:sz w:val="17"/>
              </w:rPr>
              <w:t>KEY RISK DISCOVERED</w:t>
            </w:r>
          </w:p>
          <w:p>
            <w:pPr>
              <w:spacing w:after="0" w:line="259" w:lineRule="auto"/>
            </w:pPr>
            <w:r>
              <w:rPr>
                <w:rFonts w:ascii="Calibri" w:hAnsi="Calibri"/>
                <w:color w:val="263F61"/>
                <w:sz w:val="21"/>
              </w:rPr>
              <w:t>The dataset contains many financial behaviours adjacent to the targets. Using all available variables would create severe leakage and unrealistically high performance.</w:t>
            </w:r>
          </w:p>
        </w:tc>
      </w:tr>
    </w:tbl>
    <w:p>
      <w:pPr>
        <w:spacing w:after="40"/>
      </w:pPr>
    </w:p>
    <w:p>
      <w:r>
        <w:br w:type="page"/>
      </w:r>
    </w:p>
    <w:p>
      <w:pPr>
        <w:pStyle w:val="Heading1"/>
        <w:spacing w:before="0"/>
      </w:pPr>
      <w:r>
        <w:t>Phase 2  |  Data Dictionary and Feature Eligibility</w:t>
      </w:r>
    </w:p>
    <w:tbl>
      <w:tblPr>
        <w:tblW w:type="dxa" w:w="9360"/>
        <w:jc w:val="left"/>
        <w:tblLayout w:type="fixed"/>
        <w:tblLook w:firstColumn="1" w:firstRow="1" w:lastColumn="0" w:lastRow="0" w:noHBand="0" w:noVBand="1" w:val="04A0"/>
        <w:tblInd w:w="120" w:type="dxa"/>
        <w:tblBorders>
          <w:top w:val="single" w:sz="6" w:color="D7E0EB"/>
          <w:left w:val="single" w:sz="6" w:color="D7E0EB"/>
          <w:bottom w:val="single" w:sz="6" w:color="D7E0EB"/>
          <w:right w:val="single" w:sz="6" w:color="D7E0EB"/>
          <w:insideH w:val="single" w:sz="6" w:color="D7E0EB"/>
          <w:insideV w:val="single" w:sz="6" w:color="D7E0EB"/>
        </w:tblBorders>
      </w:tblPr>
      <w:tblGrid>
        <w:gridCol w:w="1750"/>
        <w:gridCol w:w="7610"/>
      </w:tblGrid>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STATUS</w:t>
            </w:r>
          </w:p>
        </w:tc>
        <w:tc>
          <w:tcPr>
            <w:tcW w:type="dxa" w:w="7610"/>
            <w:tcMar>
              <w:top w:w="80" w:type="dxa"/>
              <w:start w:w="120" w:type="dxa"/>
              <w:bottom w:w="80" w:type="dxa"/>
              <w:end w:w="120" w:type="dxa"/>
            </w:tcMar>
            <w:vAlign w:val="center"/>
          </w:tcPr>
          <w:p>
            <w:r>
              <w:rPr>
                <w:rFonts w:ascii="Calibri" w:hAnsi="Calibri"/>
                <w:b/>
                <w:color w:val="263F61"/>
                <w:sz w:val="20"/>
              </w:rPr>
              <w:t>PASSED WITH NOTES</w:t>
            </w:r>
          </w:p>
        </w:tc>
      </w:tr>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PHASE PURPOSE</w:t>
            </w:r>
          </w:p>
        </w:tc>
        <w:tc>
          <w:tcPr>
            <w:tcW w:type="dxa" w:w="7610"/>
            <w:tcMar>
              <w:top w:w="80" w:type="dxa"/>
              <w:start w:w="120" w:type="dxa"/>
              <w:bottom w:w="80" w:type="dxa"/>
              <w:end w:w="120" w:type="dxa"/>
            </w:tcMar>
            <w:vAlign w:val="center"/>
          </w:tcPr>
          <w:p>
            <w:r>
              <w:rPr>
                <w:rFonts w:ascii="Calibri" w:hAnsi="Calibri"/>
                <w:b w:val="0"/>
                <w:color w:val="263F61"/>
                <w:sz w:val="20"/>
              </w:rPr>
              <w:t>Define every variable and establish defensible, model-specific feature boundaries before cleaning or modelling.</w:t>
            </w:r>
          </w:p>
        </w:tc>
      </w:tr>
    </w:tbl>
    <w:p>
      <w:pPr>
        <w:spacing w:after="0"/>
      </w:pPr>
    </w:p>
    <w:p>
      <w:pPr>
        <w:pStyle w:val="Heading2"/>
      </w:pPr>
      <w:r>
        <w:t>Tasks completed</w:t>
      </w:r>
    </w:p>
    <w:p>
      <w:pPr>
        <w:pStyle w:val="ListBullet"/>
        <w:keepLines/>
      </w:pPr>
      <w:r>
        <w:rPr>
          <w:rFonts w:ascii="Calibri" w:hAnsi="Calibri"/>
          <w:color w:val="263F61"/>
        </w:rPr>
        <w:t>Mapped all 199 variables to official World Bank metadata and created a complete data dictionary.</w:t>
      </w:r>
    </w:p>
    <w:p>
      <w:pPr>
        <w:pStyle w:val="ListBullet"/>
        <w:keepLines/>
      </w:pPr>
      <w:r>
        <w:rPr>
          <w:rFonts w:ascii="Calibri" w:hAnsi="Calibri"/>
          <w:color w:val="263F61"/>
        </w:rPr>
        <w:t>Classified variables into demographic, socioeconomic, digital, financial, identity, target, identifier, and metadata groups.</w:t>
      </w:r>
    </w:p>
    <w:p>
      <w:pPr>
        <w:pStyle w:val="ListBullet"/>
        <w:keepLines/>
      </w:pPr>
      <w:r>
        <w:rPr>
          <w:rFonts w:ascii="Calibri" w:hAnsi="Calibri"/>
          <w:color w:val="263F61"/>
        </w:rPr>
        <w:t>Reviewed each variable independently for Model 1 and Model 2 eligibility, leakage risk, missingness, timing, redundancy, and conceptual scope.</w:t>
      </w:r>
    </w:p>
    <w:p>
      <w:pPr>
        <w:pStyle w:val="ListBullet"/>
        <w:keepLines/>
      </w:pPr>
      <w:r>
        <w:rPr>
          <w:rFonts w:ascii="Calibri" w:hAnsi="Calibri"/>
          <w:color w:val="263F61"/>
        </w:rPr>
        <w:t>Documented direct leakage, post-outcome behaviour, parallel outcomes, identifiers, metadata, all-missing fields, and high-missing exclusions.</w:t>
      </w:r>
    </w:p>
    <w:p>
      <w:pPr>
        <w:pStyle w:val="ListBullet"/>
        <w:keepLines/>
      </w:pPr>
      <w:r>
        <w:rPr>
          <w:rFonts w:ascii="Calibri" w:hAnsi="Calibri"/>
          <w:color w:val="263F61"/>
        </w:rPr>
        <w:t>Confirmed the 2024 survey year within the Global Findex 2025 publication/database edition.</w:t>
      </w:r>
    </w:p>
    <w:p>
      <w:pPr>
        <w:pStyle w:val="Heading2"/>
      </w:pPr>
      <w:r>
        <w:t>Reasoning behind the work</w:t>
      </w:r>
    </w:p>
    <w:p>
      <w:pPr>
        <w:spacing w:after="120"/>
      </w:pPr>
      <w:r>
        <w:rPr>
          <w:rFonts w:ascii="Calibri" w:hAnsi="Calibri"/>
          <w:b/>
          <w:color w:val="263F61"/>
        </w:rPr>
        <w:t xml:space="preserve">Model-specific eligibility: </w:t>
      </w:r>
      <w:r>
        <w:rPr>
          <w:rFonts w:ascii="Calibri" w:hAnsi="Calibri"/>
          <w:i w:val="0"/>
          <w:color w:val="263F61"/>
        </w:rPr>
        <w:t>Changing only the target would not be defensible because a variable can be pre-outcome for one prediction problem and leakage for the other.</w:t>
      </w:r>
    </w:p>
    <w:p>
      <w:pPr>
        <w:spacing w:after="120"/>
      </w:pPr>
      <w:r>
        <w:rPr>
          <w:rFonts w:ascii="Calibri" w:hAnsi="Calibri"/>
          <w:b/>
          <w:color w:val="263F61"/>
        </w:rPr>
        <w:t xml:space="preserve">Conservative leakage policy: </w:t>
      </w:r>
      <w:r>
        <w:rPr>
          <w:rFonts w:ascii="Calibri" w:hAnsi="Calibri"/>
          <w:i w:val="0"/>
          <w:color w:val="263F61"/>
        </w:rPr>
        <w:t>Direct derivatives, the other target, and same-period financial outcomes were excluded unless a strong pre-outcome justification existed.</w:t>
      </w:r>
    </w:p>
    <w:p>
      <w:pPr>
        <w:spacing w:after="120"/>
      </w:pPr>
      <w:r>
        <w:rPr>
          <w:rFonts w:ascii="Calibri" w:hAnsi="Calibri"/>
          <w:b/>
          <w:color w:val="263F61"/>
        </w:rPr>
        <w:t xml:space="preserve">Source-backed coding: </w:t>
      </w:r>
      <w:r>
        <w:rPr>
          <w:rFonts w:ascii="Calibri" w:hAnsi="Calibri"/>
          <w:i w:val="0"/>
          <w:color w:val="263F61"/>
        </w:rPr>
        <w:t>The dictionary and DDI were used to interpret special response codes and routing rather than relying on column names or memory of Findex surveys.</w:t>
      </w:r>
    </w:p>
    <w:p>
      <w:pPr>
        <w:spacing w:after="120"/>
      </w:pPr>
      <w:r>
        <w:rPr>
          <w:rFonts w:ascii="Calibri" w:hAnsi="Calibri"/>
          <w:b/>
          <w:color w:val="263F61"/>
        </w:rPr>
        <w:t xml:space="preserve">Conditional candidates: </w:t>
      </w:r>
      <w:r>
        <w:rPr>
          <w:rFonts w:ascii="Calibri" w:hAnsi="Calibri"/>
          <w:i w:val="0"/>
          <w:color w:val="263F61"/>
        </w:rPr>
        <w:t>Potentially useful digital variables were carried forward for later routing and engineering review instead of being accepted blindly.</w:t>
      </w:r>
    </w:p>
    <w:p>
      <w:pPr>
        <w:pStyle w:val="Heading2"/>
      </w:pPr>
      <w:r>
        <w:t>Validation and handoff</w:t>
      </w:r>
    </w:p>
    <w:p>
      <w:pPr>
        <w:pStyle w:val="ListBullet"/>
        <w:keepLines/>
      </w:pPr>
      <w:r>
        <w:rPr>
          <w:rFonts w:ascii="Calibri" w:hAnsi="Calibri"/>
          <w:color w:val="263F61"/>
        </w:rPr>
        <w:t>Documented all 199 variables with complete Model 1 and Model 2 decisions.</w:t>
      </w:r>
    </w:p>
    <w:p>
      <w:pPr>
        <w:pStyle w:val="ListBullet"/>
        <w:keepLines/>
      </w:pPr>
      <w:r>
        <w:rPr>
          <w:rFonts w:ascii="Calibri" w:hAnsi="Calibri"/>
          <w:color w:val="263F61"/>
        </w:rPr>
        <w:t>Defined 16 Phase 2 candidates for financial inclusion and 26 for mobile money.</w:t>
      </w:r>
    </w:p>
    <w:p>
      <w:pPr>
        <w:pStyle w:val="ListBullet"/>
        <w:keepLines/>
      </w:pPr>
      <w:r>
        <w:rPr>
          <w:rFonts w:ascii="Calibri" w:hAnsi="Calibri"/>
          <w:color w:val="263F61"/>
        </w:rPr>
        <w:t>Protected account_fin and account_mob as targets and excluded their parallel-outcome use.</w:t>
      </w:r>
    </w:p>
    <w:p>
      <w:pPr>
        <w:pStyle w:val="ListBullet"/>
        <w:keepLines/>
      </w:pPr>
      <w:r>
        <w:rPr>
          <w:rFonts w:ascii="Calibri" w:hAnsi="Calibri"/>
          <w:color w:val="263F61"/>
        </w:rPr>
        <w:t>Produced leakage review, target review, feature blueprint, and source notes.</w:t>
      </w:r>
    </w:p>
    <w:tbl>
      <w:tblPr>
        <w:tblW w:type="dxa" w:w="9360"/>
        <w:jc w:val="left"/>
        <w:tblLayout w:type="fixed"/>
        <w:tblLook w:firstColumn="1" w:firstRow="1" w:lastColumn="0" w:lastRow="0" w:noHBand="0" w:noVBand="1" w:val="04A0"/>
        <w:tblInd w:w="120" w:type="dxa"/>
        <w:tblBorders>
          <w:top w:val="single" w:sz="8" w:color="2E9E92"/>
          <w:left w:val="single" w:sz="8" w:color="2E9E92"/>
          <w:bottom w:val="single" w:sz="8" w:color="2E9E92"/>
          <w:right w:val="single" w:sz="8" w:color="2E9E92"/>
          <w:insideH w:val="single" w:sz="8" w:color="2E9E92"/>
          <w:insideV w:val="single" w:sz="8" w:color="2E9E92"/>
        </w:tblBorders>
      </w:tblPr>
      <w:tblGrid>
        <w:gridCol w:w="9360"/>
      </w:tblGrid>
      <w:tr>
        <w:trPr>
          <w:cantSplit/>
        </w:trPr>
        <w:tc>
          <w:tcPr>
            <w:tcW w:type="dxa" w:w="9360"/>
            <w:tcMar>
              <w:top w:w="80" w:type="dxa"/>
              <w:start w:w="120" w:type="dxa"/>
              <w:bottom w:w="80" w:type="dxa"/>
              <w:end w:w="120" w:type="dxa"/>
            </w:tcMar>
            <w:vAlign w:val="center"/>
            <w:shd w:fill="E5F4F2"/>
          </w:tcPr>
          <w:p>
            <w:pPr>
              <w:spacing w:after="60"/>
            </w:pPr>
            <w:r>
              <w:rPr>
                <w:rFonts w:ascii="Calibri" w:hAnsi="Calibri"/>
                <w:b/>
                <w:color w:val="2E9E92"/>
                <w:sz w:val="17"/>
              </w:rPr>
              <w:t>WHY THIS PHASE MATTERED</w:t>
            </w:r>
          </w:p>
          <w:p>
            <w:pPr>
              <w:spacing w:after="0" w:line="259" w:lineRule="auto"/>
            </w:pPr>
            <w:r>
              <w:rPr>
                <w:rFonts w:ascii="Calibri" w:hAnsi="Calibri"/>
                <w:color w:val="263F61"/>
                <w:sz w:val="21"/>
              </w:rPr>
              <w:t>Feature eligibility was treated as a research-design decision, not a convenience step. This is the primary defence against misleading portfolio performance.</w:t>
            </w:r>
          </w:p>
        </w:tc>
      </w:tr>
    </w:tbl>
    <w:p>
      <w:pPr>
        <w:spacing w:after="40"/>
      </w:pPr>
    </w:p>
    <w:p>
      <w:r>
        <w:br w:type="page"/>
      </w:r>
    </w:p>
    <w:p>
      <w:pPr>
        <w:pStyle w:val="Heading1"/>
        <w:spacing w:before="0"/>
      </w:pPr>
      <w:r>
        <w:t>Phase 3  |  Data Cleaning and Preprocessing</w:t>
      </w:r>
    </w:p>
    <w:tbl>
      <w:tblPr>
        <w:tblW w:type="dxa" w:w="9360"/>
        <w:jc w:val="left"/>
        <w:tblLayout w:type="fixed"/>
        <w:tblLook w:firstColumn="1" w:firstRow="1" w:lastColumn="0" w:lastRow="0" w:noHBand="0" w:noVBand="1" w:val="04A0"/>
        <w:tblInd w:w="120" w:type="dxa"/>
        <w:tblBorders>
          <w:top w:val="single" w:sz="6" w:color="D7E0EB"/>
          <w:left w:val="single" w:sz="6" w:color="D7E0EB"/>
          <w:bottom w:val="single" w:sz="6" w:color="D7E0EB"/>
          <w:right w:val="single" w:sz="6" w:color="D7E0EB"/>
          <w:insideH w:val="single" w:sz="6" w:color="D7E0EB"/>
          <w:insideV w:val="single" w:sz="6" w:color="D7E0EB"/>
        </w:tblBorders>
      </w:tblPr>
      <w:tblGrid>
        <w:gridCol w:w="1750"/>
        <w:gridCol w:w="7610"/>
      </w:tblGrid>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STATUS</w:t>
            </w:r>
          </w:p>
        </w:tc>
        <w:tc>
          <w:tcPr>
            <w:tcW w:type="dxa" w:w="7610"/>
            <w:tcMar>
              <w:top w:w="80" w:type="dxa"/>
              <w:start w:w="120" w:type="dxa"/>
              <w:bottom w:w="80" w:type="dxa"/>
              <w:end w:w="120" w:type="dxa"/>
            </w:tcMar>
            <w:vAlign w:val="center"/>
          </w:tcPr>
          <w:p>
            <w:r>
              <w:rPr>
                <w:rFonts w:ascii="Calibri" w:hAnsi="Calibri"/>
                <w:b/>
                <w:color w:val="263F61"/>
                <w:sz w:val="20"/>
              </w:rPr>
              <w:t>PASSED WITH NOTES</w:t>
            </w:r>
          </w:p>
        </w:tc>
      </w:tr>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PHASE PURPOSE</w:t>
            </w:r>
          </w:p>
        </w:tc>
        <w:tc>
          <w:tcPr>
            <w:tcW w:type="dxa" w:w="7610"/>
            <w:tcMar>
              <w:top w:w="80" w:type="dxa"/>
              <w:start w:w="120" w:type="dxa"/>
              <w:bottom w:w="80" w:type="dxa"/>
              <w:end w:w="120" w:type="dxa"/>
            </w:tcMar>
            <w:vAlign w:val="center"/>
          </w:tcPr>
          <w:p>
            <w:r>
              <w:rPr>
                <w:rFonts w:ascii="Calibri" w:hAnsi="Calibri"/>
                <w:b w:val="0"/>
                <w:color w:val="263F61"/>
                <w:sz w:val="20"/>
              </w:rPr>
              <w:t>Convert approved raw inputs into reproducible, semantically honest modelling datasets without fitting on future holdout data.</w:t>
            </w:r>
          </w:p>
        </w:tc>
      </w:tr>
    </w:tbl>
    <w:p>
      <w:pPr>
        <w:spacing w:after="0"/>
      </w:pPr>
    </w:p>
    <w:p>
      <w:pPr>
        <w:pStyle w:val="Heading2"/>
      </w:pPr>
      <w:r>
        <w:t>Tasks completed</w:t>
      </w:r>
    </w:p>
    <w:p>
      <w:pPr>
        <w:pStyle w:val="ListBullet"/>
        <w:keepLines/>
      </w:pPr>
      <w:r>
        <w:rPr>
          <w:rFonts w:ascii="Calibri" w:hAnsi="Calibri"/>
          <w:color w:val="263F61"/>
        </w:rPr>
        <w:t>Implemented reusable cleaning functions and model-specific preprocessing templates.</w:t>
      </w:r>
    </w:p>
    <w:p>
      <w:pPr>
        <w:pStyle w:val="ListBullet"/>
        <w:keepLines/>
      </w:pPr>
      <w:r>
        <w:rPr>
          <w:rFonts w:ascii="Calibri" w:hAnsi="Calibri"/>
          <w:color w:val="263F61"/>
        </w:rPr>
        <w:t>Converted routed blanks to Not applicable / skipped and explicit special responses to meaningful categorical states.</w:t>
      </w:r>
    </w:p>
    <w:p>
      <w:pPr>
        <w:pStyle w:val="ListBullet"/>
        <w:keepLines/>
      </w:pPr>
      <w:r>
        <w:rPr>
          <w:rFonts w:ascii="Calibri" w:hAnsi="Calibri"/>
          <w:color w:val="263F61"/>
        </w:rPr>
        <w:t>Retained age as validated numeric input and treated coded predictors as categories rather than artificial numeric scales.</w:t>
      </w:r>
    </w:p>
    <w:p>
      <w:pPr>
        <w:pStyle w:val="ListBullet"/>
        <w:keepLines/>
      </w:pPr>
      <w:r>
        <w:rPr>
          <w:rFonts w:ascii="Calibri" w:hAnsi="Calibri"/>
          <w:color w:val="263F61"/>
        </w:rPr>
        <w:t>Generated separate cleaned datasets for account_fin and account_mob with no unresolved missing cells.</w:t>
      </w:r>
    </w:p>
    <w:p>
      <w:pPr>
        <w:pStyle w:val="ListBullet"/>
        <w:keepLines/>
      </w:pPr>
      <w:r>
        <w:rPr>
          <w:rFonts w:ascii="Calibri" w:hAnsi="Calibri"/>
          <w:color w:val="263F61"/>
        </w:rPr>
        <w:t>Added strict schema, code-set, target, leakage, and unknown-category tests.</w:t>
      </w:r>
    </w:p>
    <w:p>
      <w:pPr>
        <w:pStyle w:val="Heading2"/>
      </w:pPr>
      <w:r>
        <w:t>Reasoning behind the work</w:t>
      </w:r>
    </w:p>
    <w:p>
      <w:pPr>
        <w:spacing w:after="120"/>
      </w:pPr>
      <w:r>
        <w:rPr>
          <w:rFonts w:ascii="Calibri" w:hAnsi="Calibri"/>
          <w:b/>
          <w:color w:val="263F61"/>
        </w:rPr>
        <w:t xml:space="preserve">Semantic missingness: </w:t>
      </w:r>
      <w:r>
        <w:rPr>
          <w:rFonts w:ascii="Calibri" w:hAnsi="Calibri"/>
          <w:i w:val="0"/>
          <w:color w:val="263F61"/>
        </w:rPr>
        <w:t>Questionnaire routing carries information about eligibility and access. Treating routed blanks as random nulls would erase that meaning.</w:t>
      </w:r>
    </w:p>
    <w:p>
      <w:pPr>
        <w:spacing w:after="120"/>
      </w:pPr>
      <w:r>
        <w:rPr>
          <w:rFonts w:ascii="Calibri" w:hAnsi="Calibri"/>
          <w:b/>
          <w:color w:val="263F61"/>
        </w:rPr>
        <w:t xml:space="preserve">No silent imputation: </w:t>
      </w:r>
      <w:r>
        <w:rPr>
          <w:rFonts w:ascii="Calibri" w:hAnsi="Calibri"/>
          <w:i w:val="0"/>
          <w:color w:val="263F61"/>
        </w:rPr>
        <w:t>The ten blank education responses became an explicit missing/nonresponse category instead of being replaced with an assumed typical value.</w:t>
      </w:r>
    </w:p>
    <w:p>
      <w:pPr>
        <w:spacing w:after="120"/>
      </w:pPr>
      <w:r>
        <w:rPr>
          <w:rFonts w:ascii="Calibri" w:hAnsi="Calibri"/>
          <w:b/>
          <w:color w:val="263F61"/>
        </w:rPr>
        <w:t xml:space="preserve">Unfitted preprocessors: </w:t>
      </w:r>
      <w:r>
        <w:rPr>
          <w:rFonts w:ascii="Calibri" w:hAnsi="Calibri"/>
          <w:i w:val="0"/>
          <w:color w:val="263F61"/>
        </w:rPr>
        <w:t>Preprocessing objects remained templates so category learning and parameter fitting could occur only inside training folds.</w:t>
      </w:r>
    </w:p>
    <w:p>
      <w:pPr>
        <w:spacing w:after="120"/>
      </w:pPr>
      <w:r>
        <w:rPr>
          <w:rFonts w:ascii="Calibri" w:hAnsi="Calibri"/>
          <w:b/>
          <w:color w:val="263F61"/>
        </w:rPr>
        <w:t xml:space="preserve">Central feature policy: </w:t>
      </w:r>
      <w:r>
        <w:rPr>
          <w:rFonts w:ascii="Calibri" w:hAnsi="Calibri"/>
          <w:i w:val="0"/>
          <w:color w:val="263F61"/>
        </w:rPr>
        <w:t>The same approved lists drive dictionary generation, cleaning, and later modelling, reducing policy drift.</w:t>
      </w:r>
    </w:p>
    <w:p>
      <w:pPr>
        <w:pStyle w:val="Heading2"/>
      </w:pPr>
      <w:r>
        <w:t>Validation and handoff</w:t>
      </w:r>
    </w:p>
    <w:p>
      <w:pPr>
        <w:pStyle w:val="ListBullet"/>
        <w:keepLines/>
      </w:pPr>
      <w:r>
        <w:rPr>
          <w:rFonts w:ascii="Calibri" w:hAnsi="Calibri"/>
          <w:color w:val="263F61"/>
        </w:rPr>
        <w:t>Model 1 cleaned matrix: 1,051 rows, 16 predictors, one target.</w:t>
      </w:r>
    </w:p>
    <w:p>
      <w:pPr>
        <w:pStyle w:val="ListBullet"/>
        <w:keepLines/>
      </w:pPr>
      <w:r>
        <w:rPr>
          <w:rFonts w:ascii="Calibri" w:hAnsi="Calibri"/>
          <w:color w:val="263F61"/>
        </w:rPr>
        <w:t>Model 2 cleaned matrix: 1,051 rows, 26 predictors, one target.</w:t>
      </w:r>
    </w:p>
    <w:p>
      <w:pPr>
        <w:pStyle w:val="ListBullet"/>
        <w:keepLines/>
      </w:pPr>
      <w:r>
        <w:rPr>
          <w:rFonts w:ascii="Calibri" w:hAnsi="Calibri"/>
          <w:color w:val="263F61"/>
        </w:rPr>
        <w:t>Age range was 15-100, with zero non-integer or out-of-range values.</w:t>
      </w:r>
    </w:p>
    <w:p>
      <w:pPr>
        <w:pStyle w:val="ListBullet"/>
        <w:keepLines/>
      </w:pPr>
      <w:r>
        <w:rPr>
          <w:rFonts w:ascii="Calibri" w:hAnsi="Calibri"/>
          <w:color w:val="263F61"/>
        </w:rPr>
        <w:t>No identifiers, metadata, parallel targets, unapproved fields, or unresolved null cells entered either output.</w:t>
      </w:r>
    </w:p>
    <w:p>
      <w:r>
        <w:br w:type="page"/>
      </w:r>
    </w:p>
    <w:p>
      <w:pPr>
        <w:pStyle w:val="Heading1"/>
        <w:spacing w:before="0"/>
      </w:pPr>
      <w:r>
        <w:t>Phase 4  |  Exploratory Data Analysis</w:t>
      </w:r>
    </w:p>
    <w:tbl>
      <w:tblPr>
        <w:tblW w:type="dxa" w:w="9360"/>
        <w:jc w:val="left"/>
        <w:tblLayout w:type="fixed"/>
        <w:tblLook w:firstColumn="1" w:firstRow="1" w:lastColumn="0" w:lastRow="0" w:noHBand="0" w:noVBand="1" w:val="04A0"/>
        <w:tblInd w:w="120" w:type="dxa"/>
        <w:tblBorders>
          <w:top w:val="single" w:sz="6" w:color="D7E0EB"/>
          <w:left w:val="single" w:sz="6" w:color="D7E0EB"/>
          <w:bottom w:val="single" w:sz="6" w:color="D7E0EB"/>
          <w:right w:val="single" w:sz="6" w:color="D7E0EB"/>
          <w:insideH w:val="single" w:sz="6" w:color="D7E0EB"/>
          <w:insideV w:val="single" w:sz="6" w:color="D7E0EB"/>
        </w:tblBorders>
      </w:tblPr>
      <w:tblGrid>
        <w:gridCol w:w="1750"/>
        <w:gridCol w:w="7610"/>
      </w:tblGrid>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STATUS</w:t>
            </w:r>
          </w:p>
        </w:tc>
        <w:tc>
          <w:tcPr>
            <w:tcW w:type="dxa" w:w="7610"/>
            <w:tcMar>
              <w:top w:w="80" w:type="dxa"/>
              <w:start w:w="120" w:type="dxa"/>
              <w:bottom w:w="80" w:type="dxa"/>
              <w:end w:w="120" w:type="dxa"/>
            </w:tcMar>
            <w:vAlign w:val="center"/>
          </w:tcPr>
          <w:p>
            <w:r>
              <w:rPr>
                <w:rFonts w:ascii="Calibri" w:hAnsi="Calibri"/>
                <w:b/>
                <w:color w:val="263F61"/>
                <w:sz w:val="20"/>
              </w:rPr>
              <w:t>PASSED WITH NOTES</w:t>
            </w:r>
          </w:p>
        </w:tc>
      </w:tr>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PHASE PURPOSE</w:t>
            </w:r>
          </w:p>
        </w:tc>
        <w:tc>
          <w:tcPr>
            <w:tcW w:type="dxa" w:w="7610"/>
            <w:tcMar>
              <w:top w:w="80" w:type="dxa"/>
              <w:start w:w="120" w:type="dxa"/>
              <w:bottom w:w="80" w:type="dxa"/>
              <w:end w:w="120" w:type="dxa"/>
            </w:tcMar>
            <w:vAlign w:val="center"/>
          </w:tcPr>
          <w:p>
            <w:r>
              <w:rPr>
                <w:rFonts w:ascii="Calibri" w:hAnsi="Calibri"/>
                <w:b w:val="0"/>
                <w:color w:val="263F61"/>
                <w:sz w:val="20"/>
              </w:rPr>
              <w:t>Build a question-driven, survey-weighted analytical story before formal inference or modelling.</w:t>
            </w:r>
          </w:p>
        </w:tc>
      </w:tr>
    </w:tbl>
    <w:p>
      <w:pPr>
        <w:spacing w:after="0"/>
      </w:pPr>
    </w:p>
    <w:p>
      <w:pPr>
        <w:pStyle w:val="Heading2"/>
      </w:pPr>
      <w:r>
        <w:t>Tasks completed</w:t>
      </w:r>
    </w:p>
    <w:p>
      <w:pPr>
        <w:pStyle w:val="ListBullet"/>
        <w:keepLines/>
      </w:pPr>
      <w:r>
        <w:rPr>
          <w:rFonts w:ascii="Calibri" w:hAnsi="Calibri"/>
          <w:color w:val="263F61"/>
        </w:rPr>
        <w:t>Calculated survey-weighted national estimates and retained unweighted counts for sample transparency.</w:t>
      </w:r>
    </w:p>
    <w:p>
      <w:pPr>
        <w:pStyle w:val="ListBullet"/>
        <w:keepLines/>
      </w:pPr>
      <w:r>
        <w:rPr>
          <w:rFonts w:ascii="Calibri" w:hAnsi="Calibri"/>
          <w:color w:val="263F61"/>
        </w:rPr>
        <w:t>Compared both outcomes across gender, age, education, income, employment, internet use, phone ownership, and phone type.</w:t>
      </w:r>
    </w:p>
    <w:p>
      <w:pPr>
        <w:pStyle w:val="ListBullet"/>
        <w:keepLines/>
      </w:pPr>
      <w:r>
        <w:rPr>
          <w:rFonts w:ascii="Calibri" w:hAnsi="Calibri"/>
          <w:color w:val="263F61"/>
        </w:rPr>
        <w:t>Created professional PNG and SVG figures with a complete chart manifest.</w:t>
      </w:r>
    </w:p>
    <w:p>
      <w:pPr>
        <w:pStyle w:val="ListBullet"/>
        <w:keepLines/>
      </w:pPr>
      <w:r>
        <w:rPr>
          <w:rFonts w:ascii="Calibri" w:hAnsi="Calibri"/>
          <w:color w:val="263F61"/>
        </w:rPr>
        <w:t>Recorded analytical findings using association language and explicit interpretation guardrails.</w:t>
      </w:r>
    </w:p>
    <w:p>
      <w:pPr>
        <w:pStyle w:val="ListBullet"/>
        <w:keepLines/>
      </w:pPr>
      <w:r>
        <w:rPr>
          <w:rFonts w:ascii="Calibri" w:hAnsi="Calibri"/>
          <w:color w:val="263F61"/>
        </w:rPr>
        <w:t>Embedded saved tables and figures in the executed Phase 4 notebook.</w:t>
      </w:r>
    </w:p>
    <w:p>
      <w:pPr>
        <w:pStyle w:val="Heading2"/>
      </w:pPr>
      <w:r>
        <w:t>Reasoning behind the work</w:t>
      </w:r>
    </w:p>
    <w:p>
      <w:pPr>
        <w:spacing w:after="120"/>
      </w:pPr>
      <w:r>
        <w:rPr>
          <w:rFonts w:ascii="Calibri" w:hAnsi="Calibri"/>
          <w:b/>
          <w:color w:val="263F61"/>
        </w:rPr>
        <w:t xml:space="preserve">Weighted description: </w:t>
      </w:r>
      <w:r>
        <w:rPr>
          <w:rFonts w:ascii="Calibri" w:hAnsi="Calibri"/>
          <w:i w:val="0"/>
          <w:color w:val="263F61"/>
        </w:rPr>
        <w:t>The supplied survey weight makes the national descriptive estimates more appropriate than raw sample proportions.</w:t>
      </w:r>
    </w:p>
    <w:p>
      <w:pPr>
        <w:spacing w:after="120"/>
      </w:pPr>
      <w:r>
        <w:rPr>
          <w:rFonts w:ascii="Calibri" w:hAnsi="Calibri"/>
          <w:b/>
          <w:color w:val="263F61"/>
        </w:rPr>
        <w:t xml:space="preserve">Question-led charts: </w:t>
      </w:r>
      <w:r>
        <w:rPr>
          <w:rFonts w:ascii="Calibri" w:hAnsi="Calibri"/>
          <w:i w:val="0"/>
          <w:color w:val="263F61"/>
        </w:rPr>
        <w:t>Visuals were tied to project questions so the EDA communicates an analytical narrative instead of producing a generic chart gallery.</w:t>
      </w:r>
    </w:p>
    <w:p>
      <w:pPr>
        <w:spacing w:after="120"/>
      </w:pPr>
      <w:r>
        <w:rPr>
          <w:rFonts w:ascii="Calibri" w:hAnsi="Calibri"/>
          <w:b/>
          <w:color w:val="263F61"/>
        </w:rPr>
        <w:t xml:space="preserve">No premature inference: </w:t>
      </w:r>
      <w:r>
        <w:rPr>
          <w:rFonts w:ascii="Calibri" w:hAnsi="Calibri"/>
          <w:i w:val="0"/>
          <w:color w:val="263F61"/>
        </w:rPr>
        <w:t>Phase 4 describes patterns only; p-values, effect sizes, and models were deliberately reserved for later phases.</w:t>
      </w:r>
    </w:p>
    <w:p>
      <w:pPr>
        <w:spacing w:after="120"/>
      </w:pPr>
      <w:r>
        <w:rPr>
          <w:rFonts w:ascii="Calibri" w:hAnsi="Calibri"/>
          <w:b/>
          <w:color w:val="263F61"/>
        </w:rPr>
        <w:t xml:space="preserve">Transparent denominators: </w:t>
      </w:r>
      <w:r>
        <w:rPr>
          <w:rFonts w:ascii="Calibri" w:hAnsi="Calibri"/>
          <w:i w:val="0"/>
          <w:color w:val="263F61"/>
        </w:rPr>
        <w:t>Weighted rates are accompanied by unweighted sample sizes so readers can see the evidence supporting each subgroup estimate.</w:t>
      </w:r>
    </w:p>
    <w:p>
      <w:pPr>
        <w:pStyle w:val="Heading2"/>
      </w:pPr>
      <w:r>
        <w:t>Validation and handoff</w:t>
      </w:r>
    </w:p>
    <w:p>
      <w:pPr>
        <w:pStyle w:val="ListBullet"/>
        <w:keepLines/>
      </w:pPr>
      <w:r>
        <w:rPr>
          <w:rFonts w:ascii="Calibri" w:hAnsi="Calibri"/>
          <w:color w:val="263F61"/>
        </w:rPr>
        <w:t>Weighted financial-inclusion estimate: 43.1%; weighted mobile-money estimate: 50.4%.</w:t>
      </w:r>
    </w:p>
    <w:p>
      <w:pPr>
        <w:pStyle w:val="ListBullet"/>
        <w:keepLines/>
      </w:pPr>
      <w:r>
        <w:rPr>
          <w:rFonts w:ascii="Calibri" w:hAnsi="Calibri"/>
          <w:color w:val="263F61"/>
        </w:rPr>
        <w:t>Financial inclusion ranged from 36.8% for primary education or less to 82.4% for tertiary education or more.</w:t>
      </w:r>
    </w:p>
    <w:p>
      <w:pPr>
        <w:pStyle w:val="ListBullet"/>
        <w:keepLines/>
      </w:pPr>
      <w:r>
        <w:rPr>
          <w:rFonts w:ascii="Calibri" w:hAnsi="Calibri"/>
          <w:color w:val="263F61"/>
        </w:rPr>
        <w:t>Financial inclusion rose from 34.1% in income quintile 1 to 65.0% in quintile 5.</w:t>
      </w:r>
    </w:p>
    <w:p>
      <w:pPr>
        <w:pStyle w:val="ListBullet"/>
        <w:keepLines/>
      </w:pPr>
      <w:r>
        <w:rPr>
          <w:rFonts w:ascii="Calibri" w:hAnsi="Calibri"/>
          <w:color w:val="263F61"/>
        </w:rPr>
        <w:t>Mobile-money adoption was 60.5% among recent internet users and 39.7% in the combined no/DK/refused group.</w:t>
      </w:r>
    </w:p>
    <w:p>
      <w:pPr>
        <w:pStyle w:val="ListBullet"/>
        <w:keepLines/>
      </w:pPr>
      <w:r>
        <w:rPr>
          <w:rFonts w:ascii="Calibri" w:hAnsi="Calibri"/>
          <w:color w:val="263F61"/>
        </w:rPr>
        <w:t>Urban/rural analysis was not possible because urbanicity is constant in the extract.</w:t>
      </w:r>
    </w:p>
    <w:tbl>
      <w:tblPr>
        <w:tblW w:type="dxa" w:w="9360"/>
        <w:jc w:val="left"/>
        <w:tblLayout w:type="fixed"/>
        <w:tblLook w:firstColumn="1" w:firstRow="1" w:lastColumn="0" w:lastRow="0" w:noHBand="0" w:noVBand="1" w:val="04A0"/>
        <w:tblInd w:w="120" w:type="dxa"/>
        <w:tblBorders>
          <w:top w:val="single" w:sz="8" w:color="C49137"/>
          <w:left w:val="single" w:sz="8" w:color="C49137"/>
          <w:bottom w:val="single" w:sz="8" w:color="C49137"/>
          <w:right w:val="single" w:sz="8" w:color="C49137"/>
          <w:insideH w:val="single" w:sz="8" w:color="C49137"/>
          <w:insideV w:val="single" w:sz="8" w:color="C49137"/>
        </w:tblBorders>
      </w:tblPr>
      <w:tblGrid>
        <w:gridCol w:w="9360"/>
      </w:tblGrid>
      <w:tr>
        <w:trPr>
          <w:cantSplit/>
        </w:trPr>
        <w:tc>
          <w:tcPr>
            <w:tcW w:type="dxa" w:w="9360"/>
            <w:tcMar>
              <w:top w:w="80" w:type="dxa"/>
              <w:start w:w="120" w:type="dxa"/>
              <w:bottom w:w="80" w:type="dxa"/>
              <w:end w:w="120" w:type="dxa"/>
            </w:tcMar>
            <w:vAlign w:val="center"/>
            <w:shd w:fill="FFF7E6"/>
          </w:tcPr>
          <w:p>
            <w:pPr>
              <w:spacing w:after="60"/>
            </w:pPr>
            <w:r>
              <w:rPr>
                <w:rFonts w:ascii="Calibri" w:hAnsi="Calibri"/>
                <w:b/>
                <w:color w:val="C49137"/>
                <w:sz w:val="17"/>
              </w:rPr>
              <w:t>INTERPRETATION BOUNDARY</w:t>
            </w:r>
          </w:p>
          <w:p>
            <w:pPr>
              <w:spacing w:after="0" w:line="259" w:lineRule="auto"/>
            </w:pPr>
            <w:r>
              <w:rPr>
                <w:rFonts w:ascii="Calibri" w:hAnsi="Calibri"/>
                <w:color w:val="263F61"/>
                <w:sz w:val="21"/>
              </w:rPr>
              <w:t>These weighted comparisons are observational and bivariate. They show association, not causation, and do not adjust for confounding.</w:t>
            </w:r>
          </w:p>
        </w:tc>
      </w:tr>
    </w:tbl>
    <w:p>
      <w:pPr>
        <w:spacing w:after="40"/>
      </w:pPr>
    </w:p>
    <w:p>
      <w:pPr>
        <w:keepNext/>
        <w:jc w:val="center"/>
      </w:pPr>
      <w:r>
        <w:drawing>
          <wp:inline xmlns:a="http://schemas.openxmlformats.org/drawingml/2006/main" xmlns:pic="http://schemas.openxmlformats.org/drawingml/2006/picture">
            <wp:extent cx="5623560" cy="2727003"/>
            <wp:docPr id="2" name="Picture 2" descr="Figure 1. Survey-weighted and unweighted access estimates from the validated Phase 4 analysis." title="Figure 1. Survey-weighted and unweighted access estimates from the validated Phase 4 analysis."/>
            <wp:cNvGraphicFramePr>
              <a:graphicFrameLocks noChangeAspect="1"/>
            </wp:cNvGraphicFramePr>
            <a:graphic>
              <a:graphicData uri="http://schemas.openxmlformats.org/drawingml/2006/picture">
                <pic:pic>
                  <pic:nvPicPr>
                    <pic:cNvPr id="0" name="01_overall_access_rates.png"/>
                    <pic:cNvPicPr/>
                  </pic:nvPicPr>
                  <pic:blipFill>
                    <a:blip r:embed="rId13"/>
                    <a:stretch>
                      <a:fillRect/>
                    </a:stretch>
                  </pic:blipFill>
                  <pic:spPr>
                    <a:xfrm>
                      <a:off x="0" y="0"/>
                      <a:ext cx="5623560" cy="2727003"/>
                    </a:xfrm>
                    <a:prstGeom prst="rect"/>
                  </pic:spPr>
                </pic:pic>
              </a:graphicData>
            </a:graphic>
          </wp:inline>
        </w:drawing>
      </w:r>
    </w:p>
    <w:p>
      <w:pPr>
        <w:spacing w:before="60" w:after="160"/>
        <w:jc w:val="center"/>
      </w:pPr>
      <w:r>
        <w:rPr>
          <w:rFonts w:ascii="Calibri" w:hAnsi="Calibri"/>
          <w:i/>
          <w:color w:val="697B91"/>
          <w:sz w:val="18"/>
        </w:rPr>
        <w:t>Figure 1. Survey-weighted and unweighted access estimates from the validated Phase 4 analysis.</w:t>
      </w:r>
    </w:p>
    <w:p>
      <w:r>
        <w:br w:type="page"/>
      </w:r>
    </w:p>
    <w:p>
      <w:pPr>
        <w:pStyle w:val="Heading1"/>
        <w:spacing w:before="0"/>
      </w:pPr>
      <w:r>
        <w:t>Phase 5  |  Statistical Analysis</w:t>
      </w:r>
    </w:p>
    <w:tbl>
      <w:tblPr>
        <w:tblW w:type="dxa" w:w="9360"/>
        <w:jc w:val="left"/>
        <w:tblLayout w:type="fixed"/>
        <w:tblLook w:firstColumn="1" w:firstRow="1" w:lastColumn="0" w:lastRow="0" w:noHBand="0" w:noVBand="1" w:val="04A0"/>
        <w:tblInd w:w="120" w:type="dxa"/>
        <w:tblBorders>
          <w:top w:val="single" w:sz="6" w:color="D7E0EB"/>
          <w:left w:val="single" w:sz="6" w:color="D7E0EB"/>
          <w:bottom w:val="single" w:sz="6" w:color="D7E0EB"/>
          <w:right w:val="single" w:sz="6" w:color="D7E0EB"/>
          <w:insideH w:val="single" w:sz="6" w:color="D7E0EB"/>
          <w:insideV w:val="single" w:sz="6" w:color="D7E0EB"/>
        </w:tblBorders>
      </w:tblPr>
      <w:tblGrid>
        <w:gridCol w:w="1750"/>
        <w:gridCol w:w="7610"/>
      </w:tblGrid>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STATUS</w:t>
            </w:r>
          </w:p>
        </w:tc>
        <w:tc>
          <w:tcPr>
            <w:tcW w:type="dxa" w:w="7610"/>
            <w:tcMar>
              <w:top w:w="80" w:type="dxa"/>
              <w:start w:w="120" w:type="dxa"/>
              <w:bottom w:w="80" w:type="dxa"/>
              <w:end w:w="120" w:type="dxa"/>
            </w:tcMar>
            <w:vAlign w:val="center"/>
          </w:tcPr>
          <w:p>
            <w:r>
              <w:rPr>
                <w:rFonts w:ascii="Calibri" w:hAnsi="Calibri"/>
                <w:b/>
                <w:color w:val="263F61"/>
                <w:sz w:val="20"/>
              </w:rPr>
              <w:t>PASSED WITH NOTES</w:t>
            </w:r>
          </w:p>
        </w:tc>
      </w:tr>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PHASE PURPOSE</w:t>
            </w:r>
          </w:p>
        </w:tc>
        <w:tc>
          <w:tcPr>
            <w:tcW w:type="dxa" w:w="7610"/>
            <w:tcMar>
              <w:top w:w="80" w:type="dxa"/>
              <w:start w:w="120" w:type="dxa"/>
              <w:bottom w:w="80" w:type="dxa"/>
              <w:end w:w="120" w:type="dxa"/>
            </w:tcMar>
            <w:vAlign w:val="center"/>
          </w:tcPr>
          <w:p>
            <w:r>
              <w:rPr>
                <w:rFonts w:ascii="Calibri" w:hAnsi="Calibri"/>
                <w:b w:val="0"/>
                <w:color w:val="263F61"/>
                <w:sz w:val="20"/>
              </w:rPr>
              <w:t>Test the principal EDA associations formally while controlling false discoveries and preserving non-causal interpretation.</w:t>
            </w:r>
          </w:p>
        </w:tc>
      </w:tr>
    </w:tbl>
    <w:p>
      <w:pPr>
        <w:spacing w:after="0"/>
      </w:pPr>
    </w:p>
    <w:p>
      <w:pPr>
        <w:pStyle w:val="Heading2"/>
      </w:pPr>
      <w:r>
        <w:t>Tasks completed</w:t>
      </w:r>
    </w:p>
    <w:p>
      <w:pPr>
        <w:pStyle w:val="ListBullet"/>
        <w:keepLines/>
      </w:pPr>
      <w:r>
        <w:rPr>
          <w:rFonts w:ascii="Calibri" w:hAnsi="Calibri"/>
          <w:color w:val="263F61"/>
        </w:rPr>
        <w:t>Pre-specified eight tests per outcome: seven categorical tests and one numeric age comparison.</w:t>
      </w:r>
    </w:p>
    <w:p>
      <w:pPr>
        <w:pStyle w:val="ListBullet"/>
        <w:keepLines/>
      </w:pPr>
      <w:r>
        <w:rPr>
          <w:rFonts w:ascii="Calibri" w:hAnsi="Calibri"/>
          <w:color w:val="263F61"/>
        </w:rPr>
        <w:t>Applied chi-square tests, bias-corrected Cramer's V, Mann-Whitney tests, and rank-biserial effect sizes as appropriate.</w:t>
      </w:r>
    </w:p>
    <w:p>
      <w:pPr>
        <w:pStyle w:val="ListBullet"/>
        <w:keepLines/>
      </w:pPr>
      <w:r>
        <w:rPr>
          <w:rFonts w:ascii="Calibri" w:hAnsi="Calibri"/>
          <w:color w:val="263F61"/>
        </w:rPr>
        <w:t>Controlled multiple testing with Benjamini-Hochberg FDR separately within each outcome.</w:t>
      </w:r>
    </w:p>
    <w:p>
      <w:pPr>
        <w:pStyle w:val="ListBullet"/>
        <w:keepLines/>
      </w:pPr>
      <w:r>
        <w:rPr>
          <w:rFonts w:ascii="Calibri" w:hAnsi="Calibri"/>
          <w:color w:val="263F61"/>
        </w:rPr>
        <w:t>Checked expected-count assumptions for all categorical tests.</w:t>
      </w:r>
    </w:p>
    <w:p>
      <w:pPr>
        <w:pStyle w:val="ListBullet"/>
        <w:keepLines/>
      </w:pPr>
      <w:r>
        <w:rPr>
          <w:rFonts w:ascii="Calibri" w:hAnsi="Calibri"/>
          <w:color w:val="263F61"/>
        </w:rPr>
        <w:t>Produced complete result, contingency, age-distribution, and summary tables.</w:t>
      </w:r>
    </w:p>
    <w:p>
      <w:pPr>
        <w:pStyle w:val="Heading2"/>
      </w:pPr>
      <w:r>
        <w:t>Reasoning behind the work</w:t>
      </w:r>
    </w:p>
    <w:p>
      <w:pPr>
        <w:spacing w:after="120"/>
      </w:pPr>
      <w:r>
        <w:rPr>
          <w:rFonts w:ascii="Calibri" w:hAnsi="Calibri"/>
          <w:b/>
          <w:color w:val="263F61"/>
        </w:rPr>
        <w:t xml:space="preserve">Pre-specification: </w:t>
      </w:r>
      <w:r>
        <w:rPr>
          <w:rFonts w:ascii="Calibri" w:hAnsi="Calibri"/>
          <w:i w:val="0"/>
          <w:color w:val="263F61"/>
        </w:rPr>
        <w:t>Defining tests before inspecting significance reduces selective reporting and makes the analytical scope auditable.</w:t>
      </w:r>
    </w:p>
    <w:p>
      <w:pPr>
        <w:spacing w:after="120"/>
      </w:pPr>
      <w:r>
        <w:rPr>
          <w:rFonts w:ascii="Calibri" w:hAnsi="Calibri"/>
          <w:b/>
          <w:color w:val="263F61"/>
        </w:rPr>
        <w:t xml:space="preserve">Effect sizes with p-values: </w:t>
      </w:r>
      <w:r>
        <w:rPr>
          <w:rFonts w:ascii="Calibri" w:hAnsi="Calibri"/>
          <w:i w:val="0"/>
          <w:color w:val="263F61"/>
        </w:rPr>
        <w:t>Statistical significance alone does not show practical magnitude, so association strength was reported alongside adjusted significance.</w:t>
      </w:r>
    </w:p>
    <w:p>
      <w:pPr>
        <w:spacing w:after="120"/>
      </w:pPr>
      <w:r>
        <w:rPr>
          <w:rFonts w:ascii="Calibri" w:hAnsi="Calibri"/>
          <w:b/>
          <w:color w:val="263F61"/>
        </w:rPr>
        <w:t xml:space="preserve">Unweighted inference: </w:t>
      </w:r>
      <w:r>
        <w:rPr>
          <w:rFonts w:ascii="Calibri" w:hAnsi="Calibri"/>
          <w:i w:val="0"/>
          <w:color w:val="263F61"/>
        </w:rPr>
        <w:t>Without survey strata and cluster variables, the project avoided implying design-corrected survey inference. Weighted rates remain descriptive context.</w:t>
      </w:r>
    </w:p>
    <w:p>
      <w:pPr>
        <w:spacing w:after="120"/>
      </w:pPr>
      <w:r>
        <w:rPr>
          <w:rFonts w:ascii="Calibri" w:hAnsi="Calibri"/>
          <w:b/>
          <w:color w:val="263F61"/>
        </w:rPr>
        <w:t xml:space="preserve">FDR control: </w:t>
      </w:r>
      <w:r>
        <w:rPr>
          <w:rFonts w:ascii="Calibri" w:hAnsi="Calibri"/>
          <w:i w:val="0"/>
          <w:color w:val="263F61"/>
        </w:rPr>
        <w:t>Multiple comparisons increase false-positive risk; Benjamini-Hochberg provides a transparent correction without treating every test as isolated.</w:t>
      </w:r>
    </w:p>
    <w:p>
      <w:pPr>
        <w:pStyle w:val="Heading2"/>
      </w:pPr>
      <w:r>
        <w:t>Validation and handoff</w:t>
      </w:r>
    </w:p>
    <w:p>
      <w:pPr>
        <w:pStyle w:val="ListBullet"/>
        <w:keepLines/>
      </w:pPr>
      <w:r>
        <w:rPr>
          <w:rFonts w:ascii="Calibri" w:hAnsi="Calibri"/>
          <w:color w:val="263F61"/>
        </w:rPr>
        <w:t>Seven of eight tests remained significant after FDR adjustment for each target; gender did not.</w:t>
      </w:r>
    </w:p>
    <w:p>
      <w:pPr>
        <w:pStyle w:val="ListBullet"/>
        <w:keepLines/>
      </w:pPr>
      <w:r>
        <w:rPr>
          <w:rFonts w:ascii="Calibri" w:hAnsi="Calibri"/>
          <w:color w:val="263F61"/>
        </w:rPr>
        <w:t>All 14 categorical tests passed the expected-count rule; the minimum expected cell count was 36.35.</w:t>
      </w:r>
    </w:p>
    <w:p>
      <w:pPr>
        <w:pStyle w:val="ListBullet"/>
        <w:keepLines/>
      </w:pPr>
      <w:r>
        <w:rPr>
          <w:rFonts w:ascii="Calibri" w:hAnsi="Calibri"/>
          <w:color w:val="263F61"/>
        </w:rPr>
        <w:t>Largest financial-inclusion categorical effect: income quintile, bias-corrected Cramer's V = 0.270.</w:t>
      </w:r>
    </w:p>
    <w:p>
      <w:pPr>
        <w:pStyle w:val="ListBullet"/>
        <w:keepLines/>
      </w:pPr>
      <w:r>
        <w:rPr>
          <w:rFonts w:ascii="Calibri" w:hAnsi="Calibri"/>
          <w:color w:val="263F61"/>
        </w:rPr>
        <w:t>Largest mobile-money categorical effect: phone type, bias-corrected Cramer's V = 0.236.</w:t>
      </w:r>
    </w:p>
    <w:p>
      <w:pPr>
        <w:pStyle w:val="ListBullet"/>
        <w:keepLines/>
      </w:pPr>
      <w:r>
        <w:rPr>
          <w:rFonts w:ascii="Calibri" w:hAnsi="Calibri"/>
          <w:color w:val="263F61"/>
        </w:rPr>
        <w:t>Age effects were small: rank-biserial 0.203 for inclusion and 0.108 for mobile money.</w:t>
      </w:r>
    </w:p>
    <w:p>
      <w:r>
        <w:br w:type="page"/>
      </w:r>
    </w:p>
    <w:p>
      <w:pPr>
        <w:pStyle w:val="Heading1"/>
        <w:spacing w:before="0"/>
      </w:pPr>
      <w:r>
        <w:t>Phase 6  |  Feature Engineering</w:t>
      </w:r>
    </w:p>
    <w:tbl>
      <w:tblPr>
        <w:tblW w:type="dxa" w:w="9360"/>
        <w:jc w:val="left"/>
        <w:tblLayout w:type="fixed"/>
        <w:tblLook w:firstColumn="1" w:firstRow="1" w:lastColumn="0" w:lastRow="0" w:noHBand="0" w:noVBand="1" w:val="04A0"/>
        <w:tblInd w:w="120" w:type="dxa"/>
        <w:tblBorders>
          <w:top w:val="single" w:sz="6" w:color="D7E0EB"/>
          <w:left w:val="single" w:sz="6" w:color="D7E0EB"/>
          <w:bottom w:val="single" w:sz="6" w:color="D7E0EB"/>
          <w:right w:val="single" w:sz="6" w:color="D7E0EB"/>
          <w:insideH w:val="single" w:sz="6" w:color="D7E0EB"/>
          <w:insideV w:val="single" w:sz="6" w:color="D7E0EB"/>
        </w:tblBorders>
      </w:tblPr>
      <w:tblGrid>
        <w:gridCol w:w="1750"/>
        <w:gridCol w:w="7610"/>
      </w:tblGrid>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STATUS</w:t>
            </w:r>
          </w:p>
        </w:tc>
        <w:tc>
          <w:tcPr>
            <w:tcW w:type="dxa" w:w="7610"/>
            <w:tcMar>
              <w:top w:w="80" w:type="dxa"/>
              <w:start w:w="120" w:type="dxa"/>
              <w:bottom w:w="80" w:type="dxa"/>
              <w:end w:w="120" w:type="dxa"/>
            </w:tcMar>
            <w:vAlign w:val="center"/>
          </w:tcPr>
          <w:p>
            <w:r>
              <w:rPr>
                <w:rFonts w:ascii="Calibri" w:hAnsi="Calibri"/>
                <w:b/>
                <w:color w:val="263F61"/>
                <w:sz w:val="20"/>
              </w:rPr>
              <w:t>PASSED WITH NOTES</w:t>
            </w:r>
          </w:p>
        </w:tc>
      </w:tr>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PHASE PURPOSE</w:t>
            </w:r>
          </w:p>
        </w:tc>
        <w:tc>
          <w:tcPr>
            <w:tcW w:type="dxa" w:w="7610"/>
            <w:tcMar>
              <w:top w:w="80" w:type="dxa"/>
              <w:start w:w="120" w:type="dxa"/>
              <w:bottom w:w="80" w:type="dxa"/>
              <w:end w:w="120" w:type="dxa"/>
            </w:tcMar>
            <w:vAlign w:val="center"/>
          </w:tcPr>
          <w:p>
            <w:r>
              <w:rPr>
                <w:rFonts w:ascii="Calibri" w:hAnsi="Calibri"/>
                <w:b w:val="0"/>
                <w:color w:val="263F61"/>
                <w:sz w:val="20"/>
              </w:rPr>
              <w:t>Create interpretable, deterministic, leakage-safe predictors and freeze final model-specific matrices.</w:t>
            </w:r>
          </w:p>
        </w:tc>
      </w:tr>
    </w:tbl>
    <w:p>
      <w:pPr>
        <w:spacing w:after="0"/>
      </w:pPr>
    </w:p>
    <w:p>
      <w:pPr>
        <w:pStyle w:val="Heading2"/>
      </w:pPr>
      <w:r>
        <w:t>Tasks completed</w:t>
      </w:r>
    </w:p>
    <w:p>
      <w:pPr>
        <w:pStyle w:val="ListBullet"/>
        <w:keepLines/>
      </w:pPr>
      <w:r>
        <w:rPr>
          <w:rFonts w:ascii="Calibri" w:hAnsi="Calibri"/>
          <w:color w:val="263F61"/>
        </w:rPr>
        <w:t>Created fixed age groups and a phone-access tier for both models.</w:t>
      </w:r>
    </w:p>
    <w:p>
      <w:pPr>
        <w:pStyle w:val="ListBullet"/>
        <w:keepLines/>
      </w:pPr>
      <w:r>
        <w:rPr>
          <w:rFonts w:ascii="Calibri" w:hAnsi="Calibri"/>
          <w:color w:val="263F61"/>
        </w:rPr>
        <w:t>Created internet-engagement and data-purchase patterns for Model 2 only.</w:t>
      </w:r>
    </w:p>
    <w:p>
      <w:pPr>
        <w:pStyle w:val="ListBullet"/>
        <w:keepLines/>
      </w:pPr>
      <w:r>
        <w:rPr>
          <w:rFonts w:ascii="Calibri" w:hAnsi="Calibri"/>
          <w:color w:val="263F61"/>
        </w:rPr>
        <w:t>Reviewed every engineered proposal for target use, observation timing, interpretability, and redundancy.</w:t>
      </w:r>
    </w:p>
    <w:p>
      <w:pPr>
        <w:pStyle w:val="ListBullet"/>
        <w:keepLines/>
      </w:pPr>
      <w:r>
        <w:rPr>
          <w:rFonts w:ascii="Calibri" w:hAnsi="Calibri"/>
          <w:color w:val="263F61"/>
        </w:rPr>
        <w:t>Rejected online-activity breadth and an arbitrary digital-access score.</w:t>
      </w:r>
    </w:p>
    <w:p>
      <w:pPr>
        <w:pStyle w:val="ListBullet"/>
        <w:keepLines/>
      </w:pPr>
      <w:r>
        <w:rPr>
          <w:rFonts w:ascii="Calibri" w:hAnsi="Calibri"/>
          <w:color w:val="263F61"/>
        </w:rPr>
        <w:t>Generated final modelling matrices and documented transformation specifications.</w:t>
      </w:r>
    </w:p>
    <w:p>
      <w:pPr>
        <w:pStyle w:val="Heading2"/>
      </w:pPr>
      <w:r>
        <w:t>Reasoning behind the work</w:t>
      </w:r>
    </w:p>
    <w:p>
      <w:pPr>
        <w:spacing w:after="120"/>
      </w:pPr>
      <w:r>
        <w:rPr>
          <w:rFonts w:ascii="Calibri" w:hAnsi="Calibri"/>
          <w:b/>
          <w:color w:val="263F61"/>
        </w:rPr>
        <w:t xml:space="preserve">Interpretability first: </w:t>
      </w:r>
      <w:r>
        <w:rPr>
          <w:rFonts w:ascii="Calibri" w:hAnsi="Calibri"/>
          <w:i w:val="0"/>
          <w:color w:val="263F61"/>
        </w:rPr>
        <w:t>Derived features map to concepts a user can understand and an explanation layer can name clearly.</w:t>
      </w:r>
    </w:p>
    <w:p>
      <w:pPr>
        <w:spacing w:after="120"/>
      </w:pPr>
      <w:r>
        <w:rPr>
          <w:rFonts w:ascii="Calibri" w:hAnsi="Calibri"/>
          <w:b/>
          <w:color w:val="263F61"/>
        </w:rPr>
        <w:t xml:space="preserve">Target-independent derivation: </w:t>
      </w:r>
      <w:r>
        <w:rPr>
          <w:rFonts w:ascii="Calibri" w:hAnsi="Calibri"/>
          <w:i w:val="0"/>
          <w:color w:val="263F61"/>
        </w:rPr>
        <w:t>No target values or learned model parameters were used to create engineered predictors.</w:t>
      </w:r>
    </w:p>
    <w:p>
      <w:pPr>
        <w:spacing w:after="120"/>
      </w:pPr>
      <w:r>
        <w:rPr>
          <w:rFonts w:ascii="Calibri" w:hAnsi="Calibri"/>
          <w:b/>
          <w:color w:val="263F61"/>
        </w:rPr>
        <w:t xml:space="preserve">Model 2 specificity: </w:t>
      </w:r>
      <w:r>
        <w:rPr>
          <w:rFonts w:ascii="Calibri" w:hAnsi="Calibri"/>
          <w:i w:val="0"/>
          <w:color w:val="263F61"/>
        </w:rPr>
        <w:t>Internet frequency and data-purchase routing are more directly relevant to mobile-money adoption and were not forced into Model 1.</w:t>
      </w:r>
    </w:p>
    <w:p>
      <w:pPr>
        <w:spacing w:after="120"/>
      </w:pPr>
      <w:r>
        <w:rPr>
          <w:rFonts w:ascii="Calibri" w:hAnsi="Calibri"/>
          <w:b/>
          <w:color w:val="263F61"/>
        </w:rPr>
        <w:t xml:space="preserve">Reject arbitrary composites: </w:t>
      </w:r>
      <w:r>
        <w:rPr>
          <w:rFonts w:ascii="Calibri" w:hAnsi="Calibri"/>
          <w:i w:val="0"/>
          <w:color w:val="263F61"/>
        </w:rPr>
        <w:t>A digital score would hide heterogeneous behaviours, impose subjective weights, and make leakage review and explanation less transparent.</w:t>
      </w:r>
    </w:p>
    <w:p>
      <w:pPr>
        <w:pStyle w:val="Heading2"/>
      </w:pPr>
      <w:r>
        <w:t>Validation and handoff</w:t>
      </w:r>
    </w:p>
    <w:p>
      <w:pPr>
        <w:pStyle w:val="ListBullet"/>
        <w:keepLines/>
      </w:pPr>
      <w:r>
        <w:rPr>
          <w:rFonts w:ascii="Calibri" w:hAnsi="Calibri"/>
          <w:color w:val="263F61"/>
        </w:rPr>
        <w:t>Final Model 1 matrix: 1,051 rows and 15 categorical predictors.</w:t>
      </w:r>
    </w:p>
    <w:p>
      <w:pPr>
        <w:pStyle w:val="ListBullet"/>
        <w:keepLines/>
      </w:pPr>
      <w:r>
        <w:rPr>
          <w:rFonts w:ascii="Calibri" w:hAnsi="Calibri"/>
          <w:color w:val="263F61"/>
        </w:rPr>
        <w:t>Final Model 2 matrix: 1,051 rows and 16 categorical predictors.</w:t>
      </w:r>
    </w:p>
    <w:p>
      <w:pPr>
        <w:pStyle w:val="ListBullet"/>
        <w:keepLines/>
      </w:pPr>
      <w:r>
        <w:rPr>
          <w:rFonts w:ascii="Calibri" w:hAnsi="Calibri"/>
          <w:color w:val="263F61"/>
        </w:rPr>
        <w:t>Both final matrices contain zero null cells and preserve target distributions.</w:t>
      </w:r>
    </w:p>
    <w:p>
      <w:pPr>
        <w:pStyle w:val="ListBullet"/>
        <w:keepLines/>
      </w:pPr>
      <w:r>
        <w:rPr>
          <w:rFonts w:ascii="Calibri" w:hAnsi="Calibri"/>
          <w:color w:val="263F61"/>
        </w:rPr>
        <w:t>No split or model training occurred, preserving the dedicated modelling phase boundary.</w:t>
      </w:r>
    </w:p>
    <w:tbl>
      <w:tblPr>
        <w:tblW w:type="dxa" w:w="9360"/>
        <w:jc w:val="left"/>
        <w:tblLayout w:type="fixed"/>
        <w:tblLook w:firstColumn="1" w:firstRow="1" w:lastColumn="0" w:lastRow="0" w:noHBand="0" w:noVBand="1" w:val="04A0"/>
        <w:tblInd w:w="120" w:type="dxa"/>
        <w:tblBorders>
          <w:top w:val="single" w:sz="8" w:color="C49137"/>
          <w:left w:val="single" w:sz="8" w:color="C49137"/>
          <w:bottom w:val="single" w:sz="8" w:color="C49137"/>
          <w:right w:val="single" w:sz="8" w:color="C49137"/>
          <w:insideH w:val="single" w:sz="8" w:color="C49137"/>
          <w:insideV w:val="single" w:sz="8" w:color="C49137"/>
        </w:tblBorders>
      </w:tblPr>
      <w:tblGrid>
        <w:gridCol w:w="9360"/>
      </w:tblGrid>
      <w:tr>
        <w:trPr>
          <w:cantSplit/>
        </w:trPr>
        <w:tc>
          <w:tcPr>
            <w:tcW w:type="dxa" w:w="9360"/>
            <w:tcMar>
              <w:top w:w="80" w:type="dxa"/>
              <w:start w:w="120" w:type="dxa"/>
              <w:bottom w:w="80" w:type="dxa"/>
              <w:end w:w="120" w:type="dxa"/>
            </w:tcMar>
            <w:vAlign w:val="center"/>
            <w:shd w:fill="FFF7E6"/>
          </w:tcPr>
          <w:p>
            <w:pPr>
              <w:spacing w:after="60"/>
            </w:pPr>
            <w:r>
              <w:rPr>
                <w:rFonts w:ascii="Calibri" w:hAnsi="Calibri"/>
                <w:b/>
                <w:color w:val="C49137"/>
                <w:sz w:val="17"/>
              </w:rPr>
              <w:t>CARRIED-FORWARD CAUTION</w:t>
            </w:r>
          </w:p>
          <w:p>
            <w:pPr>
              <w:spacing w:after="0" w:line="259" w:lineRule="auto"/>
            </w:pPr>
            <w:r>
              <w:rPr>
                <w:rFonts w:ascii="Calibri" w:hAnsi="Calibri"/>
                <w:color w:val="263F61"/>
                <w:sz w:val="21"/>
              </w:rPr>
              <w:t>Recent digital behaviours for Model 2 overlap the target observation period. They were retained with explicit documentation and remain a conceptual limitation.</w:t>
            </w:r>
          </w:p>
        </w:tc>
      </w:tr>
    </w:tbl>
    <w:p>
      <w:pPr>
        <w:spacing w:after="40"/>
      </w:pPr>
    </w:p>
    <w:p>
      <w:r>
        <w:br w:type="page"/>
      </w:r>
    </w:p>
    <w:p>
      <w:pPr>
        <w:pStyle w:val="Heading1"/>
        <w:spacing w:before="0"/>
      </w:pPr>
      <w:r>
        <w:t>Phase 7  |  Model 1: Financial Inclusion</w:t>
      </w:r>
    </w:p>
    <w:tbl>
      <w:tblPr>
        <w:tblW w:type="dxa" w:w="9360"/>
        <w:jc w:val="left"/>
        <w:tblLayout w:type="fixed"/>
        <w:tblLook w:firstColumn="1" w:firstRow="1" w:lastColumn="0" w:lastRow="0" w:noHBand="0" w:noVBand="1" w:val="04A0"/>
        <w:tblInd w:w="120" w:type="dxa"/>
        <w:tblBorders>
          <w:top w:val="single" w:sz="6" w:color="D7E0EB"/>
          <w:left w:val="single" w:sz="6" w:color="D7E0EB"/>
          <w:bottom w:val="single" w:sz="6" w:color="D7E0EB"/>
          <w:right w:val="single" w:sz="6" w:color="D7E0EB"/>
          <w:insideH w:val="single" w:sz="6" w:color="D7E0EB"/>
          <w:insideV w:val="single" w:sz="6" w:color="D7E0EB"/>
        </w:tblBorders>
      </w:tblPr>
      <w:tblGrid>
        <w:gridCol w:w="1750"/>
        <w:gridCol w:w="7610"/>
      </w:tblGrid>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STATUS</w:t>
            </w:r>
          </w:p>
        </w:tc>
        <w:tc>
          <w:tcPr>
            <w:tcW w:type="dxa" w:w="7610"/>
            <w:tcMar>
              <w:top w:w="80" w:type="dxa"/>
              <w:start w:w="120" w:type="dxa"/>
              <w:bottom w:w="80" w:type="dxa"/>
              <w:end w:w="120" w:type="dxa"/>
            </w:tcMar>
            <w:vAlign w:val="center"/>
          </w:tcPr>
          <w:p>
            <w:r>
              <w:rPr>
                <w:rFonts w:ascii="Calibri" w:hAnsi="Calibri"/>
                <w:b/>
                <w:color w:val="263F61"/>
                <w:sz w:val="20"/>
              </w:rPr>
              <w:t>PASSED WITH NOTES</w:t>
            </w:r>
          </w:p>
        </w:tc>
      </w:tr>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PHASE PURPOSE</w:t>
            </w:r>
          </w:p>
        </w:tc>
        <w:tc>
          <w:tcPr>
            <w:tcW w:type="dxa" w:w="7610"/>
            <w:tcMar>
              <w:top w:w="80" w:type="dxa"/>
              <w:start w:w="120" w:type="dxa"/>
              <w:bottom w:w="80" w:type="dxa"/>
              <w:end w:w="120" w:type="dxa"/>
            </w:tcMar>
            <w:vAlign w:val="center"/>
          </w:tcPr>
          <w:p>
            <w:r>
              <w:rPr>
                <w:rFonts w:ascii="Calibri" w:hAnsi="Calibri"/>
                <w:b w:val="0"/>
                <w:color w:val="263F61"/>
                <w:sz w:val="20"/>
              </w:rPr>
              <w:t>Train and select the financial-inclusion classifier using protected, group-aware evaluation.</w:t>
            </w:r>
          </w:p>
        </w:tc>
      </w:tr>
    </w:tbl>
    <w:p>
      <w:pPr>
        <w:spacing w:after="0"/>
      </w:pPr>
    </w:p>
    <w:p>
      <w:pPr>
        <w:pStyle w:val="Heading2"/>
      </w:pPr>
      <w:r>
        <w:t>Tasks completed</w:t>
      </w:r>
    </w:p>
    <w:p>
      <w:pPr>
        <w:pStyle w:val="ListBullet"/>
        <w:keepLines/>
      </w:pPr>
      <w:r>
        <w:rPr>
          <w:rFonts w:ascii="Calibri" w:hAnsi="Calibri"/>
          <w:color w:val="263F61"/>
        </w:rPr>
        <w:t>Compared Logistic Regression, Decision Tree, Random Forest, and Gradient Boosting pipelines.</w:t>
      </w:r>
    </w:p>
    <w:p>
      <w:pPr>
        <w:pStyle w:val="ListBullet"/>
        <w:keepLines/>
      </w:pPr>
      <w:r>
        <w:rPr>
          <w:rFonts w:ascii="Calibri" w:hAnsi="Calibri"/>
          <w:color w:val="263F61"/>
        </w:rPr>
        <w:t>Created a deterministic 80/20 group-aware split and five-fold StratifiedGroupKFold training evaluation.</w:t>
      </w:r>
    </w:p>
    <w:p>
      <w:pPr>
        <w:pStyle w:val="ListBullet"/>
        <w:keepLines/>
      </w:pPr>
      <w:r>
        <w:rPr>
          <w:rFonts w:ascii="Calibri" w:hAnsi="Calibri"/>
          <w:color w:val="263F61"/>
        </w:rPr>
        <w:t>Tuned candidates using training data only and selected with a one-standard-error complexity rule.</w:t>
      </w:r>
    </w:p>
    <w:p>
      <w:pPr>
        <w:pStyle w:val="ListBullet"/>
        <w:keepLines/>
      </w:pPr>
      <w:r>
        <w:rPr>
          <w:rFonts w:ascii="Calibri" w:hAnsi="Calibri"/>
          <w:color w:val="263F61"/>
        </w:rPr>
        <w:t>Evaluated the selected pipeline once on the protected holdout, including discrimination, classification, calibration, and bootstrap intervals.</w:t>
      </w:r>
    </w:p>
    <w:p>
      <w:pPr>
        <w:pStyle w:val="ListBullet"/>
        <w:keepLines/>
      </w:pPr>
      <w:r>
        <w:rPr>
          <w:rFonts w:ascii="Calibri" w:hAnsi="Calibri"/>
          <w:color w:val="263F61"/>
        </w:rPr>
        <w:t>Saved the complete preprocessing-plus-estimator pipeline and integrity metadata.</w:t>
      </w:r>
    </w:p>
    <w:p>
      <w:pPr>
        <w:pStyle w:val="Heading2"/>
      </w:pPr>
      <w:r>
        <w:t>Reasoning behind the work</w:t>
      </w:r>
    </w:p>
    <w:p>
      <w:pPr>
        <w:spacing w:after="120"/>
      </w:pPr>
      <w:r>
        <w:rPr>
          <w:rFonts w:ascii="Calibri" w:hAnsi="Calibri"/>
          <w:b/>
          <w:color w:val="263F61"/>
        </w:rPr>
        <w:t xml:space="preserve">Group identical profiles: </w:t>
      </w:r>
      <w:r>
        <w:rPr>
          <w:rFonts w:ascii="Calibri" w:hAnsi="Calibri"/>
          <w:i w:val="0"/>
          <w:color w:val="263F61"/>
        </w:rPr>
        <w:t>Matching predictor profiles must not appear in both training and evaluation sets because that would reward memorisation and inflate generalisation estimates.</w:t>
      </w:r>
    </w:p>
    <w:p>
      <w:pPr>
        <w:spacing w:after="120"/>
      </w:pPr>
      <w:r>
        <w:rPr>
          <w:rFonts w:ascii="Calibri" w:hAnsi="Calibri"/>
          <w:b/>
          <w:color w:val="263F61"/>
        </w:rPr>
        <w:t xml:space="preserve">One-standard-error rule: </w:t>
      </w:r>
      <w:r>
        <w:rPr>
          <w:rFonts w:ascii="Calibri" w:hAnsi="Calibri"/>
          <w:i w:val="0"/>
          <w:color w:val="263F61"/>
        </w:rPr>
        <w:t>A candidate had to be statistically competitive with the best mean cross-validation AUC; complexity was then considered rather than selecting a noisy maximum automatically.</w:t>
      </w:r>
    </w:p>
    <w:p>
      <w:pPr>
        <w:spacing w:after="120"/>
      </w:pPr>
      <w:r>
        <w:rPr>
          <w:rFonts w:ascii="Calibri" w:hAnsi="Calibri"/>
          <w:b/>
          <w:color w:val="263F61"/>
        </w:rPr>
        <w:t xml:space="preserve">Holdout used once: </w:t>
      </w:r>
      <w:r>
        <w:rPr>
          <w:rFonts w:ascii="Calibri" w:hAnsi="Calibri"/>
          <w:i w:val="0"/>
          <w:color w:val="263F61"/>
        </w:rPr>
        <w:t>The protected test set was not used for tuning or model choice, preserving an honest final estimate.</w:t>
      </w:r>
    </w:p>
    <w:p>
      <w:pPr>
        <w:spacing w:after="120"/>
      </w:pPr>
      <w:r>
        <w:rPr>
          <w:rFonts w:ascii="Calibri" w:hAnsi="Calibri"/>
          <w:b/>
          <w:color w:val="263F61"/>
        </w:rPr>
        <w:t xml:space="preserve">Pipeline persistence: </w:t>
      </w:r>
      <w:r>
        <w:rPr>
          <w:rFonts w:ascii="Calibri" w:hAnsi="Calibri"/>
          <w:i w:val="0"/>
          <w:color w:val="263F61"/>
        </w:rPr>
        <w:t>Saving preprocessing with the estimator ensures training and inference apply exactly the same transformations.</w:t>
      </w:r>
    </w:p>
    <w:p>
      <w:pPr>
        <w:pStyle w:val="Heading2"/>
      </w:pPr>
      <w:r>
        <w:t>Validation and handoff</w:t>
      </w:r>
    </w:p>
    <w:p>
      <w:pPr>
        <w:pStyle w:val="ListBullet"/>
        <w:keepLines/>
      </w:pPr>
      <w:r>
        <w:rPr>
          <w:rFonts w:ascii="Calibri" w:hAnsi="Calibri"/>
          <w:color w:val="263F61"/>
        </w:rPr>
        <w:t>Selected Gradient Boosting: 200 estimators, learning rate 0.03, maximum depth 2, minimum leaf size 5.</w:t>
      </w:r>
    </w:p>
    <w:p>
      <w:pPr>
        <w:pStyle w:val="ListBullet"/>
        <w:keepLines/>
      </w:pPr>
      <w:r>
        <w:rPr>
          <w:rFonts w:ascii="Calibri" w:hAnsi="Calibri"/>
          <w:color w:val="263F61"/>
        </w:rPr>
        <w:t>Holdout metrics: ROC-AUC 0.745, accuracy 0.706, precision 0.717, recall 0.704, F1 0.710.</w:t>
      </w:r>
    </w:p>
    <w:p>
      <w:pPr>
        <w:pStyle w:val="ListBullet"/>
        <w:keepLines/>
      </w:pPr>
      <w:r>
        <w:rPr>
          <w:rFonts w:ascii="Calibri" w:hAnsi="Calibri"/>
          <w:color w:val="263F61"/>
        </w:rPr>
        <w:t>Confusion matrix: TN 73, FP 30, FN 32, TP 76.</w:t>
      </w:r>
    </w:p>
    <w:p>
      <w:pPr>
        <w:pStyle w:val="ListBullet"/>
        <w:keepLines/>
      </w:pPr>
      <w:r>
        <w:rPr>
          <w:rFonts w:ascii="Calibri" w:hAnsi="Calibri"/>
          <w:color w:val="263F61"/>
        </w:rPr>
        <w:t>Profile overlap was zero in the holdout and every cross-validation fold.</w:t>
      </w:r>
    </w:p>
    <w:p>
      <w:pPr>
        <w:pStyle w:val="ListBullet"/>
        <w:keepLines/>
      </w:pPr>
      <w:r>
        <w:rPr>
          <w:rFonts w:ascii="Calibri" w:hAnsi="Calibri"/>
          <w:color w:val="263F61"/>
        </w:rPr>
        <w:t>Reloaded pipeline reproduced predictions; SHA-256 integrity check passed.</w:t>
      </w:r>
    </w:p>
    <w:tbl>
      <w:tblPr>
        <w:tblW w:type="dxa" w:w="9360"/>
        <w:jc w:val="left"/>
        <w:tblLayout w:type="fixed"/>
        <w:tblLook w:firstColumn="1" w:firstRow="1" w:lastColumn="0" w:lastRow="0" w:noHBand="0" w:noVBand="1" w:val="04A0"/>
        <w:tblInd w:w="120" w:type="dxa"/>
        <w:tblBorders>
          <w:top w:val="single" w:sz="8" w:color="C49137"/>
          <w:left w:val="single" w:sz="8" w:color="C49137"/>
          <w:bottom w:val="single" w:sz="8" w:color="C49137"/>
          <w:right w:val="single" w:sz="8" w:color="C49137"/>
          <w:insideH w:val="single" w:sz="8" w:color="C49137"/>
          <w:insideV w:val="single" w:sz="8" w:color="C49137"/>
        </w:tblBorders>
      </w:tblPr>
      <w:tblGrid>
        <w:gridCol w:w="9360"/>
      </w:tblGrid>
      <w:tr>
        <w:trPr>
          <w:cantSplit/>
        </w:trPr>
        <w:tc>
          <w:tcPr>
            <w:tcW w:type="dxa" w:w="9360"/>
            <w:tcMar>
              <w:top w:w="80" w:type="dxa"/>
              <w:start w:w="120" w:type="dxa"/>
              <w:bottom w:w="80" w:type="dxa"/>
              <w:end w:w="120" w:type="dxa"/>
            </w:tcMar>
            <w:vAlign w:val="center"/>
            <w:shd w:fill="FFF7E6"/>
          </w:tcPr>
          <w:p>
            <w:pPr>
              <w:spacing w:after="60"/>
            </w:pPr>
            <w:r>
              <w:rPr>
                <w:rFonts w:ascii="Calibri" w:hAnsi="Calibri"/>
                <w:b/>
                <w:color w:val="C49137"/>
                <w:sz w:val="17"/>
              </w:rPr>
              <w:t>SELECTION NOTE</w:t>
            </w:r>
          </w:p>
          <w:p>
            <w:pPr>
              <w:spacing w:after="0" w:line="259" w:lineRule="auto"/>
            </w:pPr>
            <w:r>
              <w:rPr>
                <w:rFonts w:ascii="Calibri" w:hAnsi="Calibri"/>
                <w:color w:val="263F61"/>
                <w:sz w:val="21"/>
              </w:rPr>
              <w:t>The 0.50 classification threshold remains provisional. Model quality is suitable for a portfolio proof of concept, not a production decision authority.</w:t>
            </w:r>
          </w:p>
        </w:tc>
      </w:tr>
    </w:tbl>
    <w:p>
      <w:pPr>
        <w:spacing w:after="40"/>
      </w:pPr>
    </w:p>
    <w:p>
      <w:r>
        <w:br w:type="page"/>
      </w:r>
    </w:p>
    <w:p>
      <w:pPr>
        <w:pStyle w:val="Heading1"/>
        <w:spacing w:before="0"/>
      </w:pPr>
      <w:r>
        <w:t>Phase 8  |  Model 2: Mobile Money Adoption</w:t>
      </w:r>
    </w:p>
    <w:tbl>
      <w:tblPr>
        <w:tblW w:type="dxa" w:w="9360"/>
        <w:jc w:val="left"/>
        <w:tblLayout w:type="fixed"/>
        <w:tblLook w:firstColumn="1" w:firstRow="1" w:lastColumn="0" w:lastRow="0" w:noHBand="0" w:noVBand="1" w:val="04A0"/>
        <w:tblInd w:w="120" w:type="dxa"/>
        <w:tblBorders>
          <w:top w:val="single" w:sz="6" w:color="D7E0EB"/>
          <w:left w:val="single" w:sz="6" w:color="D7E0EB"/>
          <w:bottom w:val="single" w:sz="6" w:color="D7E0EB"/>
          <w:right w:val="single" w:sz="6" w:color="D7E0EB"/>
          <w:insideH w:val="single" w:sz="6" w:color="D7E0EB"/>
          <w:insideV w:val="single" w:sz="6" w:color="D7E0EB"/>
        </w:tblBorders>
      </w:tblPr>
      <w:tblGrid>
        <w:gridCol w:w="1750"/>
        <w:gridCol w:w="7610"/>
      </w:tblGrid>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STATUS</w:t>
            </w:r>
          </w:p>
        </w:tc>
        <w:tc>
          <w:tcPr>
            <w:tcW w:type="dxa" w:w="7610"/>
            <w:tcMar>
              <w:top w:w="80" w:type="dxa"/>
              <w:start w:w="120" w:type="dxa"/>
              <w:bottom w:w="80" w:type="dxa"/>
              <w:end w:w="120" w:type="dxa"/>
            </w:tcMar>
            <w:vAlign w:val="center"/>
          </w:tcPr>
          <w:p>
            <w:r>
              <w:rPr>
                <w:rFonts w:ascii="Calibri" w:hAnsi="Calibri"/>
                <w:b/>
                <w:color w:val="263F61"/>
                <w:sz w:val="20"/>
              </w:rPr>
              <w:t>PASSED WITH NOTES</w:t>
            </w:r>
          </w:p>
        </w:tc>
      </w:tr>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PHASE PURPOSE</w:t>
            </w:r>
          </w:p>
        </w:tc>
        <w:tc>
          <w:tcPr>
            <w:tcW w:type="dxa" w:w="7610"/>
            <w:tcMar>
              <w:top w:w="80" w:type="dxa"/>
              <w:start w:w="120" w:type="dxa"/>
              <w:bottom w:w="80" w:type="dxa"/>
              <w:end w:w="120" w:type="dxa"/>
            </w:tcMar>
            <w:vAlign w:val="center"/>
          </w:tcPr>
          <w:p>
            <w:r>
              <w:rPr>
                <w:rFonts w:ascii="Calibri" w:hAnsi="Calibri"/>
                <w:b w:val="0"/>
                <w:color w:val="263F61"/>
                <w:sz w:val="20"/>
              </w:rPr>
              <w:t>Run a fully independent modelling workflow for mobile-money adoption and protect the completed Model 1 artifact.</w:t>
            </w:r>
          </w:p>
        </w:tc>
      </w:tr>
    </w:tbl>
    <w:p>
      <w:pPr>
        <w:spacing w:after="0"/>
      </w:pPr>
    </w:p>
    <w:p>
      <w:pPr>
        <w:pStyle w:val="Heading2"/>
      </w:pPr>
      <w:r>
        <w:t>Tasks completed</w:t>
      </w:r>
    </w:p>
    <w:p>
      <w:pPr>
        <w:pStyle w:val="ListBullet"/>
        <w:keepLines/>
      </w:pPr>
      <w:r>
        <w:rPr>
          <w:rFonts w:ascii="Calibri" w:hAnsi="Calibri"/>
          <w:color w:val="263F61"/>
        </w:rPr>
        <w:t>Repeated the candidate-model workflow independently with the Model 2 feature blueprint and separate random seeds.</w:t>
      </w:r>
    </w:p>
    <w:p>
      <w:pPr>
        <w:pStyle w:val="ListBullet"/>
        <w:keepLines/>
      </w:pPr>
      <w:r>
        <w:rPr>
          <w:rFonts w:ascii="Calibri" w:hAnsi="Calibri"/>
          <w:color w:val="263F61"/>
        </w:rPr>
        <w:t>Used a 210-row protected holdout and group-aware five-fold cross-validation on the training partition.</w:t>
      </w:r>
    </w:p>
    <w:p>
      <w:pPr>
        <w:pStyle w:val="ListBullet"/>
        <w:keepLines/>
      </w:pPr>
      <w:r>
        <w:rPr>
          <w:rFonts w:ascii="Calibri" w:hAnsi="Calibri"/>
          <w:color w:val="263F61"/>
        </w:rPr>
        <w:t>Compared Logistic Regression, Decision Tree, Random Forest, and Gradient Boosting candidates.</w:t>
      </w:r>
    </w:p>
    <w:p>
      <w:pPr>
        <w:pStyle w:val="ListBullet"/>
        <w:keepLines/>
      </w:pPr>
      <w:r>
        <w:rPr>
          <w:rFonts w:ascii="Calibri" w:hAnsi="Calibri"/>
          <w:color w:val="263F61"/>
        </w:rPr>
        <w:t>Selected, evaluated, saved, and reloaded the complete Model 2 pipeline.</w:t>
      </w:r>
    </w:p>
    <w:p>
      <w:pPr>
        <w:pStyle w:val="ListBullet"/>
        <w:keepLines/>
      </w:pPr>
      <w:r>
        <w:rPr>
          <w:rFonts w:ascii="Calibri" w:hAnsi="Calibri"/>
          <w:color w:val="263F61"/>
        </w:rPr>
        <w:t>Verified the Model 1 pipeline hash remained unchanged throughout Phase 8.</w:t>
      </w:r>
    </w:p>
    <w:p>
      <w:pPr>
        <w:pStyle w:val="Heading2"/>
      </w:pPr>
      <w:r>
        <w:t>Reasoning behind the work</w:t>
      </w:r>
    </w:p>
    <w:p>
      <w:pPr>
        <w:spacing w:after="120"/>
      </w:pPr>
      <w:r>
        <w:rPr>
          <w:rFonts w:ascii="Calibri" w:hAnsi="Calibri"/>
          <w:b/>
          <w:color w:val="263F61"/>
        </w:rPr>
        <w:t xml:space="preserve">Independent workflow: </w:t>
      </w:r>
      <w:r>
        <w:rPr>
          <w:rFonts w:ascii="Calibri" w:hAnsi="Calibri"/>
          <w:i w:val="0"/>
          <w:color w:val="263F61"/>
        </w:rPr>
        <w:t>Mobile-money adoption has a different conceptual boundary, final feature matrix, duplicate-profile structure, split, candidate results, and explanation needs.</w:t>
      </w:r>
    </w:p>
    <w:p>
      <w:pPr>
        <w:spacing w:after="120"/>
      </w:pPr>
      <w:r>
        <w:rPr>
          <w:rFonts w:ascii="Calibri" w:hAnsi="Calibri"/>
          <w:b/>
          <w:color w:val="263F61"/>
        </w:rPr>
        <w:t xml:space="preserve">Prefer defensible simplicity: </w:t>
      </w:r>
      <w:r>
        <w:rPr>
          <w:rFonts w:ascii="Calibri" w:hAnsi="Calibri"/>
          <w:i w:val="0"/>
          <w:color w:val="263F61"/>
        </w:rPr>
        <w:t>Random Forest produced the highest mean CV AUC, but Logistic Regression was within the one-standard-error eligibility range and had the lowest predefined complexity tier.</w:t>
      </w:r>
    </w:p>
    <w:p>
      <w:pPr>
        <w:spacing w:after="120"/>
      </w:pPr>
      <w:r>
        <w:rPr>
          <w:rFonts w:ascii="Calibri" w:hAnsi="Calibri"/>
          <w:b/>
          <w:color w:val="263F61"/>
        </w:rPr>
        <w:t xml:space="preserve">Model 1 safeguard: </w:t>
      </w:r>
      <w:r>
        <w:rPr>
          <w:rFonts w:ascii="Calibri" w:hAnsi="Calibri"/>
          <w:i w:val="0"/>
          <w:color w:val="263F61"/>
        </w:rPr>
        <w:t>Hash verification prevented work on Model 2 from silently replacing or altering the already validated financial-inclusion pipeline.</w:t>
      </w:r>
    </w:p>
    <w:p>
      <w:pPr>
        <w:spacing w:after="120"/>
      </w:pPr>
      <w:r>
        <w:rPr>
          <w:rFonts w:ascii="Calibri" w:hAnsi="Calibri"/>
          <w:b/>
          <w:color w:val="263F61"/>
        </w:rPr>
        <w:t xml:space="preserve">Balanced class treatment: </w:t>
      </w:r>
      <w:r>
        <w:rPr>
          <w:rFonts w:ascii="Calibri" w:hAnsi="Calibri"/>
          <w:i w:val="0"/>
          <w:color w:val="263F61"/>
        </w:rPr>
        <w:t>The selected logistic model used balanced class weights to reduce majority-class dominance during fitting.</w:t>
      </w:r>
    </w:p>
    <w:p>
      <w:pPr>
        <w:pStyle w:val="Heading2"/>
      </w:pPr>
      <w:r>
        <w:t>Validation and handoff</w:t>
      </w:r>
    </w:p>
    <w:p>
      <w:pPr>
        <w:pStyle w:val="ListBullet"/>
        <w:keepLines/>
      </w:pPr>
      <w:r>
        <w:rPr>
          <w:rFonts w:ascii="Calibri" w:hAnsi="Calibri"/>
          <w:color w:val="263F61"/>
        </w:rPr>
        <w:t>Selected Logistic Regression with C = 0.05 and balanced class weights.</w:t>
      </w:r>
    </w:p>
    <w:p>
      <w:pPr>
        <w:pStyle w:val="ListBullet"/>
        <w:keepLines/>
      </w:pPr>
      <w:r>
        <w:rPr>
          <w:rFonts w:ascii="Calibri" w:hAnsi="Calibri"/>
          <w:color w:val="263F61"/>
        </w:rPr>
        <w:t>Holdout metrics: ROC-AUC 0.726, accuracy 0.676, precision 0.721, recall 0.721, F1 0.721.</w:t>
      </w:r>
    </w:p>
    <w:p>
      <w:pPr>
        <w:pStyle w:val="ListBullet"/>
        <w:keepLines/>
      </w:pPr>
      <w:r>
        <w:rPr>
          <w:rFonts w:ascii="Calibri" w:hAnsi="Calibri"/>
          <w:color w:val="263F61"/>
        </w:rPr>
        <w:t>Confusion matrix: TN 54, FP 34, FN 34, TP 88.</w:t>
      </w:r>
    </w:p>
    <w:p>
      <w:pPr>
        <w:pStyle w:val="ListBullet"/>
        <w:keepLines/>
      </w:pPr>
      <w:r>
        <w:rPr>
          <w:rFonts w:ascii="Calibri" w:hAnsi="Calibri"/>
          <w:color w:val="263F61"/>
        </w:rPr>
        <w:t>Profile overlap was zero in the holdout and every cross-validation fold.</w:t>
      </w:r>
    </w:p>
    <w:p>
      <w:pPr>
        <w:pStyle w:val="ListBullet"/>
        <w:keepLines/>
      </w:pPr>
      <w:r>
        <w:rPr>
          <w:rFonts w:ascii="Calibri" w:hAnsi="Calibri"/>
          <w:color w:val="263F61"/>
        </w:rPr>
        <w:t>The saved Model 1 hash before and after Phase 8 was identical.</w:t>
      </w:r>
    </w:p>
    <w:p>
      <w:r>
        <w:br w:type="page"/>
      </w:r>
    </w:p>
    <w:p>
      <w:pPr>
        <w:pStyle w:val="Heading1"/>
        <w:spacing w:before="0"/>
      </w:pPr>
      <w:r>
        <w:t>Phase 9  |  Explainability</w:t>
      </w:r>
    </w:p>
    <w:tbl>
      <w:tblPr>
        <w:tblW w:type="dxa" w:w="9360"/>
        <w:jc w:val="left"/>
        <w:tblLayout w:type="fixed"/>
        <w:tblLook w:firstColumn="1" w:firstRow="1" w:lastColumn="0" w:lastRow="0" w:noHBand="0" w:noVBand="1" w:val="04A0"/>
        <w:tblInd w:w="120" w:type="dxa"/>
        <w:tblBorders>
          <w:top w:val="single" w:sz="6" w:color="D7E0EB"/>
          <w:left w:val="single" w:sz="6" w:color="D7E0EB"/>
          <w:bottom w:val="single" w:sz="6" w:color="D7E0EB"/>
          <w:right w:val="single" w:sz="6" w:color="D7E0EB"/>
          <w:insideH w:val="single" w:sz="6" w:color="D7E0EB"/>
          <w:insideV w:val="single" w:sz="6" w:color="D7E0EB"/>
        </w:tblBorders>
      </w:tblPr>
      <w:tblGrid>
        <w:gridCol w:w="1750"/>
        <w:gridCol w:w="7610"/>
      </w:tblGrid>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STATUS</w:t>
            </w:r>
          </w:p>
        </w:tc>
        <w:tc>
          <w:tcPr>
            <w:tcW w:type="dxa" w:w="7610"/>
            <w:tcMar>
              <w:top w:w="80" w:type="dxa"/>
              <w:start w:w="120" w:type="dxa"/>
              <w:bottom w:w="80" w:type="dxa"/>
              <w:end w:w="120" w:type="dxa"/>
            </w:tcMar>
            <w:vAlign w:val="center"/>
          </w:tcPr>
          <w:p>
            <w:r>
              <w:rPr>
                <w:rFonts w:ascii="Calibri" w:hAnsi="Calibri"/>
                <w:b/>
                <w:color w:val="263F61"/>
                <w:sz w:val="20"/>
              </w:rPr>
              <w:t>PASSED WITH NOTES</w:t>
            </w:r>
          </w:p>
        </w:tc>
      </w:tr>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PHASE PURPOSE</w:t>
            </w:r>
          </w:p>
        </w:tc>
        <w:tc>
          <w:tcPr>
            <w:tcW w:type="dxa" w:w="7610"/>
            <w:tcMar>
              <w:top w:w="80" w:type="dxa"/>
              <w:start w:w="120" w:type="dxa"/>
              <w:bottom w:w="80" w:type="dxa"/>
              <w:end w:w="120" w:type="dxa"/>
            </w:tcMar>
            <w:vAlign w:val="center"/>
          </w:tcPr>
          <w:p>
            <w:r>
              <w:rPr>
                <w:rFonts w:ascii="Calibri" w:hAnsi="Calibri"/>
                <w:b w:val="0"/>
                <w:color w:val="263F61"/>
                <w:sz w:val="20"/>
              </w:rPr>
              <w:t>Create faithful global and individual explanations for both validated pipelines.</w:t>
            </w:r>
          </w:p>
        </w:tc>
      </w:tr>
    </w:tbl>
    <w:p>
      <w:pPr>
        <w:spacing w:after="0"/>
      </w:pPr>
    </w:p>
    <w:p>
      <w:pPr>
        <w:pStyle w:val="Heading2"/>
      </w:pPr>
      <w:r>
        <w:t>Tasks completed</w:t>
      </w:r>
    </w:p>
    <w:p>
      <w:pPr>
        <w:pStyle w:val="ListBullet"/>
        <w:keepLines/>
      </w:pPr>
      <w:r>
        <w:rPr>
          <w:rFonts w:ascii="Calibri" w:hAnsi="Calibri"/>
          <w:color w:val="263F61"/>
        </w:rPr>
        <w:t>Built a TreeExplainer for the Gradient Boosting financial-inclusion pipeline.</w:t>
      </w:r>
    </w:p>
    <w:p>
      <w:pPr>
        <w:pStyle w:val="ListBullet"/>
        <w:keepLines/>
      </w:pPr>
      <w:r>
        <w:rPr>
          <w:rFonts w:ascii="Calibri" w:hAnsi="Calibri"/>
          <w:color w:val="263F61"/>
        </w:rPr>
        <w:t>Built a LinearExplainer for the Logistic Regression mobile-money pipeline.</w:t>
      </w:r>
    </w:p>
    <w:p>
      <w:pPr>
        <w:pStyle w:val="ListBullet"/>
        <w:keepLines/>
      </w:pPr>
      <w:r>
        <w:rPr>
          <w:rFonts w:ascii="Calibri" w:hAnsi="Calibri"/>
          <w:color w:val="263F61"/>
        </w:rPr>
        <w:t>Calculated global mean absolute SHAP importance on each protected holdout.</w:t>
      </w:r>
    </w:p>
    <w:p>
      <w:pPr>
        <w:pStyle w:val="ListBullet"/>
        <w:keepLines/>
      </w:pPr>
      <w:r>
        <w:rPr>
          <w:rFonts w:ascii="Calibri" w:hAnsi="Calibri"/>
          <w:color w:val="263F61"/>
        </w:rPr>
        <w:t>Aggregated one-hot encoded contributions back to recognisable source variables.</w:t>
      </w:r>
    </w:p>
    <w:p>
      <w:pPr>
        <w:pStyle w:val="ListBullet"/>
        <w:keepLines/>
      </w:pPr>
      <w:r>
        <w:rPr>
          <w:rFonts w:ascii="Calibri" w:hAnsi="Calibri"/>
          <w:color w:val="263F61"/>
        </w:rPr>
        <w:t>Generated individual examples at low, boundary, and high predicted probabilities with five ranked factors each.</w:t>
      </w:r>
    </w:p>
    <w:p>
      <w:pPr>
        <w:pStyle w:val="ListBullet"/>
        <w:keepLines/>
      </w:pPr>
      <w:r>
        <w:rPr>
          <w:rFonts w:ascii="Calibri" w:hAnsi="Calibri"/>
          <w:color w:val="263F61"/>
        </w:rPr>
        <w:t>Saved model-matched explainers and reusable inference explanation logic.</w:t>
      </w:r>
    </w:p>
    <w:p>
      <w:pPr>
        <w:pStyle w:val="Heading2"/>
      </w:pPr>
      <w:r>
        <w:t>Reasoning behind the work</w:t>
      </w:r>
    </w:p>
    <w:p>
      <w:pPr>
        <w:spacing w:after="120"/>
      </w:pPr>
      <w:r>
        <w:rPr>
          <w:rFonts w:ascii="Calibri" w:hAnsi="Calibri"/>
          <w:b/>
          <w:color w:val="263F61"/>
        </w:rPr>
        <w:t xml:space="preserve">Model-matched explainers: </w:t>
      </w:r>
      <w:r>
        <w:rPr>
          <w:rFonts w:ascii="Calibri" w:hAnsi="Calibri"/>
          <w:i w:val="0"/>
          <w:color w:val="263F61"/>
        </w:rPr>
        <w:t>Tree and linear estimators have different mathematical structures, so each received an appropriate SHAP implementation.</w:t>
      </w:r>
    </w:p>
    <w:p>
      <w:pPr>
        <w:spacing w:after="120"/>
      </w:pPr>
      <w:r>
        <w:rPr>
          <w:rFonts w:ascii="Calibri" w:hAnsi="Calibri"/>
          <w:b/>
          <w:color w:val="263F61"/>
        </w:rPr>
        <w:t xml:space="preserve">Source-level aggregation: </w:t>
      </w:r>
      <w:r>
        <w:rPr>
          <w:rFonts w:ascii="Calibri" w:hAnsi="Calibri"/>
          <w:i w:val="0"/>
          <w:color w:val="263F61"/>
        </w:rPr>
        <w:t>Users should see education level or age group, not fragmented one-hot column names. Aggregation preserves signed additivity while improving comprehension.</w:t>
      </w:r>
    </w:p>
    <w:p>
      <w:pPr>
        <w:spacing w:after="120"/>
      </w:pPr>
      <w:r>
        <w:rPr>
          <w:rFonts w:ascii="Calibri" w:hAnsi="Calibri"/>
          <w:b/>
          <w:color w:val="263F61"/>
        </w:rPr>
        <w:t xml:space="preserve">Faithfulness before wording: </w:t>
      </w:r>
      <w:r>
        <w:rPr>
          <w:rFonts w:ascii="Calibri" w:hAnsi="Calibri"/>
          <w:i w:val="0"/>
          <w:color w:val="263F61"/>
        </w:rPr>
        <w:t>Human-readable reasons are generated from signed SHAP contributions; drivers are not invented manually.</w:t>
      </w:r>
    </w:p>
    <w:p>
      <w:pPr>
        <w:spacing w:after="120"/>
      </w:pPr>
      <w:r>
        <w:rPr>
          <w:rFonts w:ascii="Calibri" w:hAnsi="Calibri"/>
          <w:b/>
          <w:color w:val="263F61"/>
        </w:rPr>
        <w:t xml:space="preserve">Holdout-based global importance: </w:t>
      </w:r>
      <w:r>
        <w:rPr>
          <w:rFonts w:ascii="Calibri" w:hAnsi="Calibri"/>
          <w:i w:val="0"/>
          <w:color w:val="263F61"/>
        </w:rPr>
        <w:t>Global explanations are evaluated on protected observations rather than the training data used to fit the models.</w:t>
      </w:r>
    </w:p>
    <w:p>
      <w:pPr>
        <w:pStyle w:val="Heading2"/>
      </w:pPr>
      <w:r>
        <w:t>Validation and handoff</w:t>
      </w:r>
    </w:p>
    <w:p>
      <w:pPr>
        <w:pStyle w:val="ListBullet"/>
        <w:keepLines/>
      </w:pPr>
      <w:r>
        <w:rPr>
          <w:rFonts w:ascii="Calibri" w:hAnsi="Calibri"/>
          <w:color w:val="263F61"/>
        </w:rPr>
        <w:t>Explained all 211 Model 1 holdout rows and all 210 Model 2 holdout rows.</w:t>
      </w:r>
    </w:p>
    <w:p>
      <w:pPr>
        <w:pStyle w:val="ListBullet"/>
        <w:keepLines/>
      </w:pPr>
      <w:r>
        <w:rPr>
          <w:rFonts w:ascii="Calibri" w:hAnsi="Calibri"/>
          <w:color w:val="263F61"/>
        </w:rPr>
        <w:t>Model 1 leading factors: age group, workforce status, income quintile, education, and recent internet use.</w:t>
      </w:r>
    </w:p>
    <w:p>
      <w:pPr>
        <w:pStyle w:val="ListBullet"/>
        <w:keepLines/>
      </w:pPr>
      <w:r>
        <w:rPr>
          <w:rFonts w:ascii="Calibri" w:hAnsi="Calibri"/>
          <w:color w:val="263F61"/>
        </w:rPr>
        <w:t>Model 2 leading factors: SIM registration, age group, internet engagement, data-purchase pattern, and income quintile.</w:t>
      </w:r>
    </w:p>
    <w:p>
      <w:pPr>
        <w:pStyle w:val="ListBullet"/>
        <w:keepLines/>
      </w:pPr>
      <w:r>
        <w:rPr>
          <w:rFonts w:ascii="Calibri" w:hAnsi="Calibri"/>
          <w:color w:val="263F61"/>
        </w:rPr>
        <w:t>Maximum probability reconstruction error was 3.33 x 10^-16.</w:t>
      </w:r>
    </w:p>
    <w:p>
      <w:pPr>
        <w:pStyle w:val="ListBullet"/>
        <w:keepLines/>
      </w:pPr>
      <w:r>
        <w:rPr>
          <w:rFonts w:ascii="Calibri" w:hAnsi="Calibri"/>
          <w:color w:val="263F61"/>
        </w:rPr>
        <w:t>Both explainers reloaded successfully and both pipeline hashes remained unchanged.</w:t>
      </w:r>
    </w:p>
    <w:tbl>
      <w:tblPr>
        <w:tblW w:type="dxa" w:w="9360"/>
        <w:jc w:val="left"/>
        <w:tblLayout w:type="fixed"/>
        <w:tblLook w:firstColumn="1" w:firstRow="1" w:lastColumn="0" w:lastRow="0" w:noHBand="0" w:noVBand="1" w:val="04A0"/>
        <w:tblInd w:w="120" w:type="dxa"/>
        <w:tblBorders>
          <w:top w:val="single" w:sz="8" w:color="C49137"/>
          <w:left w:val="single" w:sz="8" w:color="C49137"/>
          <w:bottom w:val="single" w:sz="8" w:color="C49137"/>
          <w:right w:val="single" w:sz="8" w:color="C49137"/>
          <w:insideH w:val="single" w:sz="8" w:color="C49137"/>
          <w:insideV w:val="single" w:sz="8" w:color="C49137"/>
        </w:tblBorders>
      </w:tblPr>
      <w:tblGrid>
        <w:gridCol w:w="9360"/>
      </w:tblGrid>
      <w:tr>
        <w:trPr>
          <w:cantSplit/>
        </w:trPr>
        <w:tc>
          <w:tcPr>
            <w:tcW w:type="dxa" w:w="9360"/>
            <w:tcMar>
              <w:top w:w="80" w:type="dxa"/>
              <w:start w:w="120" w:type="dxa"/>
              <w:bottom w:w="80" w:type="dxa"/>
              <w:end w:w="120" w:type="dxa"/>
            </w:tcMar>
            <w:vAlign w:val="center"/>
            <w:shd w:fill="FFF7E6"/>
          </w:tcPr>
          <w:p>
            <w:pPr>
              <w:spacing w:after="60"/>
            </w:pPr>
            <w:r>
              <w:rPr>
                <w:rFonts w:ascii="Calibri" w:hAnsi="Calibri"/>
                <w:b/>
                <w:color w:val="C49137"/>
                <w:sz w:val="17"/>
              </w:rPr>
              <w:t>INTERPRETATION BOUNDARY</w:t>
            </w:r>
          </w:p>
          <w:p>
            <w:pPr>
              <w:spacing w:after="0" w:line="259" w:lineRule="auto"/>
            </w:pPr>
            <w:r>
              <w:rPr>
                <w:rFonts w:ascii="Calibri" w:hAnsi="Calibri"/>
                <w:color w:val="263F61"/>
                <w:sz w:val="21"/>
              </w:rPr>
              <w:t>SHAP describes how a fitted model distributes prediction differences relative to its baseline. It does not establish causation or policy impact.</w:t>
            </w:r>
          </w:p>
        </w:tc>
      </w:tr>
    </w:tbl>
    <w:p>
      <w:pPr>
        <w:spacing w:after="40"/>
      </w:pPr>
    </w:p>
    <w:p>
      <w:pPr>
        <w:keepNext/>
        <w:jc w:val="center"/>
      </w:pPr>
      <w:r>
        <w:drawing>
          <wp:inline xmlns:a="http://schemas.openxmlformats.org/drawingml/2006/main" xmlns:pic="http://schemas.openxmlformats.org/drawingml/2006/picture">
            <wp:extent cx="5623560" cy="2831172"/>
            <wp:docPr id="3" name="Picture 3" descr="Figure 2. Global source-feature SHAP importance for both validated models on their protected holdouts." title="Figure 2. Global source-feature SHAP importance for both validated models on their protected holdouts."/>
            <wp:cNvGraphicFramePr>
              <a:graphicFrameLocks noChangeAspect="1"/>
            </wp:cNvGraphicFramePr>
            <a:graphic>
              <a:graphicData uri="http://schemas.openxmlformats.org/drawingml/2006/picture">
                <pic:pic>
                  <pic:nvPicPr>
                    <pic:cNvPr id="0" name="01_global_shap_importance.png"/>
                    <pic:cNvPicPr/>
                  </pic:nvPicPr>
                  <pic:blipFill>
                    <a:blip r:embed="rId14"/>
                    <a:stretch>
                      <a:fillRect/>
                    </a:stretch>
                  </pic:blipFill>
                  <pic:spPr>
                    <a:xfrm>
                      <a:off x="0" y="0"/>
                      <a:ext cx="5623560" cy="2831172"/>
                    </a:xfrm>
                    <a:prstGeom prst="rect"/>
                  </pic:spPr>
                </pic:pic>
              </a:graphicData>
            </a:graphic>
          </wp:inline>
        </w:drawing>
      </w:r>
    </w:p>
    <w:p>
      <w:pPr>
        <w:spacing w:before="60" w:after="160"/>
        <w:jc w:val="center"/>
      </w:pPr>
      <w:r>
        <w:rPr>
          <w:rFonts w:ascii="Calibri" w:hAnsi="Calibri"/>
          <w:i/>
          <w:color w:val="697B91"/>
          <w:sz w:val="18"/>
        </w:rPr>
        <w:t>Figure 2. Global source-feature SHAP importance for both validated models on their protected holdouts.</w:t>
      </w:r>
    </w:p>
    <w:p>
      <w:r>
        <w:br w:type="page"/>
      </w:r>
    </w:p>
    <w:p>
      <w:pPr>
        <w:pStyle w:val="Heading1"/>
        <w:spacing w:before="0"/>
      </w:pPr>
      <w:r>
        <w:t>Phase 10  |  Prediction API</w:t>
      </w:r>
    </w:p>
    <w:tbl>
      <w:tblPr>
        <w:tblW w:type="dxa" w:w="9360"/>
        <w:jc w:val="left"/>
        <w:tblLayout w:type="fixed"/>
        <w:tblLook w:firstColumn="1" w:firstRow="1" w:lastColumn="0" w:lastRow="0" w:noHBand="0" w:noVBand="1" w:val="04A0"/>
        <w:tblInd w:w="120" w:type="dxa"/>
        <w:tblBorders>
          <w:top w:val="single" w:sz="6" w:color="D7E0EB"/>
          <w:left w:val="single" w:sz="6" w:color="D7E0EB"/>
          <w:bottom w:val="single" w:sz="6" w:color="D7E0EB"/>
          <w:right w:val="single" w:sz="6" w:color="D7E0EB"/>
          <w:insideH w:val="single" w:sz="6" w:color="D7E0EB"/>
          <w:insideV w:val="single" w:sz="6" w:color="D7E0EB"/>
        </w:tblBorders>
      </w:tblPr>
      <w:tblGrid>
        <w:gridCol w:w="1750"/>
        <w:gridCol w:w="7610"/>
      </w:tblGrid>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STATUS</w:t>
            </w:r>
          </w:p>
        </w:tc>
        <w:tc>
          <w:tcPr>
            <w:tcW w:type="dxa" w:w="7610"/>
            <w:tcMar>
              <w:top w:w="80" w:type="dxa"/>
              <w:start w:w="120" w:type="dxa"/>
              <w:bottom w:w="80" w:type="dxa"/>
              <w:end w:w="120" w:type="dxa"/>
            </w:tcMar>
            <w:vAlign w:val="center"/>
          </w:tcPr>
          <w:p>
            <w:r>
              <w:rPr>
                <w:rFonts w:ascii="Calibri" w:hAnsi="Calibri"/>
                <w:b/>
                <w:color w:val="263F61"/>
                <w:sz w:val="20"/>
              </w:rPr>
              <w:t>PASSED WITH NOTES</w:t>
            </w:r>
          </w:p>
        </w:tc>
      </w:tr>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PHASE PURPOSE</w:t>
            </w:r>
          </w:p>
        </w:tc>
        <w:tc>
          <w:tcPr>
            <w:tcW w:type="dxa" w:w="7610"/>
            <w:tcMar>
              <w:top w:w="80" w:type="dxa"/>
              <w:start w:w="120" w:type="dxa"/>
              <w:bottom w:w="80" w:type="dxa"/>
              <w:end w:w="120" w:type="dxa"/>
            </w:tcMar>
            <w:vAlign w:val="center"/>
          </w:tcPr>
          <w:p>
            <w:r>
              <w:rPr>
                <w:rFonts w:ascii="Calibri" w:hAnsi="Calibri"/>
                <w:b w:val="0"/>
                <w:color w:val="263F61"/>
                <w:sz w:val="20"/>
              </w:rPr>
              <w:t>Expose both validated models and explanation paths through one strict, production-style assessment service.</w:t>
            </w:r>
          </w:p>
        </w:tc>
      </w:tr>
    </w:tbl>
    <w:p>
      <w:pPr>
        <w:spacing w:after="0"/>
      </w:pPr>
    </w:p>
    <w:p>
      <w:pPr>
        <w:pStyle w:val="Heading2"/>
      </w:pPr>
      <w:r>
        <w:t>Tasks completed</w:t>
      </w:r>
    </w:p>
    <w:p>
      <w:pPr>
        <w:pStyle w:val="ListBullet"/>
        <w:keepLines/>
      </w:pPr>
      <w:r>
        <w:rPr>
          <w:rFonts w:ascii="Calibri" w:hAnsi="Calibri"/>
          <w:color w:val="263F61"/>
        </w:rPr>
        <w:t>Built a FastAPI service with health, combined assessment, OpenAPI, and interactive documentation endpoints.</w:t>
      </w:r>
    </w:p>
    <w:p>
      <w:pPr>
        <w:pStyle w:val="ListBullet"/>
        <w:keepLines/>
      </w:pPr>
      <w:r>
        <w:rPr>
          <w:rFonts w:ascii="Calibri" w:hAnsi="Calibri"/>
          <w:color w:val="263F61"/>
        </w:rPr>
        <w:t>Defined a strict 17-field Pydantic request schema with permitted categories and cross-field routing checks.</w:t>
      </w:r>
    </w:p>
    <w:p>
      <w:pPr>
        <w:pStyle w:val="ListBullet"/>
        <w:keepLines/>
      </w:pPr>
      <w:r>
        <w:rPr>
          <w:rFonts w:ascii="Calibri" w:hAnsi="Calibri"/>
          <w:color w:val="263F61"/>
        </w:rPr>
        <w:t>Loaded both complete pipelines and their matching explainers with artifact-hash verification.</w:t>
      </w:r>
    </w:p>
    <w:p>
      <w:pPr>
        <w:pStyle w:val="ListBullet"/>
        <w:keepLines/>
      </w:pPr>
      <w:r>
        <w:rPr>
          <w:rFonts w:ascii="Calibri" w:hAnsi="Calibri"/>
          <w:color w:val="263F61"/>
        </w:rPr>
        <w:t>Returned two natural-language answers, probabilities, provisional thresholds, five explanation factors per outcome, warnings, and a responsible-use disclaimer.</w:t>
      </w:r>
    </w:p>
    <w:p>
      <w:pPr>
        <w:pStyle w:val="ListBullet"/>
        <w:keepLines/>
      </w:pPr>
      <w:r>
        <w:rPr>
          <w:rFonts w:ascii="Calibri" w:hAnsi="Calibri"/>
          <w:color w:val="263F61"/>
        </w:rPr>
        <w:t>Added structured error handling and sanitized model/artifact failure responses.</w:t>
      </w:r>
    </w:p>
    <w:p>
      <w:pPr>
        <w:pStyle w:val="Heading2"/>
      </w:pPr>
      <w:r>
        <w:t>Reasoning behind the work</w:t>
      </w:r>
    </w:p>
    <w:p>
      <w:pPr>
        <w:spacing w:after="120"/>
      </w:pPr>
      <w:r>
        <w:rPr>
          <w:rFonts w:ascii="Calibri" w:hAnsi="Calibri"/>
          <w:b/>
          <w:color w:val="263F61"/>
        </w:rPr>
        <w:t xml:space="preserve">One profile, two results: </w:t>
      </w:r>
      <w:r>
        <w:rPr>
          <w:rFonts w:ascii="Calibri" w:hAnsi="Calibri"/>
          <w:i w:val="0"/>
          <w:color w:val="263F61"/>
        </w:rPr>
        <w:t>The product should feel like one financial-access platform; a user enters relevant characteristics once while each model applies its own preprocessing.</w:t>
      </w:r>
    </w:p>
    <w:p>
      <w:pPr>
        <w:spacing w:after="120"/>
      </w:pPr>
      <w:r>
        <w:rPr>
          <w:rFonts w:ascii="Calibri" w:hAnsi="Calibri"/>
          <w:b/>
          <w:color w:val="263F61"/>
        </w:rPr>
        <w:t xml:space="preserve">Strict validation: </w:t>
      </w:r>
      <w:r>
        <w:rPr>
          <w:rFonts w:ascii="Calibri" w:hAnsi="Calibri"/>
          <w:i w:val="0"/>
          <w:color w:val="263F61"/>
        </w:rPr>
        <w:t>Rejecting extra, missing, invalid, or contradictory inputs prevents undefined inference behaviour and makes the API contract explicit.</w:t>
      </w:r>
    </w:p>
    <w:p>
      <w:pPr>
        <w:spacing w:after="120"/>
      </w:pPr>
      <w:r>
        <w:rPr>
          <w:rFonts w:ascii="Calibri" w:hAnsi="Calibri"/>
          <w:b/>
          <w:color w:val="263F61"/>
        </w:rPr>
        <w:t xml:space="preserve">Hash verification: </w:t>
      </w:r>
      <w:r>
        <w:rPr>
          <w:rFonts w:ascii="Calibri" w:hAnsi="Calibri"/>
          <w:i w:val="0"/>
          <w:color w:val="263F61"/>
        </w:rPr>
        <w:t>A pipeline and explainer must remain a validated pair. Integrity checks prevent mismatched explanation artifacts from loading silently.</w:t>
      </w:r>
    </w:p>
    <w:p>
      <w:pPr>
        <w:spacing w:after="120"/>
      </w:pPr>
      <w:r>
        <w:rPr>
          <w:rFonts w:ascii="Calibri" w:hAnsi="Calibri"/>
          <w:b/>
          <w:color w:val="263F61"/>
        </w:rPr>
        <w:t xml:space="preserve">Human question first: </w:t>
      </w:r>
      <w:r>
        <w:rPr>
          <w:rFonts w:ascii="Calibri" w:hAnsi="Calibri"/>
          <w:i w:val="0"/>
          <w:color w:val="263F61"/>
        </w:rPr>
        <w:t>The API answers whether the profile is likely to be included or use mobile money before presenting supporting percentages.</w:t>
      </w:r>
    </w:p>
    <w:p>
      <w:pPr>
        <w:pStyle w:val="Heading2"/>
      </w:pPr>
      <w:r>
        <w:t>Validation and handoff</w:t>
      </w:r>
    </w:p>
    <w:p>
      <w:pPr>
        <w:pStyle w:val="ListBullet"/>
        <w:keepLines/>
      </w:pPr>
      <w:r>
        <w:rPr>
          <w:rFonts w:ascii="Calibri" w:hAnsi="Calibri"/>
          <w:color w:val="263F61"/>
        </w:rPr>
        <w:t>Eight validation scenarios passed, including invalid categories, missing/extra fields, contradictory routing, and unavailable artifacts.</w:t>
      </w:r>
    </w:p>
    <w:p>
      <w:pPr>
        <w:pStyle w:val="ListBullet"/>
        <w:keepLines/>
      </w:pPr>
      <w:r>
        <w:rPr>
          <w:rFonts w:ascii="Calibri" w:hAnsi="Calibri"/>
          <w:color w:val="263F61"/>
        </w:rPr>
        <w:t>A validated example returned 26.9% financial-inclusion likelihood and 36.8% mobile-money likelihood, with five factors for each.</w:t>
      </w:r>
    </w:p>
    <w:p>
      <w:pPr>
        <w:pStyle w:val="ListBullet"/>
        <w:keepLines/>
      </w:pPr>
      <w:r>
        <w:rPr>
          <w:rFonts w:ascii="Calibri" w:hAnsi="Calibri"/>
          <w:color w:val="263F61"/>
        </w:rPr>
        <w:t>Health checks confirmed both model/explainer pairs were ready.</w:t>
      </w:r>
    </w:p>
    <w:p>
      <w:pPr>
        <w:pStyle w:val="ListBullet"/>
        <w:keepLines/>
      </w:pPr>
      <w:r>
        <w:rPr>
          <w:rFonts w:ascii="Calibri" w:hAnsi="Calibri"/>
          <w:color w:val="263F61"/>
        </w:rPr>
        <w:t>Submitted profiles are not persisted; CORS and public hosting remained outside Phase 10.</w:t>
      </w:r>
    </w:p>
    <w:p>
      <w:r>
        <w:br w:type="page"/>
      </w:r>
    </w:p>
    <w:p>
      <w:pPr>
        <w:pStyle w:val="Heading1"/>
        <w:spacing w:before="0"/>
      </w:pPr>
      <w:r>
        <w:t>Phase 11  |  Web Application</w:t>
      </w:r>
    </w:p>
    <w:tbl>
      <w:tblPr>
        <w:tblW w:type="dxa" w:w="9360"/>
        <w:jc w:val="left"/>
        <w:tblLayout w:type="fixed"/>
        <w:tblLook w:firstColumn="1" w:firstRow="1" w:lastColumn="0" w:lastRow="0" w:noHBand="0" w:noVBand="1" w:val="04A0"/>
        <w:tblInd w:w="120" w:type="dxa"/>
        <w:tblBorders>
          <w:top w:val="single" w:sz="6" w:color="D7E0EB"/>
          <w:left w:val="single" w:sz="6" w:color="D7E0EB"/>
          <w:bottom w:val="single" w:sz="6" w:color="D7E0EB"/>
          <w:right w:val="single" w:sz="6" w:color="D7E0EB"/>
          <w:insideH w:val="single" w:sz="6" w:color="D7E0EB"/>
          <w:insideV w:val="single" w:sz="6" w:color="D7E0EB"/>
        </w:tblBorders>
      </w:tblPr>
      <w:tblGrid>
        <w:gridCol w:w="1750"/>
        <w:gridCol w:w="7610"/>
      </w:tblGrid>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STATUS</w:t>
            </w:r>
          </w:p>
        </w:tc>
        <w:tc>
          <w:tcPr>
            <w:tcW w:type="dxa" w:w="7610"/>
            <w:tcMar>
              <w:top w:w="80" w:type="dxa"/>
              <w:start w:w="120" w:type="dxa"/>
              <w:bottom w:w="80" w:type="dxa"/>
              <w:end w:w="120" w:type="dxa"/>
            </w:tcMar>
            <w:vAlign w:val="center"/>
          </w:tcPr>
          <w:p>
            <w:r>
              <w:rPr>
                <w:rFonts w:ascii="Calibri" w:hAnsi="Calibri"/>
                <w:b/>
                <w:color w:val="263F61"/>
                <w:sz w:val="20"/>
              </w:rPr>
              <w:t>PASSED WITH NOTES</w:t>
            </w:r>
          </w:p>
        </w:tc>
      </w:tr>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PHASE PURPOSE</w:t>
            </w:r>
          </w:p>
        </w:tc>
        <w:tc>
          <w:tcPr>
            <w:tcW w:type="dxa" w:w="7610"/>
            <w:tcMar>
              <w:top w:w="80" w:type="dxa"/>
              <w:start w:w="120" w:type="dxa"/>
              <w:bottom w:w="80" w:type="dxa"/>
              <w:end w:w="120" w:type="dxa"/>
            </w:tcMar>
            <w:vAlign w:val="center"/>
          </w:tcPr>
          <w:p>
            <w:r>
              <w:rPr>
                <w:rFonts w:ascii="Calibri" w:hAnsi="Calibri"/>
                <w:b w:val="0"/>
                <w:color w:val="263F61"/>
                <w:sz w:val="20"/>
              </w:rPr>
              <w:t>Create a polished, responsive product experience for analysis, assessment, explainability, and technical methodology.</w:t>
            </w:r>
          </w:p>
        </w:tc>
      </w:tr>
    </w:tbl>
    <w:p>
      <w:pPr>
        <w:spacing w:after="0"/>
      </w:pPr>
    </w:p>
    <w:p>
      <w:pPr>
        <w:pStyle w:val="Heading2"/>
      </w:pPr>
      <w:r>
        <w:t>Tasks completed</w:t>
      </w:r>
    </w:p>
    <w:p>
      <w:pPr>
        <w:pStyle w:val="ListBullet"/>
        <w:keepLines/>
      </w:pPr>
      <w:r>
        <w:rPr>
          <w:rFonts w:ascii="Calibri" w:hAnsi="Calibri"/>
          <w:color w:val="263F61"/>
        </w:rPr>
        <w:t>Developed three complete light-interface directions: The Ledger, Open Field, and Signal.</w:t>
      </w:r>
    </w:p>
    <w:p>
      <w:pPr>
        <w:pStyle w:val="ListBullet"/>
        <w:keepLines/>
      </w:pPr>
      <w:r>
        <w:rPr>
          <w:rFonts w:ascii="Calibri" w:hAnsi="Calibri"/>
          <w:color w:val="263F61"/>
        </w:rPr>
        <w:t>Implemented five product areas in the shared experience: Overview, Financial Inclusion, Mobile Money, Financial Access Assessment, and Methodology.</w:t>
      </w:r>
    </w:p>
    <w:p>
      <w:pPr>
        <w:pStyle w:val="ListBullet"/>
        <w:keepLines/>
      </w:pPr>
      <w:r>
        <w:rPr>
          <w:rFonts w:ascii="Calibri" w:hAnsi="Calibri"/>
          <w:color w:val="263F61"/>
        </w:rPr>
        <w:t>Integrated the 17-field assessment with a same-origin server proxy to the Phase 10 API.</w:t>
      </w:r>
    </w:p>
    <w:p>
      <w:pPr>
        <w:pStyle w:val="ListBullet"/>
        <w:keepLines/>
      </w:pPr>
      <w:r>
        <w:rPr>
          <w:rFonts w:ascii="Calibri" w:hAnsi="Calibri"/>
          <w:color w:val="263F61"/>
        </w:rPr>
        <w:t>Selected Signal as the final direction while retaining the other concepts as archived design history.</w:t>
      </w:r>
    </w:p>
    <w:p>
      <w:pPr>
        <w:pStyle w:val="ListBullet"/>
        <w:keepLines/>
      </w:pPr>
      <w:r>
        <w:rPr>
          <w:rFonts w:ascii="Calibri" w:hAnsi="Calibri"/>
          <w:color w:val="263F61"/>
        </w:rPr>
        <w:t>Refined the Signal homepage to lead with Financial Access in Eswatini, Start an assessment, Review the evidence, and a developer credit for Thando F. Dlamini.</w:t>
      </w:r>
    </w:p>
    <w:p>
      <w:pPr>
        <w:pStyle w:val="ListBullet"/>
        <w:keepLines/>
      </w:pPr>
      <w:r>
        <w:rPr>
          <w:rFonts w:ascii="Calibri" w:hAnsi="Calibri"/>
          <w:color w:val="263F61"/>
        </w:rPr>
        <w:t>Created a server-free offline visual review package for reliable local review.</w:t>
      </w:r>
    </w:p>
    <w:p>
      <w:pPr>
        <w:pStyle w:val="Heading2"/>
      </w:pPr>
      <w:r>
        <w:t>Reasoning behind the work</w:t>
      </w:r>
    </w:p>
    <w:p>
      <w:pPr>
        <w:spacing w:after="120"/>
      </w:pPr>
      <w:r>
        <w:rPr>
          <w:rFonts w:ascii="Calibri" w:hAnsi="Calibri"/>
          <w:b/>
          <w:color w:val="263F61"/>
        </w:rPr>
        <w:t xml:space="preserve">Multiple concepts before selection: </w:t>
      </w:r>
      <w:r>
        <w:rPr>
          <w:rFonts w:ascii="Calibri" w:hAnsi="Calibri"/>
          <w:i w:val="0"/>
          <w:color w:val="263F61"/>
        </w:rPr>
        <w:t>Visual direction is a product decision. Building three complete variants allowed evidence-based selection without changing analytical functionality.</w:t>
      </w:r>
    </w:p>
    <w:p>
      <w:pPr>
        <w:spacing w:after="120"/>
      </w:pPr>
      <w:r>
        <w:rPr>
          <w:rFonts w:ascii="Calibri" w:hAnsi="Calibri"/>
          <w:b/>
          <w:color w:val="263F61"/>
        </w:rPr>
        <w:t xml:space="preserve">Shared product core: </w:t>
      </w:r>
      <w:r>
        <w:rPr>
          <w:rFonts w:ascii="Calibri" w:hAnsi="Calibri"/>
          <w:i w:val="0"/>
          <w:color w:val="263F61"/>
        </w:rPr>
        <w:t>All variants use the same content, data, assessment, and explanation components, avoiding divergent functionality and duplicated maintenance.</w:t>
      </w:r>
    </w:p>
    <w:p>
      <w:pPr>
        <w:spacing w:after="120"/>
      </w:pPr>
      <w:r>
        <w:rPr>
          <w:rFonts w:ascii="Calibri" w:hAnsi="Calibri"/>
          <w:b/>
          <w:color w:val="263F61"/>
        </w:rPr>
        <w:t xml:space="preserve">Signal selection: </w:t>
      </w:r>
      <w:r>
        <w:rPr>
          <w:rFonts w:ascii="Calibri" w:hAnsi="Calibri"/>
          <w:i w:val="0"/>
          <w:color w:val="263F61"/>
        </w:rPr>
        <w:t>Signal offers a clean light fintech presentation with pale blue, cobalt, and teal while preserving an analytical, portfolio-ready tone.</w:t>
      </w:r>
    </w:p>
    <w:p>
      <w:pPr>
        <w:spacing w:after="120"/>
      </w:pPr>
      <w:r>
        <w:rPr>
          <w:rFonts w:ascii="Calibri" w:hAnsi="Calibri"/>
          <w:b/>
          <w:color w:val="263F61"/>
        </w:rPr>
        <w:t xml:space="preserve">Same-origin proxy: </w:t>
      </w:r>
      <w:r>
        <w:rPr>
          <w:rFonts w:ascii="Calibri" w:hAnsi="Calibri"/>
          <w:i w:val="0"/>
          <w:color w:val="263F61"/>
        </w:rPr>
        <w:t>The frontend calls its own server route, which then reaches FastAPI. This keeps the browser contract simple and defers production CORS decisions to deployment.</w:t>
      </w:r>
    </w:p>
    <w:p>
      <w:pPr>
        <w:spacing w:after="120"/>
      </w:pPr>
      <w:r>
        <w:rPr>
          <w:rFonts w:ascii="Calibri" w:hAnsi="Calibri"/>
          <w:b/>
          <w:color w:val="263F61"/>
        </w:rPr>
        <w:t xml:space="preserve">Offline review fallback: </w:t>
      </w:r>
      <w:r>
        <w:rPr>
          <w:rFonts w:ascii="Calibri" w:hAnsi="Calibri"/>
          <w:i w:val="0"/>
          <w:color w:val="263F61"/>
        </w:rPr>
        <w:t>A self-contained HTML review was added after the local production preview failed to serve a stylesheet asset reliably. The fallback removes server dependence for visual approval.</w:t>
      </w:r>
    </w:p>
    <w:p>
      <w:pPr>
        <w:pStyle w:val="Heading2"/>
      </w:pPr>
      <w:r>
        <w:t>Validation and handoff</w:t>
      </w:r>
    </w:p>
    <w:p>
      <w:pPr>
        <w:pStyle w:val="ListBullet"/>
        <w:keepLines/>
      </w:pPr>
      <w:r>
        <w:rPr>
          <w:rFonts w:ascii="Calibri" w:hAnsi="Calibri"/>
          <w:color w:val="263F61"/>
        </w:rPr>
        <w:t>Production build and frontend lint passed.</w:t>
      </w:r>
    </w:p>
    <w:p>
      <w:pPr>
        <w:pStyle w:val="ListBullet"/>
        <w:keepLines/>
      </w:pPr>
      <w:r>
        <w:rPr>
          <w:rFonts w:ascii="Calibri" w:hAnsi="Calibri"/>
          <w:color w:val="263F61"/>
        </w:rPr>
        <w:t>Five rendered-route tests passed for the selected homepage, archived variants, and social metadata.</w:t>
      </w:r>
    </w:p>
    <w:p>
      <w:pPr>
        <w:pStyle w:val="ListBullet"/>
        <w:keepLines/>
      </w:pPr>
      <w:r>
        <w:rPr>
          <w:rFonts w:ascii="Calibri" w:hAnsi="Calibri"/>
          <w:color w:val="263F61"/>
        </w:rPr>
        <w:t>All 15 frontend contract checks passed, including accessibility, responsiveness, selected content, API integration, and phase-scope controls.</w:t>
      </w:r>
    </w:p>
    <w:p>
      <w:pPr>
        <w:pStyle w:val="ListBullet"/>
        <w:keepLines/>
      </w:pPr>
      <w:r>
        <w:rPr>
          <w:rFonts w:ascii="Calibri" w:hAnsi="Calibri"/>
          <w:color w:val="263F61"/>
        </w:rPr>
        <w:t>The full repository regression suite passed 89 Python tests.</w:t>
      </w:r>
    </w:p>
    <w:p>
      <w:pPr>
        <w:pStyle w:val="ListBullet"/>
        <w:keepLines/>
      </w:pPr>
      <w:r>
        <w:rPr>
          <w:rFonts w:ascii="Calibri" w:hAnsi="Calibri"/>
          <w:color w:val="263F61"/>
        </w:rPr>
        <w:t>Deployment has not started; Phase 12 remains the explicit next phase.</w:t>
      </w:r>
    </w:p>
    <w:p>
      <w:pPr>
        <w:pStyle w:val="Heading1"/>
        <w:pageBreakBefore/>
      </w:pPr>
      <w:r>
        <w:t>Cross-phase decisions and rationale</w:t>
      </w:r>
    </w:p>
    <w:p>
      <w:pPr>
        <w:spacing w:after="120"/>
      </w:pPr>
      <w:r>
        <w:rPr>
          <w:rFonts w:ascii="Calibri" w:hAnsi="Calibri"/>
          <w:b/>
          <w:color w:val="263F61"/>
        </w:rPr>
        <w:t xml:space="preserve">Raw microdata remains local and Git-ignored. </w:t>
      </w:r>
      <w:r>
        <w:rPr>
          <w:rFonts w:ascii="Calibri" w:hAnsi="Calibri"/>
          <w:i w:val="0"/>
          <w:color w:val="263F61"/>
        </w:rPr>
        <w:t>The file contains respondent-level data and publication/licensing conditions require a deliberate release decision.</w:t>
      </w:r>
    </w:p>
    <w:p>
      <w:pPr>
        <w:spacing w:after="120"/>
      </w:pPr>
      <w:r>
        <w:rPr>
          <w:rFonts w:ascii="Calibri" w:hAnsi="Calibri"/>
          <w:b/>
          <w:color w:val="263F61"/>
        </w:rPr>
        <w:t xml:space="preserve">Survey weights support description, not personal prediction inputs. </w:t>
      </w:r>
      <w:r>
        <w:rPr>
          <w:rFonts w:ascii="Calibri" w:hAnsi="Calibri"/>
          <w:i w:val="0"/>
          <w:color w:val="263F61"/>
        </w:rPr>
        <w:t>Weights adjust sample representation; they are not stable personal characteristics available in an assessment.</w:t>
      </w:r>
    </w:p>
    <w:p>
      <w:pPr>
        <w:spacing w:after="120"/>
      </w:pPr>
      <w:r>
        <w:rPr>
          <w:rFonts w:ascii="Calibri" w:hAnsi="Calibri"/>
          <w:b/>
          <w:color w:val="263F61"/>
        </w:rPr>
        <w:t xml:space="preserve">Both targets receive independent feature and model workflows. </w:t>
      </w:r>
      <w:r>
        <w:rPr>
          <w:rFonts w:ascii="Calibri" w:hAnsi="Calibri"/>
          <w:i w:val="0"/>
          <w:color w:val="263F61"/>
        </w:rPr>
        <w:t>Financial institution accounts and mobile-money accounts are related but distinct outcomes with different leakage boundaries.</w:t>
      </w:r>
    </w:p>
    <w:p>
      <w:pPr>
        <w:spacing w:after="120"/>
      </w:pPr>
      <w:r>
        <w:rPr>
          <w:rFonts w:ascii="Calibri" w:hAnsi="Calibri"/>
          <w:b/>
          <w:color w:val="263F61"/>
        </w:rPr>
        <w:t xml:space="preserve">Categorical semantics are preserved. </w:t>
      </w:r>
      <w:r>
        <w:rPr>
          <w:rFonts w:ascii="Calibri" w:hAnsi="Calibri"/>
          <w:i w:val="0"/>
          <w:color w:val="263F61"/>
        </w:rPr>
        <w:t>Education, income quintile, routing, and nonresponse are not treated as continuous distances or arbitrary numeric quantities.</w:t>
      </w:r>
    </w:p>
    <w:p>
      <w:pPr>
        <w:spacing w:after="120"/>
      </w:pPr>
      <w:r>
        <w:rPr>
          <w:rFonts w:ascii="Calibri" w:hAnsi="Calibri"/>
          <w:b/>
          <w:color w:val="263F61"/>
        </w:rPr>
        <w:t xml:space="preserve">Identical profiles are grouped during evaluation. </w:t>
      </w:r>
      <w:r>
        <w:rPr>
          <w:rFonts w:ascii="Calibri" w:hAnsi="Calibri"/>
          <w:i w:val="0"/>
          <w:color w:val="263F61"/>
        </w:rPr>
        <w:t>Preventing profile overlap reduces optimistic performance caused by repeated feature patterns.</w:t>
      </w:r>
    </w:p>
    <w:p>
      <w:pPr>
        <w:spacing w:after="120"/>
      </w:pPr>
      <w:r>
        <w:rPr>
          <w:rFonts w:ascii="Calibri" w:hAnsi="Calibri"/>
          <w:b/>
          <w:color w:val="263F61"/>
        </w:rPr>
        <w:t xml:space="preserve">Accuracy is not the selection criterion. </w:t>
      </w:r>
      <w:r>
        <w:rPr>
          <w:rFonts w:ascii="Calibri" w:hAnsi="Calibri"/>
          <w:i w:val="0"/>
          <w:color w:val="263F61"/>
        </w:rPr>
        <w:t>ROC-AUC, F1, calibration, uncertainty, overfitting, complexity, and interpretability all inform selection.</w:t>
      </w:r>
    </w:p>
    <w:p>
      <w:pPr>
        <w:spacing w:after="120"/>
      </w:pPr>
      <w:r>
        <w:rPr>
          <w:rFonts w:ascii="Calibri" w:hAnsi="Calibri"/>
          <w:b/>
          <w:color w:val="263F61"/>
        </w:rPr>
        <w:t xml:space="preserve">Explanations come from SHAP. </w:t>
      </w:r>
      <w:r>
        <w:rPr>
          <w:rFonts w:ascii="Calibri" w:hAnsi="Calibri"/>
          <w:i w:val="0"/>
          <w:color w:val="263F61"/>
        </w:rPr>
        <w:t>Displayed factors correspond to actual signed model contributions rather than generic narratives.</w:t>
      </w:r>
    </w:p>
    <w:p>
      <w:pPr>
        <w:spacing w:after="120"/>
      </w:pPr>
      <w:r>
        <w:rPr>
          <w:rFonts w:ascii="Calibri" w:hAnsi="Calibri"/>
          <w:b/>
          <w:color w:val="263F61"/>
        </w:rPr>
        <w:t xml:space="preserve">Thresholds remain provisional. </w:t>
      </w:r>
      <w:r>
        <w:rPr>
          <w:rFonts w:ascii="Calibri" w:hAnsi="Calibri"/>
          <w:i w:val="0"/>
          <w:color w:val="263F61"/>
        </w:rPr>
        <w:t>A 0.50 cutoff is operationally simple but has not been optimised against a real decision cost or public policy objective.</w:t>
      </w:r>
    </w:p>
    <w:p>
      <w:pPr>
        <w:pStyle w:val="Heading1"/>
      </w:pPr>
      <w:r>
        <w:t>Current risks and limitations</w:t>
      </w:r>
    </w:p>
    <w:p>
      <w:pPr>
        <w:pStyle w:val="ListBullet"/>
        <w:keepLines/>
      </w:pPr>
      <w:r>
        <w:rPr>
          <w:rFonts w:ascii="Calibri" w:hAnsi="Calibri"/>
          <w:color w:val="263F61"/>
        </w:rPr>
        <w:t>The project is observational and cannot establish that any characteristic causes financial inclusion or mobile-money adoption.</w:t>
      </w:r>
    </w:p>
    <w:p>
      <w:pPr>
        <w:pStyle w:val="ListBullet"/>
        <w:keepLines/>
      </w:pPr>
      <w:r>
        <w:rPr>
          <w:rFonts w:ascii="Calibri" w:hAnsi="Calibri"/>
          <w:color w:val="263F61"/>
        </w:rPr>
        <w:t>The country extract has no usable urban/rural variation because urbanicity is constant.</w:t>
      </w:r>
    </w:p>
    <w:p>
      <w:pPr>
        <w:pStyle w:val="ListBullet"/>
        <w:keepLines/>
      </w:pPr>
      <w:r>
        <w:rPr>
          <w:rFonts w:ascii="Calibri" w:hAnsi="Calibri"/>
          <w:color w:val="263F61"/>
        </w:rPr>
        <w:t>Survey-design-corrected inference was not possible without strata and cluster variables.</w:t>
      </w:r>
    </w:p>
    <w:p>
      <w:pPr>
        <w:pStyle w:val="ListBullet"/>
        <w:keepLines/>
      </w:pPr>
      <w:r>
        <w:rPr>
          <w:rFonts w:ascii="Calibri" w:hAnsi="Calibri"/>
          <w:color w:val="263F61"/>
        </w:rPr>
        <w:t>Small protected holdouts create material uncertainty around performance estimates.</w:t>
      </w:r>
    </w:p>
    <w:p>
      <w:pPr>
        <w:pStyle w:val="ListBullet"/>
        <w:keepLines/>
      </w:pPr>
      <w:r>
        <w:rPr>
          <w:rFonts w:ascii="Calibri" w:hAnsi="Calibri"/>
          <w:color w:val="263F61"/>
        </w:rPr>
        <w:t>Some identical predictor profiles have conflicting targets, placing an irreducible ceiling on deterministic profile-level prediction.</w:t>
      </w:r>
    </w:p>
    <w:p>
      <w:pPr>
        <w:pStyle w:val="ListBullet"/>
        <w:keepLines/>
      </w:pPr>
      <w:r>
        <w:rPr>
          <w:rFonts w:ascii="Calibri" w:hAnsi="Calibri"/>
          <w:color w:val="263F61"/>
        </w:rPr>
        <w:t>Recent digital-behaviour variables in Model 2 overlap the target observation period and remain a conceptual limitation.</w:t>
      </w:r>
    </w:p>
    <w:p>
      <w:pPr>
        <w:pStyle w:val="ListBullet"/>
        <w:keepLines/>
      </w:pPr>
      <w:r>
        <w:rPr>
          <w:rFonts w:ascii="Calibri" w:hAnsi="Calibri"/>
          <w:color w:val="263F61"/>
        </w:rPr>
        <w:t>The assessment threshold of 0.50 is provisional and not tied to a real-world cost-benefit policy.</w:t>
      </w:r>
    </w:p>
    <w:p>
      <w:pPr>
        <w:pStyle w:val="ListBullet"/>
        <w:keepLines/>
      </w:pPr>
      <w:r>
        <w:rPr>
          <w:rFonts w:ascii="Calibri" w:hAnsi="Calibri"/>
          <w:color w:val="263F61"/>
        </w:rPr>
        <w:t>The application is a portfolio proof of concept, not a nationwide decision engine, eligibility tool, or official World Bank classification.</w:t>
      </w:r>
    </w:p>
    <w:p>
      <w:pPr>
        <w:pStyle w:val="ListBullet"/>
        <w:keepLines/>
      </w:pPr>
      <w:r>
        <w:rPr>
          <w:rFonts w:ascii="Calibri" w:hAnsi="Calibri"/>
          <w:color w:val="263F61"/>
        </w:rPr>
        <w:t>Public deployment, hosting configuration, CORS verification, public security review, and live production testing have not started.</w:t>
      </w:r>
    </w:p>
    <w:p>
      <w:pPr>
        <w:pStyle w:val="Heading1"/>
      </w:pPr>
      <w:r>
        <w:t>Next approved work</w:t>
      </w:r>
    </w:p>
    <w:p>
      <w:pPr>
        <w:spacing w:after="120"/>
      </w:pPr>
      <w:r>
        <w:rPr>
          <w:rFonts w:ascii="Calibri" w:hAnsi="Calibri"/>
          <w:i w:val="0"/>
          <w:color w:val="263F61"/>
        </w:rPr>
        <w:t>The project should continue only after explicit approval of the next phase.</w:t>
      </w:r>
    </w:p>
    <w:tbl>
      <w:tblPr>
        <w:tblW w:type="dxa" w:w="9360"/>
        <w:jc w:val="left"/>
        <w:tblLayout w:type="fixed"/>
        <w:tblLook w:firstColumn="1" w:firstRow="1" w:lastColumn="0" w:lastRow="0" w:noHBand="0" w:noVBand="1" w:val="04A0"/>
        <w:tblInd w:w="120" w:type="dxa"/>
        <w:tblBorders>
          <w:top w:val="single" w:sz="6" w:color="D7E0EB"/>
          <w:left w:val="single" w:sz="6" w:color="D7E0EB"/>
          <w:bottom w:val="single" w:sz="6" w:color="D7E0EB"/>
          <w:right w:val="single" w:sz="6" w:color="D7E0EB"/>
          <w:insideH w:val="single" w:sz="6" w:color="D7E0EB"/>
          <w:insideV w:val="single" w:sz="6" w:color="D7E0EB"/>
        </w:tblBorders>
      </w:tblPr>
      <w:tblGrid>
        <w:gridCol w:w="1750"/>
        <w:gridCol w:w="7610"/>
      </w:tblGrid>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STATUS</w:t>
            </w:r>
          </w:p>
        </w:tc>
        <w:tc>
          <w:tcPr>
            <w:tcW w:type="dxa" w:w="7610"/>
            <w:tcMar>
              <w:top w:w="80" w:type="dxa"/>
              <w:start w:w="120" w:type="dxa"/>
              <w:bottom w:w="80" w:type="dxa"/>
              <w:end w:w="120" w:type="dxa"/>
            </w:tcMar>
            <w:vAlign w:val="center"/>
          </w:tcPr>
          <w:p>
            <w:r>
              <w:rPr>
                <w:rFonts w:ascii="Calibri" w:hAnsi="Calibri"/>
                <w:b/>
                <w:color w:val="263F61"/>
                <w:sz w:val="20"/>
              </w:rPr>
              <w:t>NOT STARTED</w:t>
            </w:r>
          </w:p>
        </w:tc>
      </w:tr>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PHASE PURPOSE</w:t>
            </w:r>
          </w:p>
        </w:tc>
        <w:tc>
          <w:tcPr>
            <w:tcW w:type="dxa" w:w="7610"/>
            <w:tcMar>
              <w:top w:w="80" w:type="dxa"/>
              <w:start w:w="120" w:type="dxa"/>
              <w:bottom w:w="80" w:type="dxa"/>
              <w:end w:w="120" w:type="dxa"/>
            </w:tcMar>
            <w:vAlign w:val="center"/>
          </w:tcPr>
          <w:p>
            <w:r>
              <w:rPr>
                <w:rFonts w:ascii="Calibri" w:hAnsi="Calibri"/>
                <w:b w:val="0"/>
                <w:color w:val="263F61"/>
                <w:sz w:val="20"/>
              </w:rPr>
              <w:t>Phase 12 - deploy the frontend and Python API, configure environment variables and CORS, test the public prediction flow, and verify that no secrets are committed.</w:t>
            </w:r>
          </w:p>
        </w:tc>
      </w:tr>
    </w:tbl>
    <w:p>
      <w:pPr>
        <w:spacing w:after="0"/>
      </w:pPr>
    </w:p>
    <w:tbl>
      <w:tblPr>
        <w:tblW w:type="dxa" w:w="9360"/>
        <w:jc w:val="left"/>
        <w:tblLayout w:type="fixed"/>
        <w:tblLook w:firstColumn="1" w:firstRow="1" w:lastColumn="0" w:lastRow="0" w:noHBand="0" w:noVBand="1" w:val="04A0"/>
        <w:tblInd w:w="120" w:type="dxa"/>
        <w:tblBorders>
          <w:top w:val="single" w:sz="6" w:color="D7E0EB"/>
          <w:left w:val="single" w:sz="6" w:color="D7E0EB"/>
          <w:bottom w:val="single" w:sz="6" w:color="D7E0EB"/>
          <w:right w:val="single" w:sz="6" w:color="D7E0EB"/>
          <w:insideH w:val="single" w:sz="6" w:color="D7E0EB"/>
          <w:insideV w:val="single" w:sz="6" w:color="D7E0EB"/>
        </w:tblBorders>
      </w:tblPr>
      <w:tblGrid>
        <w:gridCol w:w="1750"/>
        <w:gridCol w:w="7610"/>
      </w:tblGrid>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STATUS</w:t>
            </w:r>
          </w:p>
        </w:tc>
        <w:tc>
          <w:tcPr>
            <w:tcW w:type="dxa" w:w="7610"/>
            <w:tcMar>
              <w:top w:w="80" w:type="dxa"/>
              <w:start w:w="120" w:type="dxa"/>
              <w:bottom w:w="80" w:type="dxa"/>
              <w:end w:w="120" w:type="dxa"/>
            </w:tcMar>
            <w:vAlign w:val="center"/>
          </w:tcPr>
          <w:p>
            <w:r>
              <w:rPr>
                <w:rFonts w:ascii="Calibri" w:hAnsi="Calibri"/>
                <w:b/>
                <w:color w:val="263F61"/>
                <w:sz w:val="20"/>
              </w:rPr>
              <w:t>NOT STARTED</w:t>
            </w:r>
          </w:p>
        </w:tc>
      </w:tr>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PHASE PURPOSE</w:t>
            </w:r>
          </w:p>
        </w:tc>
        <w:tc>
          <w:tcPr>
            <w:tcW w:type="dxa" w:w="7610"/>
            <w:tcMar>
              <w:top w:w="80" w:type="dxa"/>
              <w:start w:w="120" w:type="dxa"/>
              <w:bottom w:w="80" w:type="dxa"/>
              <w:end w:w="120" w:type="dxa"/>
            </w:tcMar>
            <w:vAlign w:val="center"/>
          </w:tcPr>
          <w:p>
            <w:r>
              <w:rPr>
                <w:rFonts w:ascii="Calibri" w:hAnsi="Calibri"/>
                <w:b w:val="0"/>
                <w:color w:val="263F61"/>
                <w:sz w:val="20"/>
              </w:rPr>
              <w:t>Phase 13 - final portfolio polish, screenshots, final README, architecture documentation, limitations, reproducibility, and recruiter-ready repository cleanup.</w:t>
            </w:r>
          </w:p>
        </w:tc>
      </w:tr>
    </w:tbl>
    <w:p>
      <w:pPr>
        <w:spacing w:after="0"/>
      </w:pPr>
    </w:p>
    <w:p>
      <w:pPr>
        <w:pStyle w:val="Heading1"/>
      </w:pPr>
      <w:r>
        <w:t>Primary evidence and deliverables</w:t>
      </w:r>
    </w:p>
    <w:tbl>
      <w:tblPr>
        <w:tblW w:type="dxa" w:w="9360"/>
        <w:jc w:val="left"/>
        <w:tblLayout w:type="fixed"/>
        <w:tblLook w:firstColumn="1" w:firstRow="1" w:lastColumn="0" w:lastRow="0" w:noHBand="0" w:noVBand="1" w:val="04A0"/>
        <w:tblInd w:w="120" w:type="dxa"/>
        <w:tblBorders>
          <w:top w:val="single" w:sz="6" w:color="D7E0EB"/>
          <w:left w:val="single" w:sz="6" w:color="D7E0EB"/>
          <w:bottom w:val="single" w:sz="6" w:color="D7E0EB"/>
          <w:right w:val="single" w:sz="6" w:color="D7E0EB"/>
          <w:insideH w:val="single" w:sz="6" w:color="D7E0EB"/>
          <w:insideV w:val="single" w:sz="6" w:color="D7E0EB"/>
        </w:tblBorders>
      </w:tblPr>
      <w:tblGrid>
        <w:gridCol w:w="850"/>
        <w:gridCol w:w="3350"/>
        <w:gridCol w:w="5160"/>
      </w:tblGrid>
      <w:tr>
        <w:trPr>
          <w:cantSplit/>
          <w:tblHeader w:val="true"/>
        </w:trPr>
        <w:tc>
          <w:tcPr>
            <w:tcW w:type="dxa" w:w="850"/>
            <w:tcMar>
              <w:top w:w="80" w:type="dxa"/>
              <w:start w:w="120" w:type="dxa"/>
              <w:bottom w:w="80" w:type="dxa"/>
              <w:end w:w="120" w:type="dxa"/>
            </w:tcMar>
            <w:vAlign w:val="center"/>
            <w:shd w:fill="294A78"/>
          </w:tcPr>
          <w:p>
            <w:r>
              <w:rPr>
                <w:rFonts w:ascii="Calibri" w:hAnsi="Calibri"/>
                <w:b/>
                <w:color w:val="FFFFFF"/>
                <w:sz w:val="19"/>
              </w:rPr>
              <w:t>Phase</w:t>
            </w:r>
          </w:p>
        </w:tc>
        <w:tc>
          <w:tcPr>
            <w:tcW w:type="dxa" w:w="3350"/>
            <w:tcMar>
              <w:top w:w="80" w:type="dxa"/>
              <w:start w:w="120" w:type="dxa"/>
              <w:bottom w:w="80" w:type="dxa"/>
              <w:end w:w="120" w:type="dxa"/>
            </w:tcMar>
            <w:vAlign w:val="center"/>
            <w:shd w:fill="294A78"/>
          </w:tcPr>
          <w:p>
            <w:r>
              <w:rPr>
                <w:rFonts w:ascii="Calibri" w:hAnsi="Calibri"/>
                <w:b/>
                <w:color w:val="FFFFFF"/>
                <w:sz w:val="19"/>
              </w:rPr>
              <w:t>Notebook</w:t>
            </w:r>
          </w:p>
        </w:tc>
        <w:tc>
          <w:tcPr>
            <w:tcW w:type="dxa" w:w="5160"/>
            <w:tcMar>
              <w:top w:w="80" w:type="dxa"/>
              <w:start w:w="120" w:type="dxa"/>
              <w:bottom w:w="80" w:type="dxa"/>
              <w:end w:w="120" w:type="dxa"/>
            </w:tcMar>
            <w:vAlign w:val="center"/>
            <w:shd w:fill="294A78"/>
          </w:tcPr>
          <w:p>
            <w:r>
              <w:rPr>
                <w:rFonts w:ascii="Calibri" w:hAnsi="Calibri"/>
                <w:b/>
                <w:color w:val="FFFFFF"/>
                <w:sz w:val="19"/>
              </w:rPr>
              <w:t>Primary report or artifact</w:t>
            </w:r>
          </w:p>
        </w:tc>
      </w:tr>
      <w:tr>
        <w:tc>
          <w:tcPr>
            <w:tcW w:type="dxa" w:w="850"/>
          </w:tcPr>
          <w:p>
            <w:r>
              <w:rPr>
                <w:rFonts w:ascii="Calibri" w:hAnsi="Calibri"/>
                <w:b/>
                <w:color w:val="263F61"/>
                <w:sz w:val="17"/>
              </w:rPr>
              <w:t>1</w:t>
            </w:r>
          </w:p>
        </w:tc>
        <w:tc>
          <w:tcPr>
            <w:tcW w:type="dxa" w:w="3350"/>
          </w:tcPr>
          <w:p>
            <w:r>
              <w:rPr>
                <w:rFonts w:ascii="Calibri" w:hAnsi="Calibri"/>
                <w:b w:val="0"/>
                <w:color w:val="263F61"/>
                <w:sz w:val="17"/>
              </w:rPr>
              <w:t>01_data_understanding.ipynb</w:t>
            </w:r>
          </w:p>
        </w:tc>
        <w:tc>
          <w:tcPr>
            <w:tcW w:type="dxa" w:w="5160"/>
          </w:tcPr>
          <w:p>
            <w:r>
              <w:rPr>
                <w:rFonts w:ascii="Calibri" w:hAnsi="Calibri"/>
                <w:b w:val="0"/>
                <w:color w:val="263F61"/>
                <w:sz w:val="17"/>
              </w:rPr>
              <w:t>reports/phase_1/data_quality_report.md</w:t>
            </w:r>
          </w:p>
        </w:tc>
      </w:tr>
      <w:tr>
        <w:tc>
          <w:tcPr>
            <w:tcW w:type="dxa" w:w="850"/>
            <w:shd w:fill="F8FAFC"/>
          </w:tcPr>
          <w:p>
            <w:r>
              <w:rPr>
                <w:rFonts w:ascii="Calibri" w:hAnsi="Calibri"/>
                <w:b/>
                <w:color w:val="263F61"/>
                <w:sz w:val="17"/>
              </w:rPr>
              <w:t>2</w:t>
            </w:r>
          </w:p>
        </w:tc>
        <w:tc>
          <w:tcPr>
            <w:tcW w:type="dxa" w:w="3350"/>
            <w:shd w:fill="F8FAFC"/>
          </w:tcPr>
          <w:p>
            <w:r>
              <w:rPr>
                <w:rFonts w:ascii="Calibri" w:hAnsi="Calibri"/>
                <w:b w:val="0"/>
                <w:color w:val="263F61"/>
                <w:sz w:val="17"/>
              </w:rPr>
              <w:t>02_data_dictionary_feature_eligibility.ipynb</w:t>
            </w:r>
          </w:p>
        </w:tc>
        <w:tc>
          <w:tcPr>
            <w:tcW w:type="dxa" w:w="5160"/>
            <w:shd w:fill="F8FAFC"/>
          </w:tcPr>
          <w:p>
            <w:r>
              <w:rPr>
                <w:rFonts w:ascii="Calibri" w:hAnsi="Calibri"/>
                <w:b w:val="0"/>
                <w:color w:val="263F61"/>
                <w:sz w:val="17"/>
              </w:rPr>
              <w:t>reports/phase_2/feature_blueprint.md</w:t>
            </w:r>
          </w:p>
        </w:tc>
      </w:tr>
      <w:tr>
        <w:tc>
          <w:tcPr>
            <w:tcW w:type="dxa" w:w="850"/>
          </w:tcPr>
          <w:p>
            <w:r>
              <w:rPr>
                <w:rFonts w:ascii="Calibri" w:hAnsi="Calibri"/>
                <w:b/>
                <w:color w:val="263F61"/>
                <w:sz w:val="17"/>
              </w:rPr>
              <w:t>3</w:t>
            </w:r>
          </w:p>
        </w:tc>
        <w:tc>
          <w:tcPr>
            <w:tcW w:type="dxa" w:w="3350"/>
          </w:tcPr>
          <w:p>
            <w:r>
              <w:rPr>
                <w:rFonts w:ascii="Calibri" w:hAnsi="Calibri"/>
                <w:b w:val="0"/>
                <w:color w:val="263F61"/>
                <w:sz w:val="17"/>
              </w:rPr>
              <w:t>03_data_cleaning_preprocessing.ipynb</w:t>
            </w:r>
          </w:p>
        </w:tc>
        <w:tc>
          <w:tcPr>
            <w:tcW w:type="dxa" w:w="5160"/>
          </w:tcPr>
          <w:p>
            <w:r>
              <w:rPr>
                <w:rFonts w:ascii="Calibri" w:hAnsi="Calibri"/>
                <w:b w:val="0"/>
                <w:color w:val="263F61"/>
                <w:sz w:val="17"/>
              </w:rPr>
              <w:t>reports/phase_3/phase3_summary.md</w:t>
            </w:r>
          </w:p>
        </w:tc>
      </w:tr>
      <w:tr>
        <w:tc>
          <w:tcPr>
            <w:tcW w:type="dxa" w:w="850"/>
            <w:shd w:fill="F8FAFC"/>
          </w:tcPr>
          <w:p>
            <w:r>
              <w:rPr>
                <w:rFonts w:ascii="Calibri" w:hAnsi="Calibri"/>
                <w:b/>
                <w:color w:val="263F61"/>
                <w:sz w:val="17"/>
              </w:rPr>
              <w:t>4</w:t>
            </w:r>
          </w:p>
        </w:tc>
        <w:tc>
          <w:tcPr>
            <w:tcW w:type="dxa" w:w="3350"/>
            <w:shd w:fill="F8FAFC"/>
          </w:tcPr>
          <w:p>
            <w:r>
              <w:rPr>
                <w:rFonts w:ascii="Calibri" w:hAnsi="Calibri"/>
                <w:b w:val="0"/>
                <w:color w:val="263F61"/>
                <w:sz w:val="17"/>
              </w:rPr>
              <w:t>04_exploratory_analysis.ipynb</w:t>
            </w:r>
          </w:p>
        </w:tc>
        <w:tc>
          <w:tcPr>
            <w:tcW w:type="dxa" w:w="5160"/>
            <w:shd w:fill="F8FAFC"/>
          </w:tcPr>
          <w:p>
            <w:r>
              <w:rPr>
                <w:rFonts w:ascii="Calibri" w:hAnsi="Calibri"/>
                <w:b w:val="0"/>
                <w:color w:val="263F61"/>
                <w:sz w:val="17"/>
              </w:rPr>
              <w:t>reports/phase_4/eda_report.md</w:t>
            </w:r>
          </w:p>
        </w:tc>
      </w:tr>
      <w:tr>
        <w:tc>
          <w:tcPr>
            <w:tcW w:type="dxa" w:w="850"/>
          </w:tcPr>
          <w:p>
            <w:r>
              <w:rPr>
                <w:rFonts w:ascii="Calibri" w:hAnsi="Calibri"/>
                <w:b/>
                <w:color w:val="263F61"/>
                <w:sz w:val="17"/>
              </w:rPr>
              <w:t>5</w:t>
            </w:r>
          </w:p>
        </w:tc>
        <w:tc>
          <w:tcPr>
            <w:tcW w:type="dxa" w:w="3350"/>
          </w:tcPr>
          <w:p>
            <w:r>
              <w:rPr>
                <w:rFonts w:ascii="Calibri" w:hAnsi="Calibri"/>
                <w:b w:val="0"/>
                <w:color w:val="263F61"/>
                <w:sz w:val="17"/>
              </w:rPr>
              <w:t>05_statistical_analysis.ipynb</w:t>
            </w:r>
          </w:p>
        </w:tc>
        <w:tc>
          <w:tcPr>
            <w:tcW w:type="dxa" w:w="5160"/>
          </w:tcPr>
          <w:p>
            <w:r>
              <w:rPr>
                <w:rFonts w:ascii="Calibri" w:hAnsi="Calibri"/>
                <w:b w:val="0"/>
                <w:color w:val="263F61"/>
                <w:sz w:val="17"/>
              </w:rPr>
              <w:t>reports/phase_5/statistical_analysis_report.md</w:t>
            </w:r>
          </w:p>
        </w:tc>
      </w:tr>
      <w:tr>
        <w:tc>
          <w:tcPr>
            <w:tcW w:type="dxa" w:w="850"/>
            <w:shd w:fill="F8FAFC"/>
          </w:tcPr>
          <w:p>
            <w:r>
              <w:rPr>
                <w:rFonts w:ascii="Calibri" w:hAnsi="Calibri"/>
                <w:b/>
                <w:color w:val="263F61"/>
                <w:sz w:val="17"/>
              </w:rPr>
              <w:t>6</w:t>
            </w:r>
          </w:p>
        </w:tc>
        <w:tc>
          <w:tcPr>
            <w:tcW w:type="dxa" w:w="3350"/>
            <w:shd w:fill="F8FAFC"/>
          </w:tcPr>
          <w:p>
            <w:r>
              <w:rPr>
                <w:rFonts w:ascii="Calibri" w:hAnsi="Calibri"/>
                <w:b w:val="0"/>
                <w:color w:val="263F61"/>
                <w:sz w:val="17"/>
              </w:rPr>
              <w:t>06_feature_engineering.ipynb</w:t>
            </w:r>
          </w:p>
        </w:tc>
        <w:tc>
          <w:tcPr>
            <w:tcW w:type="dxa" w:w="5160"/>
            <w:shd w:fill="F8FAFC"/>
          </w:tcPr>
          <w:p>
            <w:r>
              <w:rPr>
                <w:rFonts w:ascii="Calibri" w:hAnsi="Calibri"/>
                <w:b w:val="0"/>
                <w:color w:val="263F61"/>
                <w:sz w:val="17"/>
              </w:rPr>
              <w:t>reports/phase_6/feature_engineering_report.md</w:t>
            </w:r>
          </w:p>
        </w:tc>
      </w:tr>
      <w:tr>
        <w:tc>
          <w:tcPr>
            <w:tcW w:type="dxa" w:w="850"/>
          </w:tcPr>
          <w:p>
            <w:r>
              <w:rPr>
                <w:rFonts w:ascii="Calibri" w:hAnsi="Calibri"/>
                <w:b/>
                <w:color w:val="263F61"/>
                <w:sz w:val="17"/>
              </w:rPr>
              <w:t>7</w:t>
            </w:r>
          </w:p>
        </w:tc>
        <w:tc>
          <w:tcPr>
            <w:tcW w:type="dxa" w:w="3350"/>
          </w:tcPr>
          <w:p>
            <w:r>
              <w:rPr>
                <w:rFonts w:ascii="Calibri" w:hAnsi="Calibri"/>
                <w:b w:val="0"/>
                <w:color w:val="263F61"/>
                <w:sz w:val="17"/>
              </w:rPr>
              <w:t>07_financial_inclusion_model.ipynb</w:t>
            </w:r>
          </w:p>
        </w:tc>
        <w:tc>
          <w:tcPr>
            <w:tcW w:type="dxa" w:w="5160"/>
          </w:tcPr>
          <w:p>
            <w:r>
              <w:rPr>
                <w:rFonts w:ascii="Calibri" w:hAnsi="Calibri"/>
                <w:b w:val="0"/>
                <w:color w:val="263F61"/>
                <w:sz w:val="17"/>
              </w:rPr>
              <w:t>reports/phase_7/model1_report.md</w:t>
            </w:r>
          </w:p>
        </w:tc>
      </w:tr>
      <w:tr>
        <w:tc>
          <w:tcPr>
            <w:tcW w:type="dxa" w:w="850"/>
            <w:shd w:fill="F8FAFC"/>
          </w:tcPr>
          <w:p>
            <w:r>
              <w:rPr>
                <w:rFonts w:ascii="Calibri" w:hAnsi="Calibri"/>
                <w:b/>
                <w:color w:val="263F61"/>
                <w:sz w:val="17"/>
              </w:rPr>
              <w:t>8</w:t>
            </w:r>
          </w:p>
        </w:tc>
        <w:tc>
          <w:tcPr>
            <w:tcW w:type="dxa" w:w="3350"/>
            <w:shd w:fill="F8FAFC"/>
          </w:tcPr>
          <w:p>
            <w:r>
              <w:rPr>
                <w:rFonts w:ascii="Calibri" w:hAnsi="Calibri"/>
                <w:b w:val="0"/>
                <w:color w:val="263F61"/>
                <w:sz w:val="17"/>
              </w:rPr>
              <w:t>08_mobile_money_model.ipynb</w:t>
            </w:r>
          </w:p>
        </w:tc>
        <w:tc>
          <w:tcPr>
            <w:tcW w:type="dxa" w:w="5160"/>
            <w:shd w:fill="F8FAFC"/>
          </w:tcPr>
          <w:p>
            <w:r>
              <w:rPr>
                <w:rFonts w:ascii="Calibri" w:hAnsi="Calibri"/>
                <w:b w:val="0"/>
                <w:color w:val="263F61"/>
                <w:sz w:val="17"/>
              </w:rPr>
              <w:t>reports/phase_8/model2_report.md</w:t>
            </w:r>
          </w:p>
        </w:tc>
      </w:tr>
      <w:tr>
        <w:tc>
          <w:tcPr>
            <w:tcW w:type="dxa" w:w="850"/>
          </w:tcPr>
          <w:p>
            <w:r>
              <w:rPr>
                <w:rFonts w:ascii="Calibri" w:hAnsi="Calibri"/>
                <w:b/>
                <w:color w:val="263F61"/>
                <w:sz w:val="17"/>
              </w:rPr>
              <w:t>9</w:t>
            </w:r>
          </w:p>
        </w:tc>
        <w:tc>
          <w:tcPr>
            <w:tcW w:type="dxa" w:w="3350"/>
          </w:tcPr>
          <w:p>
            <w:r>
              <w:rPr>
                <w:rFonts w:ascii="Calibri" w:hAnsi="Calibri"/>
                <w:b w:val="0"/>
                <w:color w:val="263F61"/>
                <w:sz w:val="17"/>
              </w:rPr>
              <w:t>09_model_explainability.ipynb</w:t>
            </w:r>
          </w:p>
        </w:tc>
        <w:tc>
          <w:tcPr>
            <w:tcW w:type="dxa" w:w="5160"/>
          </w:tcPr>
          <w:p>
            <w:r>
              <w:rPr>
                <w:rFonts w:ascii="Calibri" w:hAnsi="Calibri"/>
                <w:b w:val="0"/>
                <w:color w:val="263F61"/>
                <w:sz w:val="17"/>
              </w:rPr>
              <w:t>reports/phase_9/explainability_report.md</w:t>
            </w:r>
          </w:p>
        </w:tc>
      </w:tr>
      <w:tr>
        <w:tc>
          <w:tcPr>
            <w:tcW w:type="dxa" w:w="850"/>
            <w:shd w:fill="F8FAFC"/>
          </w:tcPr>
          <w:p>
            <w:r>
              <w:rPr>
                <w:rFonts w:ascii="Calibri" w:hAnsi="Calibri"/>
                <w:b/>
                <w:color w:val="263F61"/>
                <w:sz w:val="17"/>
              </w:rPr>
              <w:t>10</w:t>
            </w:r>
          </w:p>
        </w:tc>
        <w:tc>
          <w:tcPr>
            <w:tcW w:type="dxa" w:w="3350"/>
            <w:shd w:fill="F8FAFC"/>
          </w:tcPr>
          <w:p>
            <w:r>
              <w:rPr>
                <w:rFonts w:ascii="Calibri" w:hAnsi="Calibri"/>
                <w:b w:val="0"/>
                <w:color w:val="263F61"/>
                <w:sz w:val="17"/>
              </w:rPr>
              <w:t>10_prediction_api.ipynb</w:t>
            </w:r>
          </w:p>
        </w:tc>
        <w:tc>
          <w:tcPr>
            <w:tcW w:type="dxa" w:w="5160"/>
            <w:shd w:fill="F8FAFC"/>
          </w:tcPr>
          <w:p>
            <w:r>
              <w:rPr>
                <w:rFonts w:ascii="Calibri" w:hAnsi="Calibri"/>
                <w:b w:val="0"/>
                <w:color w:val="263F61"/>
                <w:sz w:val="17"/>
              </w:rPr>
              <w:t>reports/phase_10/api_report.md</w:t>
            </w:r>
          </w:p>
        </w:tc>
      </w:tr>
      <w:tr>
        <w:tc>
          <w:tcPr>
            <w:tcW w:type="dxa" w:w="850"/>
          </w:tcPr>
          <w:p>
            <w:r>
              <w:rPr>
                <w:rFonts w:ascii="Calibri" w:hAnsi="Calibri"/>
                <w:b/>
                <w:color w:val="263F61"/>
                <w:sz w:val="17"/>
              </w:rPr>
              <w:t>11</w:t>
            </w:r>
          </w:p>
        </w:tc>
        <w:tc>
          <w:tcPr>
            <w:tcW w:type="dxa" w:w="3350"/>
          </w:tcPr>
          <w:p>
            <w:r>
              <w:rPr>
                <w:rFonts w:ascii="Calibri" w:hAnsi="Calibri"/>
                <w:b w:val="0"/>
                <w:color w:val="263F61"/>
                <w:sz w:val="17"/>
              </w:rPr>
              <w:t>11_web_application.ipynb</w:t>
            </w:r>
          </w:p>
        </w:tc>
        <w:tc>
          <w:tcPr>
            <w:tcW w:type="dxa" w:w="5160"/>
          </w:tcPr>
          <w:p>
            <w:r>
              <w:rPr>
                <w:rFonts w:ascii="Calibri" w:hAnsi="Calibri"/>
                <w:b w:val="0"/>
                <w:color w:val="263F61"/>
                <w:sz w:val="17"/>
              </w:rPr>
              <w:t>reports/phase_11/web_application_report.md</w:t>
            </w:r>
          </w:p>
        </w:tc>
      </w:tr>
    </w:tbl>
    <w:p>
      <w:pPr>
        <w:pStyle w:val="Heading1"/>
      </w:pPr>
      <w:r>
        <w:t>Source note</w:t>
      </w:r>
    </w:p>
    <w:p>
      <w:pPr>
        <w:spacing w:after="120"/>
      </w:pPr>
      <w:r>
        <w:rPr>
          <w:rFonts w:ascii="Calibri" w:hAnsi="Calibri"/>
          <w:i w:val="0"/>
          <w:color w:val="263F61"/>
        </w:rPr>
        <w:t>Dataset reference: World Bank Global Findex, Eswatini reference SWZ_2024_FINDEX_v02_M. DOI: https://doi.org/10.48529/5rsc-p773. Microdata catalog: https://microdata.worldbank.org/catalog/7900.</w:t>
      </w:r>
    </w:p>
    <w:p>
      <w:pPr>
        <w:spacing w:after="120"/>
      </w:pPr>
      <w:r>
        <w:rPr>
          <w:rFonts w:ascii="Calibri" w:hAnsi="Calibri"/>
          <w:i w:val="0"/>
          <w:color w:val="263F61"/>
        </w:rPr>
        <w:t>The 2024 survey year and the Global Findex 2025 publication/database edition are both retained in project documentation to avoid misrepresenting the source.</w:t>
      </w:r>
    </w:p>
    <w:tbl>
      <w:tblPr>
        <w:tblW w:type="dxa" w:w="9360"/>
        <w:jc w:val="left"/>
        <w:tblLayout w:type="fixed"/>
        <w:tblLook w:firstColumn="1" w:firstRow="1" w:lastColumn="0" w:lastRow="0" w:noHBand="0" w:noVBand="1" w:val="04A0"/>
        <w:tblInd w:w="120" w:type="dxa"/>
        <w:tblBorders>
          <w:top w:val="single" w:sz="8" w:color="2E9E92"/>
          <w:left w:val="single" w:sz="8" w:color="2E9E92"/>
          <w:bottom w:val="single" w:sz="8" w:color="2E9E92"/>
          <w:right w:val="single" w:sz="8" w:color="2E9E92"/>
          <w:insideH w:val="single" w:sz="8" w:color="2E9E92"/>
          <w:insideV w:val="single" w:sz="8" w:color="2E9E92"/>
        </w:tblBorders>
      </w:tblPr>
      <w:tblGrid>
        <w:gridCol w:w="9360"/>
      </w:tblGrid>
      <w:tr>
        <w:trPr>
          <w:cantSplit/>
        </w:trPr>
        <w:tc>
          <w:tcPr>
            <w:tcW w:type="dxa" w:w="9360"/>
            <w:tcMar>
              <w:top w:w="80" w:type="dxa"/>
              <w:start w:w="120" w:type="dxa"/>
              <w:bottom w:w="80" w:type="dxa"/>
              <w:end w:w="120" w:type="dxa"/>
            </w:tcMar>
            <w:vAlign w:val="center"/>
            <w:shd w:fill="E5F4F2"/>
          </w:tcPr>
          <w:p>
            <w:pPr>
              <w:spacing w:after="60"/>
            </w:pPr>
            <w:r>
              <w:rPr>
                <w:rFonts w:ascii="Calibri" w:hAnsi="Calibri"/>
                <w:b/>
                <w:color w:val="2E9E92"/>
                <w:sz w:val="17"/>
              </w:rPr>
              <w:t>DOCUMENT STATUS</w:t>
            </w:r>
          </w:p>
          <w:p>
            <w:pPr>
              <w:spacing w:after="0" w:line="259" w:lineRule="auto"/>
            </w:pPr>
            <w:r>
              <w:rPr>
                <w:rFonts w:ascii="Calibri" w:hAnsi="Calibri"/>
                <w:color w:val="263F61"/>
                <w:sz w:val="21"/>
              </w:rPr>
              <w:t>This report documents the repository state after completion and validation of Phase 11 on 11 August 2026.</w:t>
            </w:r>
          </w:p>
        </w:tc>
      </w:tr>
    </w:tbl>
    <w:p>
      <w:pPr>
        <w:spacing w:after="40"/>
      </w:pP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Pr>
    <w:tblGrid>
      <w:gridCol w:w="6500"/>
      <w:gridCol w:w="2860"/>
    </w:tblGrid>
    <w:tr>
      <w:trPr>
        <w:cantSplit/>
      </w:trPr>
      <w:tc>
        <w:tcPr>
          <w:tcW w:type="dxa" w:w="6500"/>
          <w:tcMar>
            <w:top w:w="80" w:type="dxa"/>
            <w:start w:w="120" w:type="dxa"/>
            <w:bottom w:w="80" w:type="dxa"/>
            <w:end w:w="120" w:type="dxa"/>
          </w:tcMar>
          <w:vAlign w:val="center"/>
        </w:tcPr>
        <w:p>
          <w:pPr>
            <w:jc w:val="left"/>
          </w:pPr>
          <w:r>
            <w:rPr>
              <w:rFonts w:ascii="Calibri" w:hAnsi="Calibri"/>
              <w:color w:val="697B91"/>
              <w:sz w:val="17"/>
            </w:rPr>
            <w:t>Developed by Thando F. Dlamini</w:t>
          </w:r>
        </w:p>
      </w:tc>
      <w:tc>
        <w:tcPr>
          <w:tcW w:type="dxa" w:w="2860"/>
          <w:tcMar>
            <w:top w:w="80" w:type="dxa"/>
            <w:start w:w="120" w:type="dxa"/>
            <w:bottom w:w="80" w:type="dxa"/>
            <w:end w:w="120" w:type="dxa"/>
          </w:tcMar>
          <w:vAlign w:val="center"/>
        </w:tcPr>
        <w:p>
          <w:pPr>
            <w:jc w:val="right"/>
          </w:pPr>
          <w:r>
            <w:rPr>
              <w:rFonts w:ascii="Calibri" w:hAnsi="Calibri"/>
              <w:color w:val="697B91"/>
              <w:sz w:val="17"/>
            </w:rPr>
            <w:t xml:space="preserve">Page </w:t>
          </w:r>
          <w:r>
            <w:rPr>
              <w:rFonts w:ascii="Calibri" w:hAnsi="Calibri"/>
              <w:color w:val="697B91"/>
              <w:sz w:val="18"/>
            </w:rPr>
            <w:fldChar w:fldCharType="begin"/>
            <w:instrText xml:space="preserve"> PAGE </w:instrText>
            <w:fldChar w:fldCharType="separate"/>
            <w:t>1</w:t>
            <w:fldChar w:fldCharType="end"/>
          </w:r>
          <w:r>
            <w:rPr>
              <w:rFonts w:ascii="Calibri" w:hAnsi="Calibri"/>
              <w:color w:val="697B91"/>
              <w:sz w:val="17"/>
            </w:rPr>
            <w:t xml:space="preserve"> of </w:t>
          </w:r>
          <w:r>
            <w:rPr>
              <w:rFonts w:ascii="Calibri" w:hAnsi="Calibri"/>
              <w:color w:val="697B91"/>
              <w:sz w:val="18"/>
            </w:rPr>
            <w:fldChar w:fldCharType="begin"/>
            <w:instrText xml:space="preserve"> NUMPAGES </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97B91"/>
        <w:sz w:val="18"/>
      </w:rPr>
      <w:t>Developed by Thando F. Dlamini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4" w:color="D9E3F0"/>
      </w:pBdr>
    </w:pPr>
    <w:r>
      <w:rPr>
        <w:rFonts w:ascii="Calibri" w:hAnsi="Calibri"/>
        <w:b/>
        <w:color w:val="697B91"/>
        <w:sz w:val="17"/>
      </w:rPr>
      <w:t>FINACCESS ESWATINI   |   PHASE 1-11 IMPLEMENTATION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63F6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386BD1"/>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386BD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94A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Calibri" w:hAnsi="Calibri"/>
      <w:color w:val="263F61"/>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ind w:left="720" w:hanging="360"/>
      <w:contextualSpacing/>
    </w:pPr>
    <w:rPr>
      <w:rFonts w:ascii="Calibri" w:hAnsi="Calibri"/>
      <w:color w:val="263F61"/>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FinAccess Eswatini - Phase 1-11 Implementation Report</dc:title>
  <dc:subject>Completed tasks, technical rationale, validation evidence, and project status</dc:subject>
  <dc:creator>Thando F. Dlamini</dc:creator>
  <cp:keywords>FinAccess Eswatini, financial inclusion, mobile money, machine learning, explainability</cp:keywords>
  <dc:description>Professional project documentation generated from validated Phase 1-11 repository artifacts.</dc:description>
  <cp:lastModifiedBy/>
  <cp:revision>1</cp:revision>
  <dcterms:created xsi:type="dcterms:W3CDTF">2013-12-23T23:15:00Z</dcterms:created>
  <dcterms:modified xsi:type="dcterms:W3CDTF">2013-12-23T23:15:00Z</dcterms:modified>
  <cp:category/>
</cp:coreProperties>
</file>