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spacing w:after="80"/>
      </w:pPr>
      <w:r/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FA26SE032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Sales Collaborator and Affiliate Network Management System (SCANMS)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Nguyễn Thành Thắng (Leader), Nguyễn Đình Tuấn, Nguyễn Phú Quý, Phan Xuân Thịnh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ThS. Tôn Thất Hoàng Minh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Antigravity IDE – Gemini 3.8 Flash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29/10/2026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review-2 (commit e5e1d87)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Version 2.0 (Review 2 Proposed Final Scope)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2.0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29/10/2026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p>
      <w:pPr>
        <w:spacing w:after="80"/>
      </w:pPr>
      <w:r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p>
      <w:pPr>
        <w:spacing w:after="80"/>
      </w:pPr>
      <w:r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063"/>
        <w:gridCol w:w="1329"/>
        <w:gridCol w:w="2326"/>
        <w:gridCol w:w="930"/>
        <w:gridCol w:w="1329"/>
        <w:gridCol w:w="1997"/>
      </w:tblGrid>
      <w:tr>
        <w:trPr>
          <w:tblHeader/>
        </w:trP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 response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SR-01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Scope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Registration vs Code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External shipping courier fleet and direct fiat interbank gateway out of scope in source code; handled via GHN Sandbox API and PayOS gateway.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Low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ghn.service.ts, payos-payment.service.ts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Kept – Architectural design decision to leverage industry standard API gateways rather than maintaining physical vehicles or banking server licenses.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SR-02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Scope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SRS FR-30 / FR-31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AI Creator Recommendation and Traffic Fraud Detection rely on heuristic scoring models with LLM fallback rather than on-premise deep neural networks.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ai-recommendation.service.ts, ai-fraud.service.ts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Heuristic scoring rules with statistical thresholds fully implemented and verified in CI; OpenAI adapter provides dynamic fallbacks.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SR-03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Requirements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SRS FR-14 (Rate Limiting)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Distributed Redis rate limiting specified without explicit quantitative threshold and local memory degradation behavior upon Redis cluster outage.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cache.service.ts, env.validation.spec.ts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Implemented 100 req/min sliding window rate limit with in-memory LRU fallback under Redis outage; 3 unit safety tests passing.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SR-04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Requirements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SRS FR-16 (Checkout)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Checkout feature initially lacked explicit authenticated identity rule, risking untracked financial transactions from anonymous guests.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checkout.service.ts, customer-identity.service.ts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Enforced strict authentication guard on purchase while preserving cart in local storage during login modal; 0-loss checkout verified.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SR-05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Data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4 Logical ERD vs Prisma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Join table LiveSessionProductPin with dynamic flash discount rate not explicitly drawn as an independent entity in early Conceptual ERD.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schema.prisma:model LiveSessionProductPin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Logical and Physical ERDs updated with 35 normalized tables including LiveSessionProductPin and FinancialAuditLog.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SR-06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Data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4 ERD vs DB Script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CouponUsageHistory entity attributes discountAmount and orderId in DB script not shown in early high-level class diagrams.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Low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schema.prisma:model CouponUsageHistory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Detailed UML Class Diagrams updated in Part 2 specification with all FKs and auditing fields.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SR-07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States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5 State Machine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OrderStatus state machine in early SDD omitted PENDING_PAYMENT distinct from PROCESSING, risking premature inventory locks.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schema.prisma:enum OrderStatus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Added PENDING_PAYMENT state with PayOS payment webhook handler and 15-minute expiration worker.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SR-08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States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5 State Machine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SampleRequestStatus lacked DISPUTED and EXPIRED states when creator violates 14-day review content delivery SLA.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schema.prisma:enum SampleRequestStatus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Added DISPUTED and EXPIRED states with System Manager arbitration escalation and creator quota throttling.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SR-09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Flows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6 Activity Diagrams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Multi-store checkout atomic rollback when one store item has insufficient stock lacked dedicated automated unit test verification.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orders.service.spec.ts, checkout.service.spec.ts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Created comprehensive test simulating multi-store stock exhaustion and asserting full transaction rollback (commit c7e21a).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SR-10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Architecture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3 System Architecture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Dual-layer caching architecture (Redis + local RAM fallback) in code was depicted as a single remote cache box in architecture overview.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cache.service.ts, SCANMS_OVERVIEW_ARCHITECTURE.png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Updated architectural documentation with operational fallback runbook and memory degradation alerts.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SR-11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Design vs Code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7 Commission Engine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Early formula linearly summed deal bonus and campaign bonus which exceeded merchant safety margins and caused potential negative profit.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commission-calculator.service.ts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Refactored engine to Rate = min(25%, Base + Tier + max(Deal, Campaign) + Live); validated across 28 unit tests.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SR-12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Design vs Code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7 Voucher Engine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Cart checkout initially applied coupon globally across entire cart without merchant store scoping, eroding merchant margins.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coupons.service.ts, checkout.service.ts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Implemented 3-tier coupon hierarchy with couponsByStore[storeId] isolation and pre-checkout margin protection check.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SR-13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States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5 Escrow Lifecycle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Payout request lacked strict 14-day post-delivery quarantine state machine matching customer 14-day return SLA, risking creator overdraft on returns.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wallets.service.ts, commissions.service.ts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Commission movements held in ESCROW ledger; released automatically after 14-day return SLA + holiday offset, with clawback on return.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SR-14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Architecture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SDD Section 3 Real-time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Livestream deal notification required bi-directional streaming events not documented in initial REST API specification.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live-sessions.gateway.ts, chat.gateway.ts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Documented Socket.IO WebSocket gateway events (deal_pinned, voucher_dropped, rate_updated) in API spec.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SR-15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Requirements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SRS NFR-02 (Security)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Initial password hashing specification did not specify Argon2id parameters (memory cost, iterations, parallelism).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5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auth.service.ts, auth-otp.spec.ts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5"/>
              </w:rPr>
              <w:t>Fixed – Hardened Argon2id parameters with &gt;= 64MB memory cost, 3 iterations, and parallelism 1 in production config.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927"/>
        <w:gridCol w:w="6748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 ID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Finding ID SR-11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Commission Additive Rule Overlap — Prevented merchant insolvency by enforcing Rate = min(25%, Base + Tier + max(Deal, Campaign) + Live) with platform-funded tier bonus.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Finding ID SR-04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Strict Authenticated Checkout — Guaranteed legal accountability and audit compliance by enforcing authenticated login on purchase with zero-loss cart preservation.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Finding ID SR-12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3-Tier Multi-Store Voucher Isolation — Enforced merchant-scoped coupon application (couponsByStore) and margin validation to prevent cross-merchant subsidy.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Finding ID SR-13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14-Day Adaptive Escrow Commission Holding Ledger — Protected merchant funds with 14-day post-delivery quarantine matching return SLA and automated clawback upon return/refund disputes.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Finding ID SR-03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Distributed Redis Rate Limiting &amp; High-Availability Fallback — Protected tracking links against click-spamming with 100 req/min sliding window and local LRU fallback.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1752"/>
        <w:gridCol w:w="1752"/>
        <w:gridCol w:w="1754"/>
      </w:tblGrid>
      <w:tr>
        <w:trPr>
          <w:tblHeader/>
        </w:trP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Fixed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Kept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High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7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7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0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0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Medium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6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6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0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0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Low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2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0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15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14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0</w:t>
            </w:r>
          </w:p>
        </w:tc>
      </w:tr>
    </w:tbl>
    <w:p>
      <w:pPr>
        <w:spacing w:after="80"/>
      </w:pPr>
      <w:r/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BM02 Self-Review Report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