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u"/>
      </w:pPr>
      <w:r>
        <w:t>Hướng dẫn kiểm thử Main Flow 5</w:t>
      </w:r>
    </w:p>
    <w:p>
      <w:r>
        <w:t>SCANMS • Thao tác trên website • Bước 5.1 đến 5.6</w:t>
      </w:r>
    </w:p>
    <w:p>
      <w:r>
        <w:t>Tài liệu hướng dẫn kiểm tra giải tỏa hoa hồng Escrow, thưởng doanh số FR-09, cấp bậc, yêu cầu rút tiền, khấu trừ thuế, duyệt chi trả và báo cáo kiểm toán. Thực hiện bằng các tài khoản sàn đã có; ghi kết quả thực tế sau mỗi bước.</w:t>
      </w:r>
    </w:p>
    <w:p>
      <w:pPr>
        <w:pStyle w:val="u2"/>
      </w:pPr>
      <w:r>
        <w:t>Tài khoản sử dụng</w:t>
      </w:r>
    </w:p>
    <w:tbl>
      <w:tblPr>
        <w:tblW w:type="auto" w:w="0"/>
        <w:tblLook w:firstColumn="1" w:firstRow="1" w:lastColumn="0" w:lastRow="0" w:noHBand="0" w:noVBand="1" w:val="04A0"/>
      </w:tblPr>
      <w:tblGrid>
        <w:gridCol w:w="4876"/>
        <w:gridCol w:w="4876"/>
      </w:tblGrid>
      <w:tr>
        <w:trPr>
          <w:cantSplit/>
          <w:tblHeader/>
        </w:trPr>
        <w:tc>
          <w:tcPr>
            <w:tcW w:type="dxa" w:w="4876"/>
            <w:shd w:fill="F3EFE6"/>
          </w:tcPr>
          <w:p>
            <w:pPr>
              <w:spacing w:after="100" w:before="100"/>
            </w:pPr>
            <w:r>
              <w:rPr>
                <w:b/>
                <w:sz w:val="19"/>
              </w:rPr>
              <w:t>Tài khoản</w:t>
            </w:r>
          </w:p>
        </w:tc>
        <w:tc>
          <w:tcPr>
            <w:tcW w:type="dxa" w:w="4876"/>
            <w:shd w:fill="F3EFE6"/>
          </w:tcPr>
          <w:p>
            <w:pPr>
              <w:spacing w:after="100" w:before="100"/>
            </w:pPr>
            <w:r>
              <w:rPr>
                <w:b/>
                <w:sz w:val="19"/>
              </w:rPr>
              <w:t>Vai trò và công việc</w:t>
            </w:r>
          </w:p>
        </w:tc>
      </w:tr>
      <w:tr>
        <w:trPr>
          <w:cantSplit/>
        </w:trPr>
        <w:tc>
          <w:tcPr>
            <w:tcW w:type="dxa" w:w="4876"/>
          </w:tcPr>
          <w:p>
            <w:pPr>
              <w:spacing w:after="100" w:before="100"/>
            </w:pPr>
            <w:r>
              <w:rPr>
                <w:b w:val="0"/>
                <w:sz w:val="19"/>
              </w:rPr>
              <w:t>customer.an@scanms.vn</w:t>
            </w:r>
          </w:p>
        </w:tc>
        <w:tc>
          <w:tcPr>
            <w:tcW w:type="dxa" w:w="4876"/>
          </w:tcPr>
          <w:p>
            <w:pPr>
              <w:spacing w:after="100" w:before="100"/>
            </w:pPr>
            <w:r>
              <w:rPr>
                <w:b w:val="0"/>
                <w:sz w:val="19"/>
              </w:rPr>
              <w:t>Customer đặt hàng và yêu cầu đổi trả</w:t>
            </w:r>
          </w:p>
        </w:tc>
      </w:tr>
      <w:tr>
        <w:trPr>
          <w:cantSplit/>
        </w:trPr>
        <w:tc>
          <w:tcPr>
            <w:tcW w:type="dxa" w:w="4876"/>
          </w:tcPr>
          <w:p>
            <w:pPr>
              <w:spacing w:after="100" w:before="100"/>
            </w:pPr>
            <w:r>
              <w:rPr>
                <w:b w:val="0"/>
                <w:sz w:val="19"/>
              </w:rPr>
              <w:t>kol.bronze@scanms.vn</w:t>
            </w:r>
          </w:p>
        </w:tc>
        <w:tc>
          <w:tcPr>
            <w:tcW w:type="dxa" w:w="4876"/>
          </w:tcPr>
          <w:p>
            <w:pPr>
              <w:spacing w:after="100" w:before="100"/>
            </w:pPr>
            <w:r>
              <w:rPr>
                <w:b w:val="0"/>
                <w:sz w:val="19"/>
              </w:rPr>
              <w:t>KOC Lê Hoàng Yến Nhi theo dõi hoa hồng và rút tiền</w:t>
            </w:r>
          </w:p>
        </w:tc>
      </w:tr>
      <w:tr>
        <w:trPr>
          <w:cantSplit/>
        </w:trPr>
        <w:tc>
          <w:tcPr>
            <w:tcW w:type="dxa" w:w="4876"/>
          </w:tcPr>
          <w:p>
            <w:pPr>
              <w:spacing w:after="100" w:before="100"/>
            </w:pPr>
            <w:r>
              <w:rPr>
                <w:b w:val="0"/>
                <w:sz w:val="19"/>
              </w:rPr>
              <w:t>manager.sora@scanms.vn</w:t>
            </w:r>
          </w:p>
        </w:tc>
        <w:tc>
          <w:tcPr>
            <w:tcW w:type="dxa" w:w="4876"/>
          </w:tcPr>
          <w:p>
            <w:pPr>
              <w:spacing w:after="100" w:before="100"/>
            </w:pPr>
            <w:r>
              <w:rPr>
                <w:b w:val="0"/>
                <w:sz w:val="19"/>
              </w:rPr>
              <w:t>Shop Sora cấu hình và chốt thưởng tháng</w:t>
            </w:r>
          </w:p>
        </w:tc>
      </w:tr>
      <w:tr>
        <w:trPr>
          <w:cantSplit/>
        </w:trPr>
        <w:tc>
          <w:tcPr>
            <w:tcW w:type="dxa" w:w="4876"/>
          </w:tcPr>
          <w:p>
            <w:pPr>
              <w:spacing w:after="100" w:before="100"/>
            </w:pPr>
            <w:r>
              <w:rPr>
                <w:b w:val="0"/>
                <w:sz w:val="19"/>
              </w:rPr>
              <w:t>manager@scanms.vn</w:t>
            </w:r>
          </w:p>
        </w:tc>
        <w:tc>
          <w:tcPr>
            <w:tcW w:type="dxa" w:w="4876"/>
          </w:tcPr>
          <w:p>
            <w:pPr>
              <w:spacing w:after="100" w:before="100"/>
            </w:pPr>
            <w:r>
              <w:rPr>
                <w:b w:val="0"/>
                <w:sz w:val="19"/>
              </w:rPr>
              <w:t>System Manager theo dõi Escrow và duyệt chi trả</w:t>
            </w:r>
          </w:p>
        </w:tc>
      </w:tr>
      <w:tr>
        <w:trPr>
          <w:cantSplit/>
        </w:trPr>
        <w:tc>
          <w:tcPr>
            <w:tcW w:type="dxa" w:w="4876"/>
          </w:tcPr>
          <w:p>
            <w:pPr>
              <w:spacing w:after="100" w:before="100"/>
            </w:pPr>
            <w:r>
              <w:rPr>
                <w:b w:val="0"/>
                <w:sz w:val="19"/>
              </w:rPr>
              <w:t>admin@scanms.vn</w:t>
            </w:r>
          </w:p>
        </w:tc>
        <w:tc>
          <w:tcPr>
            <w:tcW w:type="dxa" w:w="4876"/>
          </w:tcPr>
          <w:p>
            <w:pPr>
              <w:spacing w:after="100" w:before="100"/>
            </w:pPr>
            <w:r>
              <w:rPr>
                <w:b w:val="0"/>
                <w:sz w:val="19"/>
              </w:rPr>
              <w:t>System Admin xem tài chính và nhật ký kiểm toán</w:t>
            </w:r>
          </w:p>
        </w:tc>
      </w:tr>
    </w:tbl>
    <w:p/>
    <w:p>
      <w:pPr>
        <w:pStyle w:val="u2"/>
      </w:pPr>
      <w:r>
        <w:t>Chuẩn bị trước khi kiểm thử</w:t>
      </w:r>
    </w:p>
    <w:p>
      <w:r>
        <w:t>1. Mở từng tài khoản trong profile trình duyệt riêng để tránh ghi đè phiên đăng nhập. Website sử dụng http://localhost:5173.</w:t>
      </w:r>
    </w:p>
    <w:p>
      <w:r>
        <w:t>2. KOC mở /collaborator/wallet. Ghi số dư khả dụng và tạm giữ; tab Hồ sơ KYC phải có trạng thái Đã xác thực. Kiểm tra ngân hàng thụ hưởng đúng hồ sơ đã duyệt.</w:t>
      </w:r>
    </w:p>
    <w:p>
      <w:r>
        <w:t>3. Trong ví KOC, chọn Gian hàng đối tác. Sora Skincare &amp; Cosmetics phải hiển thị Đã duyệt hợp tác. Shop kiểm tra sản phẩm đã duyệt và còn tồn kho.</w:t>
      </w:r>
    </w:p>
    <w:p>
      <w:r>
        <w:t>4. Không dùng tiền nạp Demo của ví mua sắm làm thu nhập KOC được rút. Ghi riêng mã đơn, mã quyết toán và mã payout để đối chiếu.</w:t>
      </w:r>
    </w:p>
    <w:p>
      <w:pPr>
        <w:pStyle w:val="u2"/>
      </w:pPr>
      <w:r>
        <w:t>Cách ghi nhận</w:t>
      </w:r>
    </w:p>
    <w:p>
      <w:r>
        <w:t>PASS: kết quả thực tế khớp yêu cầu. FAIL: kết quả sai hoặc thao tác lỗi. BLOCKED: thiếu dữ liệu đủ điều kiện hoặc dịch vụ ngoài chưa được cấp. Hướng dẫn này là kịch bản kiểm thử, không phải biên bản xác nhận đã chạy đạt.</w:t>
      </w:r>
    </w:p>
    <w:p>
      <w:r>
        <w:br w:type="page"/>
      </w:r>
    </w:p>
    <w:p>
      <w:pPr>
        <w:pStyle w:val="u1"/>
      </w:pPr>
      <w:r>
        <w:t>5.1 Giải tỏa hoa hồng Escrow</w:t>
      </w:r>
    </w:p>
    <w:p>
      <w:r>
        <w:t>Mục tiêu: hoa hồng PENDING tự chuyển sang số dư khả dụng sau 7 ngày lịch từ giao thành công, khi không có khiếu nại, đổi trả hoặc yêu cầu thẩm định đang mở.</w:t>
      </w:r>
    </w:p>
    <w:p>
      <w:pPr>
        <w:pStyle w:val="u2"/>
      </w:pPr>
      <w:r>
        <w:t>Mở màn hình và chọn khoản kiểm tra</w:t>
      </w:r>
    </w:p>
    <w:p>
      <w:r>
        <w:t>1. Đăng nhập manager@scanms.vn → Quản trị chi trả → chọn Bảo chứng Escrow · 7 ngày. Đường dẫn: http://localhost:5173/admin/finance/payouts.</w:t>
      </w:r>
    </w:p>
    <w:p>
      <w:r>
        <w:t>2. Tìm đơn của KOC kol.bronze@scanms.vn, ghi tiền tạm giữ X, thời điểm dự kiến giải tỏa và tình trạng đổi trả.</w:t>
      </w:r>
    </w:p>
    <w:p>
      <w:r>
        <w:t>3. Ở profile KOC, mở http://localhost:5173/collaborator/wallet → Ví &amp; rút tiền. Ghi số dư trước khi đến hạn: khả dụng A và tạm giữ P.</w:t>
      </w:r>
    </w:p>
    <w:p>
      <w:r>
        <w:t>4. Đợi qua thời điểm giải tỏa, chờ thêm khoảng 1–2 phút để scheduler xử lý; tải lại ví KOC và tab Escrow. Backend và scheduler phải đang chạy.</w:t>
      </w:r>
    </w:p>
    <w:p>
      <w:r>
        <w:t>5. Đối chiếu: khả dụng mới = A + X; tạm giữ mới = P − X. Khoản đã giải tỏa không còn nằm trong danh sách PENDING.</w:t>
      </w:r>
    </w:p>
    <w:p>
      <w:r>
        <w:t>6. Tải lại lần nữa, kiểm tra lịch sử của cùng mã đơn: tiền chỉ được giải tỏa một lần. Không cần bấm duyệt payout để giải tỏa Escrow.</w:t>
      </w:r>
    </w:p>
    <w:p>
      <w:pPr>
        <w:pStyle w:val="u2"/>
      </w:pPr>
      <w:r>
        <w:t>Hai đơn kiểm thử đã chuẩn bị trước đó</w:t>
      </w:r>
    </w:p>
    <w:tbl>
      <w:tblPr>
        <w:tblW w:type="auto" w:w="0"/>
        <w:tblLook w:firstColumn="1" w:firstRow="1" w:lastColumn="0" w:lastRow="0" w:noHBand="0" w:noVBand="1" w:val="04A0"/>
      </w:tblPr>
      <w:tblGrid>
        <w:gridCol w:w="3251"/>
        <w:gridCol w:w="3251"/>
        <w:gridCol w:w="3251"/>
      </w:tblGrid>
      <w:tr>
        <w:trPr>
          <w:cantSplit/>
          <w:tblHeader/>
        </w:trPr>
        <w:tc>
          <w:tcPr>
            <w:tcW w:type="dxa" w:w="3251"/>
            <w:shd w:fill="F3EFE6"/>
          </w:tcPr>
          <w:p>
            <w:pPr>
              <w:spacing w:after="100" w:before="100"/>
            </w:pPr>
            <w:r>
              <w:rPr>
                <w:b/>
                <w:sz w:val="19"/>
              </w:rPr>
              <w:t>Mã đơn</w:t>
            </w:r>
          </w:p>
        </w:tc>
        <w:tc>
          <w:tcPr>
            <w:tcW w:type="dxa" w:w="3251"/>
            <w:shd w:fill="F3EFE6"/>
          </w:tcPr>
          <w:p>
            <w:pPr>
              <w:spacing w:after="100" w:before="100"/>
            </w:pPr>
            <w:r>
              <w:rPr>
                <w:b/>
                <w:sz w:val="19"/>
              </w:rPr>
              <w:t>Hoa hồng</w:t>
            </w:r>
          </w:p>
        </w:tc>
        <w:tc>
          <w:tcPr>
            <w:tcW w:type="dxa" w:w="3251"/>
            <w:shd w:fill="F3EFE6"/>
          </w:tcPr>
          <w:p>
            <w:pPr>
              <w:spacing w:after="100" w:before="100"/>
            </w:pPr>
            <w:r>
              <w:rPr>
                <w:b/>
                <w:sz w:val="19"/>
              </w:rPr>
              <w:t>Dự kiến giải tỏa giờ Việt Nam</w:t>
            </w:r>
          </w:p>
        </w:tc>
      </w:tr>
      <w:tr>
        <w:trPr>
          <w:cantSplit/>
        </w:trPr>
        <w:tc>
          <w:tcPr>
            <w:tcW w:type="dxa" w:w="3251"/>
          </w:tcPr>
          <w:p>
            <w:pPr>
              <w:spacing w:after="100" w:before="100"/>
            </w:pPr>
            <w:r>
              <w:rPr>
                <w:b w:val="0"/>
                <w:sz w:val="19"/>
              </w:rPr>
              <w:t>DH-2026-4EEB3F8E</w:t>
            </w:r>
          </w:p>
        </w:tc>
        <w:tc>
          <w:tcPr>
            <w:tcW w:type="dxa" w:w="3251"/>
          </w:tcPr>
          <w:p>
            <w:pPr>
              <w:spacing w:after="100" w:before="100"/>
            </w:pPr>
            <w:r>
              <w:rPr>
                <w:b w:val="0"/>
                <w:sz w:val="19"/>
              </w:rPr>
              <w:t>28.000đ</w:t>
            </w:r>
          </w:p>
        </w:tc>
        <w:tc>
          <w:tcPr>
            <w:tcW w:type="dxa" w:w="3251"/>
          </w:tcPr>
          <w:p>
            <w:pPr>
              <w:spacing w:after="100" w:before="100"/>
            </w:pPr>
            <w:r>
              <w:rPr>
                <w:b w:val="0"/>
                <w:sz w:val="19"/>
              </w:rPr>
              <w:t>11:05 ngày 04/11/2026</w:t>
            </w:r>
          </w:p>
        </w:tc>
      </w:tr>
      <w:tr>
        <w:trPr>
          <w:cantSplit/>
        </w:trPr>
        <w:tc>
          <w:tcPr>
            <w:tcW w:type="dxa" w:w="3251"/>
          </w:tcPr>
          <w:p>
            <w:pPr>
              <w:spacing w:after="100" w:before="100"/>
            </w:pPr>
            <w:r>
              <w:rPr>
                <w:b w:val="0"/>
                <w:sz w:val="19"/>
              </w:rPr>
              <w:t>DH-2026-C58C204C</w:t>
            </w:r>
          </w:p>
        </w:tc>
        <w:tc>
          <w:tcPr>
            <w:tcW w:type="dxa" w:w="3251"/>
          </w:tcPr>
          <w:p>
            <w:pPr>
              <w:spacing w:after="100" w:before="100"/>
            </w:pPr>
            <w:r>
              <w:rPr>
                <w:b w:val="0"/>
                <w:sz w:val="19"/>
              </w:rPr>
              <w:t>28.000đ</w:t>
            </w:r>
          </w:p>
        </w:tc>
        <w:tc>
          <w:tcPr>
            <w:tcW w:type="dxa" w:w="3251"/>
          </w:tcPr>
          <w:p>
            <w:pPr>
              <w:spacing w:after="100" w:before="100"/>
            </w:pPr>
            <w:r>
              <w:rPr>
                <w:b w:val="0"/>
                <w:sz w:val="19"/>
              </w:rPr>
              <w:t>10:41:25 ngày 05/11/2026</w:t>
            </w:r>
          </w:p>
        </w:tc>
      </w:tr>
    </w:tbl>
    <w:p/>
    <w:p>
      <w:r>
        <w:t>Đây là dữ liệu kiểm thử đã chuẩn bị, không phải bằng chứng giao hàng hoặc thanh toán thật. Tải lại web để xác nhận trạng thái hiện tại; nếu đã giải tỏa thì kiểm tra lịch sử thay vì đòi đơn tiếp tục ở Escrow. Mỗi đơn dùng serum 280.000đ × 10% = 28.000đ; không phải 64.800đ.</w:t>
      </w:r>
    </w:p>
    <w:p>
      <w:pPr>
        <w:pStyle w:val="u2"/>
      </w:pPr>
      <w:r>
        <w:t>Kiểm tra các nhánh còn lại</w:t>
      </w:r>
    </w:p>
    <w:p>
      <w:pPr>
        <w:pStyle w:val="ListBullet"/>
      </w:pPr>
      <w:r>
        <w:t>Chưa đến hạn: tiền vẫn ở tạm giữ, khả dụng không tăng.</w:t>
      </w:r>
    </w:p>
    <w:p>
      <w:pPr>
        <w:pStyle w:val="ListBullet"/>
      </w:pPr>
      <w:r>
        <w:t>Đã đến hạn nhưng đang có claim hoặc review: tiếp tục giữ tiền, không giải tỏa.</w:t>
      </w:r>
    </w:p>
    <w:p>
      <w:pPr>
        <w:pStyle w:val="ListBullet"/>
      </w:pPr>
      <w:r>
        <w:t>Đổi hàng: bảo lưu hoa hồng theo quy trình; chỉ giải tỏa khi đủ hạn và claim đã được đóng hợp lệ.</w:t>
      </w:r>
    </w:p>
    <w:p>
      <w:pPr>
        <w:pStyle w:val="ListBullet"/>
      </w:pPr>
      <w:r>
        <w:t>Hoàn tiền đã hoàn tất: hoa hồng bị thu hồi; không đồng thời cộng vào khả dụng.</w:t>
      </w:r>
    </w:p>
    <w:p>
      <w:pPr>
        <w:pStyle w:val="u2"/>
      </w:pPr>
      <w:r>
        <w:t>Kết quả cần đạt</w:t>
      </w:r>
    </w:p>
    <w:p>
      <w:r>
        <w:t>Cùng một khoản X chuyển từ tạm giữ sang khả dụng đúng một lần. Con số 64.800đ chỉ áp dụng cho đơn có cơ sở tính 405.000đ và tỷ lệ 16%.</w:t>
      </w:r>
    </w:p>
    <w:p>
      <w:r>
        <w:br w:type="page"/>
      </w:r>
    </w:p>
    <w:p>
      <w:pPr>
        <w:pStyle w:val="u1"/>
      </w:pPr>
      <w:r>
        <w:t>5.2 Thưởng tháng FR09 và cấp bậc</w:t>
      </w:r>
    </w:p>
    <w:p>
      <w:r>
        <w:t>Mục tiêu: tính thưởng theo doanh số sạch của tháng đã kết thúc, duyệt và cộng ví một lần; kiểm tra cấp bậc theo các kỳ đủ điều kiện.</w:t>
      </w:r>
    </w:p>
    <w:p>
      <w:pPr>
        <w:pStyle w:val="u2"/>
      </w:pPr>
      <w:r>
        <w:t>Thao tác bằng tài khoản Shop</w:t>
      </w:r>
    </w:p>
    <w:p>
      <w:r>
        <w:t>1. Đăng nhập manager.sora@scanms.vn → mở http://localhost:5173/merchant/promotions?tab=commission-rules. Đây là trang thưởng hiện dùng; tên /merchant/commissions trong kịch bản cũ có thể không phải route đang đăng ký.</w:t>
      </w:r>
    </w:p>
    <w:p>
      <w:r>
        <w:t>2. Kiểm tra chính sách thưởng của Sora: ví dụ mốc 50.000.000đ thưởng cố định 2.000.000đ. Chính sách phải có hiệu lực cho kỳ cần chốt; tạo mốc hôm nay không tự áp dụng ngược về tháng trước.</w:t>
      </w:r>
    </w:p>
    <w:p>
      <w:r>
        <w:t>3. Chọn tháng đã kết thúc, ví dụ tháng 10/2026 khi ngày hiện tại đã sang tháng 11. Chọn KOC Lê Hoàng Yến Nhi / kol.bronze@scanms.vn trong bảng đội ngũ.</w:t>
      </w:r>
    </w:p>
    <w:p>
      <w:r>
        <w:t>4. Kiểm tra doanh số hợp lệ, mốc đạt và tiền thưởng. Đối chiếu đơn hợp lệ sau giảm giá và hoàn tiền; không tính phí vận chuyển hoặc đơn tự mua bị loại.</w:t>
      </w:r>
    </w:p>
    <w:p>
      <w:r>
        <w:t>5. Bấm Chốt đối soát đối tác này hoặc nút tính thưởng tương ứng. Kết quả mới ở trạng thái PENDING; ghi mã kỳ và số tiền.</w:t>
      </w:r>
    </w:p>
    <w:p>
      <w:r>
        <w:t>6. Trong lịch sử quyết toán, chọn Duyệt để chuyển APPROVED; sau đó chọn Chi trả hoặc Cộng ví để chuyển PAID.</w:t>
      </w:r>
    </w:p>
    <w:p>
      <w:r>
        <w:t>7. Quay lại ví KOC, kiểm tra khả dụng tăng đúng tiền thưởng; lịch sử có khoản thưởng tháng tương ứng. Không nhầm cộng ví với chuyển tiền về ngân hàng.</w:t>
      </w:r>
    </w:p>
    <w:p>
      <w:r>
        <w:t>8. Thử chốt hoặc xử lý lại cùng KOC, Store và tháng: không phát sinh thưởng trùng. Tháng đang mở phải bị chặn quyết toán.</w:t>
      </w:r>
    </w:p>
    <w:p>
      <w:r>
        <w:t>Nếu scheduler đã xử lý kỳ thành PAID thì kiểm tra khoản đã ghi và tính chống trùng. Không thể dùng chính kỳ đó để diễn lại lần lượt các trạng thái. Nếu doanh số chưa đủ mốc, kết quả 0 có thể là đúng; không sửa số dư hoặc doanh số để ép thành 2 triệu.</w:t>
      </w:r>
    </w:p>
    <w:p>
      <w:pPr>
        <w:pStyle w:val="u2"/>
      </w:pPr>
      <w:r>
        <w:t>Đối chiếu cấp bậc bằng KOC</w:t>
      </w:r>
    </w:p>
    <w:p>
      <w:r>
        <w:t>Mở Hồ sơ &amp; Cấp bậc KOL → Cấp bậc &amp; Quyền lợi, hoặc /collaborator/profile?tab=tiers. Kiểm tra doanh số đủ điều kiện của các kỳ đã đóng, hạng hiện tại và lần xét tiếp theo.</w:t>
      </w:r>
    </w:p>
    <w:tbl>
      <w:tblPr>
        <w:tblW w:type="auto" w:w="0"/>
        <w:tblLook w:firstColumn="1" w:firstRow="1" w:lastColumn="0" w:lastRow="0" w:noHBand="0" w:noVBand="1" w:val="04A0"/>
      </w:tblPr>
      <w:tblGrid>
        <w:gridCol w:w="3251"/>
        <w:gridCol w:w="3251"/>
        <w:gridCol w:w="3251"/>
      </w:tblGrid>
      <w:tr>
        <w:trPr>
          <w:cantSplit/>
          <w:tblHeader/>
        </w:trPr>
        <w:tc>
          <w:tcPr>
            <w:tcW w:type="dxa" w:w="3251"/>
            <w:shd w:fill="F3EFE6"/>
          </w:tcPr>
          <w:p>
            <w:pPr>
              <w:spacing w:after="100" w:before="100"/>
            </w:pPr>
            <w:r>
              <w:rPr>
                <w:b/>
                <w:sz w:val="19"/>
              </w:rPr>
              <w:t>Doanh số đủ điều kiện</w:t>
            </w:r>
          </w:p>
        </w:tc>
        <w:tc>
          <w:tcPr>
            <w:tcW w:type="dxa" w:w="3251"/>
            <w:shd w:fill="F3EFE6"/>
          </w:tcPr>
          <w:p>
            <w:pPr>
              <w:spacing w:after="100" w:before="100"/>
            </w:pPr>
            <w:r>
              <w:rPr>
                <w:b/>
                <w:sz w:val="19"/>
              </w:rPr>
              <w:t>Hạng</w:t>
            </w:r>
          </w:p>
        </w:tc>
        <w:tc>
          <w:tcPr>
            <w:tcW w:type="dxa" w:w="3251"/>
            <w:shd w:fill="F3EFE6"/>
          </w:tcPr>
          <w:p>
            <w:pPr>
              <w:spacing w:after="100" w:before="100"/>
            </w:pPr>
            <w:r>
              <w:rPr>
                <w:b/>
                <w:sz w:val="19"/>
              </w:rPr>
              <w:t>Tỷ lệ cấp bậc</w:t>
            </w:r>
          </w:p>
        </w:tc>
      </w:tr>
      <w:tr>
        <w:trPr>
          <w:cantSplit/>
        </w:trPr>
        <w:tc>
          <w:tcPr>
            <w:tcW w:type="dxa" w:w="3251"/>
          </w:tcPr>
          <w:p>
            <w:pPr>
              <w:spacing w:after="100" w:before="100"/>
            </w:pPr>
            <w:r>
              <w:rPr>
                <w:b w:val="0"/>
                <w:sz w:val="19"/>
              </w:rPr>
              <w:t>Dưới 20 triệu</w:t>
            </w:r>
          </w:p>
        </w:tc>
        <w:tc>
          <w:tcPr>
            <w:tcW w:type="dxa" w:w="3251"/>
          </w:tcPr>
          <w:p>
            <w:pPr>
              <w:spacing w:after="100" w:before="100"/>
            </w:pPr>
            <w:r>
              <w:rPr>
                <w:b w:val="0"/>
                <w:sz w:val="19"/>
              </w:rPr>
              <w:t>Đồng</w:t>
            </w:r>
          </w:p>
        </w:tc>
        <w:tc>
          <w:tcPr>
            <w:tcW w:type="dxa" w:w="3251"/>
          </w:tcPr>
          <w:p>
            <w:pPr>
              <w:spacing w:after="100" w:before="100"/>
            </w:pPr>
            <w:r>
              <w:rPr>
                <w:b w:val="0"/>
                <w:sz w:val="19"/>
              </w:rPr>
              <w:t>10%</w:t>
            </w:r>
          </w:p>
        </w:tc>
      </w:tr>
      <w:tr>
        <w:trPr>
          <w:cantSplit/>
        </w:trPr>
        <w:tc>
          <w:tcPr>
            <w:tcW w:type="dxa" w:w="3251"/>
          </w:tcPr>
          <w:p>
            <w:pPr>
              <w:spacing w:after="100" w:before="100"/>
            </w:pPr>
            <w:r>
              <w:rPr>
                <w:b w:val="0"/>
                <w:sz w:val="19"/>
              </w:rPr>
              <w:t>20 đến dưới 50 triệu</w:t>
            </w:r>
          </w:p>
        </w:tc>
        <w:tc>
          <w:tcPr>
            <w:tcW w:type="dxa" w:w="3251"/>
          </w:tcPr>
          <w:p>
            <w:pPr>
              <w:spacing w:after="100" w:before="100"/>
            </w:pPr>
            <w:r>
              <w:rPr>
                <w:b w:val="0"/>
                <w:sz w:val="19"/>
              </w:rPr>
              <w:t>Bạc</w:t>
            </w:r>
          </w:p>
        </w:tc>
        <w:tc>
          <w:tcPr>
            <w:tcW w:type="dxa" w:w="3251"/>
          </w:tcPr>
          <w:p>
            <w:pPr>
              <w:spacing w:after="100" w:before="100"/>
            </w:pPr>
            <w:r>
              <w:rPr>
                <w:b w:val="0"/>
                <w:sz w:val="19"/>
              </w:rPr>
              <w:t>11%</w:t>
            </w:r>
          </w:p>
        </w:tc>
      </w:tr>
      <w:tr>
        <w:trPr>
          <w:cantSplit/>
        </w:trPr>
        <w:tc>
          <w:tcPr>
            <w:tcW w:type="dxa" w:w="3251"/>
          </w:tcPr>
          <w:p>
            <w:pPr>
              <w:spacing w:after="100" w:before="100"/>
            </w:pPr>
            <w:r>
              <w:rPr>
                <w:b w:val="0"/>
                <w:sz w:val="19"/>
              </w:rPr>
              <w:t>50 đến dưới 100 triệu</w:t>
            </w:r>
          </w:p>
        </w:tc>
        <w:tc>
          <w:tcPr>
            <w:tcW w:type="dxa" w:w="3251"/>
          </w:tcPr>
          <w:p>
            <w:pPr>
              <w:spacing w:after="100" w:before="100"/>
            </w:pPr>
            <w:r>
              <w:rPr>
                <w:b w:val="0"/>
                <w:sz w:val="19"/>
              </w:rPr>
              <w:t>Vàng</w:t>
            </w:r>
          </w:p>
        </w:tc>
        <w:tc>
          <w:tcPr>
            <w:tcW w:type="dxa" w:w="3251"/>
          </w:tcPr>
          <w:p>
            <w:pPr>
              <w:spacing w:after="100" w:before="100"/>
            </w:pPr>
            <w:r>
              <w:rPr>
                <w:b w:val="0"/>
                <w:sz w:val="19"/>
              </w:rPr>
              <w:t>12%</w:t>
            </w:r>
          </w:p>
        </w:tc>
      </w:tr>
      <w:tr>
        <w:trPr>
          <w:cantSplit/>
        </w:trPr>
        <w:tc>
          <w:tcPr>
            <w:tcW w:type="dxa" w:w="3251"/>
          </w:tcPr>
          <w:p>
            <w:pPr>
              <w:spacing w:after="100" w:before="100"/>
            </w:pPr>
            <w:r>
              <w:rPr>
                <w:b w:val="0"/>
                <w:sz w:val="19"/>
              </w:rPr>
              <w:t>Từ 100 triệu</w:t>
            </w:r>
          </w:p>
        </w:tc>
        <w:tc>
          <w:tcPr>
            <w:tcW w:type="dxa" w:w="3251"/>
          </w:tcPr>
          <w:p>
            <w:pPr>
              <w:spacing w:after="100" w:before="100"/>
            </w:pPr>
            <w:r>
              <w:rPr>
                <w:b w:val="0"/>
                <w:sz w:val="19"/>
              </w:rPr>
              <w:t>Kim Cương</w:t>
            </w:r>
          </w:p>
        </w:tc>
        <w:tc>
          <w:tcPr>
            <w:tcW w:type="dxa" w:w="3251"/>
          </w:tcPr>
          <w:p>
            <w:pPr>
              <w:spacing w:after="100" w:before="100"/>
            </w:pPr>
            <w:r>
              <w:rPr>
                <w:b w:val="0"/>
                <w:sz w:val="19"/>
              </w:rPr>
              <w:t>13%</w:t>
            </w:r>
          </w:p>
        </w:tc>
      </w:tr>
    </w:tbl>
    <w:p/>
    <w:p>
      <w:pPr>
        <w:pStyle w:val="u2"/>
      </w:pPr>
      <w:r>
        <w:t>Kết quả cần đạt</w:t>
      </w:r>
    </w:p>
    <w:p>
      <w:r>
        <w:t>Nếu đúng chính sách và doanh số sạch 52 triệu: thưởng cố định 2 triệu; khi được xét theo ngưỡng 50 triệu thì đạt Vàng 12%. Thao tác cộng thưởng không tự thay thế lịch xét hạng. Hoa hồng đơn đã có snapshot không bị tính lại.</w:t>
      </w:r>
    </w:p>
    <w:p>
      <w:r>
        <w:br w:type="page"/>
      </w:r>
    </w:p>
    <w:p>
      <w:pPr>
        <w:pStyle w:val="u1"/>
      </w:pPr>
      <w:r>
        <w:t>5.3 Tạo yêu cầu rút thu nhập</w:t>
      </w:r>
    </w:p>
    <w:p>
      <w:r>
        <w:t>Mục tiêu: KOC gửi yêu cầu rút từ thu nhập khả dụng; hệ thống giữ đúng số tiền yêu cầu và lưu thông tin người nhận tại thời điểm tạo lệnh.</w:t>
      </w:r>
    </w:p>
    <w:p>
      <w:pPr>
        <w:pStyle w:val="u2"/>
      </w:pPr>
      <w:r>
        <w:t>Thao tác trên web</w:t>
      </w:r>
    </w:p>
    <w:p>
      <w:r>
        <w:t>1. Đăng nhập kol.bronze@scanms.vn → http://localhost:5173/collaborator/wallet → Ví &amp; rút tiền → Rút tiền.</w:t>
      </w:r>
    </w:p>
    <w:p>
      <w:r>
        <w:t>2. Ghi số dư khả dụng tổng và số dư của nguồn hoa hồng được chọn. Kiểm tra tài khoản nhận tiền, tên chủ tài khoản, KYC và điều kiện rút.</w:t>
      </w:r>
    </w:p>
    <w:p>
      <w:r>
        <w:t>3. Trong Nguồn hoa hồng, chọn Sora Skincare &amp; Cosmetics. Số tiền nhập phải nằm trong phần khả dụng được phép rút của nguồn này.</w:t>
      </w:r>
    </w:p>
    <w:p>
      <w:r>
        <w:t>4. Nhập số tiền muốn rút, tối thiểu 200.000đ theo policy hiện tại. Ví dụ 2.064.800đ chỉ thực hiện được nếu nguồn rút có đủ số tiền đó.</w:t>
      </w:r>
    </w:p>
    <w:p>
      <w:r>
        <w:t>5. Kiểm tra phần hiển thị tiền yêu cầu, thuế và thực nhận trước khi gửi. Bấm Gửi yêu cầu rút tiền một lần.</w:t>
      </w:r>
    </w:p>
    <w:p>
      <w:r>
        <w:t>6. Mở Lịch sử giao dịch hoặc Lịch sử yêu cầu rút tiền, ghi mã payout. Lệnh mới phải ở PENDING / Chờ duyệt; tiền chưa được coi là đã về ngân hàng.</w:t>
      </w:r>
    </w:p>
    <w:p>
      <w:r>
        <w:t>7. Tải lại trang. Khả dụng giảm đúng gross được giữ cho lệnh; không trừ thêm lần nữa. Ngân hàng nhận tiền phải đúng hồ sơ đã lưu cho yêu cầu.</w:t>
      </w:r>
    </w:p>
    <w:p>
      <w:pPr>
        <w:pStyle w:val="u2"/>
      </w:pPr>
      <w:r>
        <w:t>Các trường hợp phải bị chặn</w:t>
      </w:r>
    </w:p>
    <w:tbl>
      <w:tblPr>
        <w:tblW w:type="auto" w:w="0"/>
        <w:tblLook w:firstColumn="1" w:firstRow="1" w:lastColumn="0" w:lastRow="0" w:noHBand="0" w:noVBand="1" w:val="04A0"/>
      </w:tblPr>
      <w:tblGrid>
        <w:gridCol w:w="4876"/>
        <w:gridCol w:w="4876"/>
      </w:tblGrid>
      <w:tr>
        <w:trPr>
          <w:cantSplit/>
          <w:tblHeader/>
        </w:trPr>
        <w:tc>
          <w:tcPr>
            <w:tcW w:type="dxa" w:w="4876"/>
            <w:shd w:fill="F3EFE6"/>
          </w:tcPr>
          <w:p>
            <w:pPr>
              <w:spacing w:after="100" w:before="100"/>
            </w:pPr>
            <w:r>
              <w:rPr>
                <w:b/>
                <w:sz w:val="19"/>
              </w:rPr>
              <w:t>Tình huống</w:t>
            </w:r>
          </w:p>
        </w:tc>
        <w:tc>
          <w:tcPr>
            <w:tcW w:type="dxa" w:w="4876"/>
            <w:shd w:fill="F3EFE6"/>
          </w:tcPr>
          <w:p>
            <w:pPr>
              <w:spacing w:after="100" w:before="100"/>
            </w:pPr>
            <w:r>
              <w:rPr>
                <w:b/>
                <w:sz w:val="19"/>
              </w:rPr>
              <w:t>Kết quả mong đợi</w:t>
            </w:r>
          </w:p>
        </w:tc>
      </w:tr>
      <w:tr>
        <w:trPr>
          <w:cantSplit/>
        </w:trPr>
        <w:tc>
          <w:tcPr>
            <w:tcW w:type="dxa" w:w="4876"/>
          </w:tcPr>
          <w:p>
            <w:pPr>
              <w:spacing w:after="100" w:before="100"/>
            </w:pPr>
            <w:r>
              <w:rPr>
                <w:b w:val="0"/>
                <w:sz w:val="19"/>
              </w:rPr>
              <w:t>Rút dưới 200.000đ hoặc vượt số dư nguồn chọn</w:t>
            </w:r>
          </w:p>
        </w:tc>
        <w:tc>
          <w:tcPr>
            <w:tcW w:type="dxa" w:w="4876"/>
          </w:tcPr>
          <w:p>
            <w:pPr>
              <w:spacing w:after="100" w:before="100"/>
            </w:pPr>
            <w:r>
              <w:rPr>
                <w:b w:val="0"/>
                <w:sz w:val="19"/>
              </w:rPr>
              <w:t>Báo lỗi, không tạo lệnh và không trừ tiền</w:t>
            </w:r>
          </w:p>
        </w:tc>
      </w:tr>
      <w:tr>
        <w:trPr>
          <w:cantSplit/>
        </w:trPr>
        <w:tc>
          <w:tcPr>
            <w:tcW w:type="dxa" w:w="4876"/>
          </w:tcPr>
          <w:p>
            <w:pPr>
              <w:spacing w:after="100" w:before="100"/>
            </w:pPr>
            <w:r>
              <w:rPr>
                <w:b w:val="0"/>
                <w:sz w:val="19"/>
              </w:rPr>
              <w:t>Rút tiền đang Escrow hoặc tiền mua sắm Demo</w:t>
            </w:r>
          </w:p>
        </w:tc>
        <w:tc>
          <w:tcPr>
            <w:tcW w:type="dxa" w:w="4876"/>
          </w:tcPr>
          <w:p>
            <w:pPr>
              <w:spacing w:after="100" w:before="100"/>
            </w:pPr>
            <w:r>
              <w:rPr>
                <w:b w:val="0"/>
                <w:sz w:val="19"/>
              </w:rPr>
              <w:t>Không được dùng làm thu nhập rút</w:t>
            </w:r>
          </w:p>
        </w:tc>
      </w:tr>
      <w:tr>
        <w:trPr>
          <w:cantSplit/>
        </w:trPr>
        <w:tc>
          <w:tcPr>
            <w:tcW w:type="dxa" w:w="4876"/>
          </w:tcPr>
          <w:p>
            <w:pPr>
              <w:spacing w:after="100" w:before="100"/>
            </w:pPr>
            <w:r>
              <w:rPr>
                <w:b w:val="0"/>
                <w:sz w:val="19"/>
              </w:rPr>
              <w:t>KYC chưa duyệt hoặc đổi ngân hàng cần thẩm định lại</w:t>
            </w:r>
          </w:p>
        </w:tc>
        <w:tc>
          <w:tcPr>
            <w:tcW w:type="dxa" w:w="4876"/>
          </w:tcPr>
          <w:p>
            <w:pPr>
              <w:spacing w:after="100" w:before="100"/>
            </w:pPr>
            <w:r>
              <w:rPr>
                <w:b w:val="0"/>
                <w:sz w:val="19"/>
              </w:rPr>
              <w:t>Chặn rút và hướng dẫn hoàn thiện hồ sơ</w:t>
            </w:r>
          </w:p>
        </w:tc>
      </w:tr>
      <w:tr>
        <w:trPr>
          <w:cantSplit/>
        </w:trPr>
        <w:tc>
          <w:tcPr>
            <w:tcW w:type="dxa" w:w="4876"/>
          </w:tcPr>
          <w:p>
            <w:pPr>
              <w:spacing w:after="100" w:before="100"/>
            </w:pPr>
            <w:r>
              <w:rPr>
                <w:b w:val="0"/>
                <w:sz w:val="19"/>
              </w:rPr>
              <w:t>Tài khoản có nghĩa vụ thu hồi sau hoàn tiền</w:t>
            </w:r>
          </w:p>
        </w:tc>
        <w:tc>
          <w:tcPr>
            <w:tcW w:type="dxa" w:w="4876"/>
          </w:tcPr>
          <w:p>
            <w:pPr>
              <w:spacing w:after="100" w:before="100"/>
            </w:pPr>
            <w:r>
              <w:rPr>
                <w:b w:val="0"/>
                <w:sz w:val="19"/>
              </w:rPr>
              <w:t>Không được bỏ qua điều kiện thu hồi</w:t>
            </w:r>
          </w:p>
        </w:tc>
      </w:tr>
      <w:tr>
        <w:trPr>
          <w:cantSplit/>
        </w:trPr>
        <w:tc>
          <w:tcPr>
            <w:tcW w:type="dxa" w:w="4876"/>
          </w:tcPr>
          <w:p>
            <w:pPr>
              <w:spacing w:after="100" w:before="100"/>
            </w:pPr>
            <w:r>
              <w:rPr>
                <w:b w:val="0"/>
                <w:sz w:val="19"/>
              </w:rPr>
              <w:t>Sửa thông tin ngân hàng sau khi tạo payout</w:t>
            </w:r>
          </w:p>
        </w:tc>
        <w:tc>
          <w:tcPr>
            <w:tcW w:type="dxa" w:w="4876"/>
          </w:tcPr>
          <w:p>
            <w:pPr>
              <w:spacing w:after="100" w:before="100"/>
            </w:pPr>
            <w:r>
              <w:rPr>
                <w:b w:val="0"/>
                <w:sz w:val="19"/>
              </w:rPr>
              <w:t>Không âm thầm thay người nhận của lệnh cũ</w:t>
            </w:r>
          </w:p>
        </w:tc>
      </w:tr>
    </w:tbl>
    <w:p/>
    <w:p>
      <w:pPr>
        <w:pStyle w:val="u2"/>
      </w:pPr>
      <w:r>
        <w:t>Kết quả cần đạt</w:t>
      </w:r>
    </w:p>
    <w:p>
      <w:r>
        <w:t>Một yêu cầu hợp lệ có mã riêng, trạng thái chờ duyệt và khoản tiền reserve đúng gross. Không được thấy thông báo chuyển khoản thành công ngay sau khi tạo yêu cầu.</w:t>
      </w:r>
    </w:p>
    <w:p>
      <w:pPr>
        <w:pStyle w:val="u2"/>
      </w:pPr>
      <w:r>
        <w:t>Lưu bằng chứng</w:t>
      </w:r>
    </w:p>
    <w:p>
      <w:r>
        <w:t>Chụp số dư trước và sau, nguồn hoa hồng, số tiền gross và dòng payout vừa tạo. Không đưa mật khẩu, token hoặc OTP vào tài liệu kiểm thử.</w:t>
      </w:r>
    </w:p>
    <w:p>
      <w:r>
        <w:br w:type="page"/>
      </w:r>
    </w:p>
    <w:p>
      <w:pPr>
        <w:pStyle w:val="u1"/>
      </w:pPr>
      <w:r>
        <w:t>5.4 Giữ tiền và khấu trừ thuế</w:t>
      </w:r>
    </w:p>
    <w:p>
      <w:r>
        <w:t>Mục tiêu: không rút vượt số dư hoặc giữ trùng tiền; gross, tax và net được tính chính xác. Các ngưỡng dưới đây dùng để kiểm tra đặc tả dự án, không phải kết luận về quy định thuế hiện hành.</w:t>
      </w:r>
    </w:p>
    <w:p>
      <w:pPr>
        <w:pStyle w:val="u2"/>
      </w:pPr>
      <w:r>
        <w:t>Kiểm tra số tiền trên màn hình</w:t>
      </w:r>
    </w:p>
    <w:p>
      <w:r>
        <w:t>1. KOC nhập số tiền tại form rút tiền, kiểm tra phần dự tính thuế trước khi gửi.</w:t>
      </w:r>
    </w:p>
    <w:p>
      <w:r>
        <w:t>2. Sau khi tạo lệnh, mở lịch sử payout và ghi lại gross, tax, net.</w:t>
      </w:r>
    </w:p>
    <w:p>
      <w:r>
        <w:t>3. Đăng nhập manager@scanms.vn → /admin/finance/payouts → Yêu cầu chi trả → tìm đúng mã payout. Ba số tiền phải khớp màn hình KOC.</w:t>
      </w:r>
    </w:p>
    <w:p>
      <w:r>
        <w:t>4. Đối chiếu net = gross − tax. Tiền giữ trong ví là gross, không phải chỉ net.</w:t>
      </w:r>
    </w:p>
    <w:tbl>
      <w:tblPr>
        <w:tblW w:type="auto" w:w="0"/>
        <w:tblLook w:firstColumn="1" w:firstRow="1" w:lastColumn="0" w:lastRow="0" w:noHBand="0" w:noVBand="1" w:val="04A0"/>
      </w:tblPr>
      <w:tblGrid>
        <w:gridCol w:w="3251"/>
        <w:gridCol w:w="3251"/>
        <w:gridCol w:w="3251"/>
      </w:tblGrid>
      <w:tr>
        <w:trPr>
          <w:cantSplit/>
          <w:tblHeader/>
        </w:trPr>
        <w:tc>
          <w:tcPr>
            <w:tcW w:type="dxa" w:w="3251"/>
            <w:shd w:fill="F3EFE6"/>
          </w:tcPr>
          <w:p>
            <w:pPr>
              <w:spacing w:after="100" w:before="100"/>
            </w:pPr>
            <w:r>
              <w:rPr>
                <w:b/>
                <w:sz w:val="19"/>
              </w:rPr>
              <w:t>Gross yêu cầu</w:t>
            </w:r>
          </w:p>
        </w:tc>
        <w:tc>
          <w:tcPr>
            <w:tcW w:type="dxa" w:w="3251"/>
            <w:shd w:fill="F3EFE6"/>
          </w:tcPr>
          <w:p>
            <w:pPr>
              <w:spacing w:after="100" w:before="100"/>
            </w:pPr>
            <w:r>
              <w:rPr>
                <w:b/>
                <w:sz w:val="19"/>
              </w:rPr>
              <w:t>Thuế theo đặc tả</w:t>
            </w:r>
          </w:p>
        </w:tc>
        <w:tc>
          <w:tcPr>
            <w:tcW w:type="dxa" w:w="3251"/>
            <w:shd w:fill="F3EFE6"/>
          </w:tcPr>
          <w:p>
            <w:pPr>
              <w:spacing w:after="100" w:before="100"/>
            </w:pPr>
            <w:r>
              <w:rPr>
                <w:b/>
                <w:sz w:val="19"/>
              </w:rPr>
              <w:t>Net thực nhận</w:t>
            </w:r>
          </w:p>
        </w:tc>
      </w:tr>
      <w:tr>
        <w:trPr>
          <w:cantSplit/>
        </w:trPr>
        <w:tc>
          <w:tcPr>
            <w:tcW w:type="dxa" w:w="3251"/>
          </w:tcPr>
          <w:p>
            <w:pPr>
              <w:spacing w:after="100" w:before="100"/>
            </w:pPr>
            <w:r>
              <w:rPr>
                <w:b w:val="0"/>
                <w:sz w:val="19"/>
              </w:rPr>
              <w:t>200.000đ</w:t>
            </w:r>
          </w:p>
        </w:tc>
        <w:tc>
          <w:tcPr>
            <w:tcW w:type="dxa" w:w="3251"/>
          </w:tcPr>
          <w:p>
            <w:pPr>
              <w:spacing w:after="100" w:before="100"/>
            </w:pPr>
            <w:r>
              <w:rPr>
                <w:b w:val="0"/>
                <w:sz w:val="19"/>
              </w:rPr>
              <w:t>0đ</w:t>
            </w:r>
          </w:p>
        </w:tc>
        <w:tc>
          <w:tcPr>
            <w:tcW w:type="dxa" w:w="3251"/>
          </w:tcPr>
          <w:p>
            <w:pPr>
              <w:spacing w:after="100" w:before="100"/>
            </w:pPr>
            <w:r>
              <w:rPr>
                <w:b w:val="0"/>
                <w:sz w:val="19"/>
              </w:rPr>
              <w:t>200.000đ</w:t>
            </w:r>
          </w:p>
        </w:tc>
      </w:tr>
      <w:tr>
        <w:trPr>
          <w:cantSplit/>
        </w:trPr>
        <w:tc>
          <w:tcPr>
            <w:tcW w:type="dxa" w:w="3251"/>
          </w:tcPr>
          <w:p>
            <w:pPr>
              <w:spacing w:after="100" w:before="100"/>
            </w:pPr>
            <w:r>
              <w:rPr>
                <w:b w:val="0"/>
                <w:sz w:val="19"/>
              </w:rPr>
              <w:t>1.999.999đ</w:t>
            </w:r>
          </w:p>
        </w:tc>
        <w:tc>
          <w:tcPr>
            <w:tcW w:type="dxa" w:w="3251"/>
          </w:tcPr>
          <w:p>
            <w:pPr>
              <w:spacing w:after="100" w:before="100"/>
            </w:pPr>
            <w:r>
              <w:rPr>
                <w:b w:val="0"/>
                <w:sz w:val="19"/>
              </w:rPr>
              <w:t>0đ</w:t>
            </w:r>
          </w:p>
        </w:tc>
        <w:tc>
          <w:tcPr>
            <w:tcW w:type="dxa" w:w="3251"/>
          </w:tcPr>
          <w:p>
            <w:pPr>
              <w:spacing w:after="100" w:before="100"/>
            </w:pPr>
            <w:r>
              <w:rPr>
                <w:b w:val="0"/>
                <w:sz w:val="19"/>
              </w:rPr>
              <w:t>1.999.999đ</w:t>
            </w:r>
          </w:p>
        </w:tc>
      </w:tr>
      <w:tr>
        <w:trPr>
          <w:cantSplit/>
        </w:trPr>
        <w:tc>
          <w:tcPr>
            <w:tcW w:type="dxa" w:w="3251"/>
          </w:tcPr>
          <w:p>
            <w:pPr>
              <w:spacing w:after="100" w:before="100"/>
            </w:pPr>
            <w:r>
              <w:rPr>
                <w:b w:val="0"/>
                <w:sz w:val="19"/>
              </w:rPr>
              <w:t>2.000.000đ</w:t>
            </w:r>
          </w:p>
        </w:tc>
        <w:tc>
          <w:tcPr>
            <w:tcW w:type="dxa" w:w="3251"/>
          </w:tcPr>
          <w:p>
            <w:pPr>
              <w:spacing w:after="100" w:before="100"/>
            </w:pPr>
            <w:r>
              <w:rPr>
                <w:b w:val="0"/>
                <w:sz w:val="19"/>
              </w:rPr>
              <w:t>200.000đ</w:t>
            </w:r>
          </w:p>
        </w:tc>
        <w:tc>
          <w:tcPr>
            <w:tcW w:type="dxa" w:w="3251"/>
          </w:tcPr>
          <w:p>
            <w:pPr>
              <w:spacing w:after="100" w:before="100"/>
            </w:pPr>
            <w:r>
              <w:rPr>
                <w:b w:val="0"/>
                <w:sz w:val="19"/>
              </w:rPr>
              <w:t>1.800.000đ</w:t>
            </w:r>
          </w:p>
        </w:tc>
      </w:tr>
      <w:tr>
        <w:trPr>
          <w:cantSplit/>
        </w:trPr>
        <w:tc>
          <w:tcPr>
            <w:tcW w:type="dxa" w:w="3251"/>
          </w:tcPr>
          <w:p>
            <w:pPr>
              <w:spacing w:after="100" w:before="100"/>
            </w:pPr>
            <w:r>
              <w:rPr>
                <w:b w:val="0"/>
                <w:sz w:val="19"/>
              </w:rPr>
              <w:t>2.064.800đ</w:t>
            </w:r>
          </w:p>
        </w:tc>
        <w:tc>
          <w:tcPr>
            <w:tcW w:type="dxa" w:w="3251"/>
          </w:tcPr>
          <w:p>
            <w:pPr>
              <w:spacing w:after="100" w:before="100"/>
            </w:pPr>
            <w:r>
              <w:rPr>
                <w:b w:val="0"/>
                <w:sz w:val="19"/>
              </w:rPr>
              <w:t>206.480đ</w:t>
            </w:r>
          </w:p>
        </w:tc>
        <w:tc>
          <w:tcPr>
            <w:tcW w:type="dxa" w:w="3251"/>
          </w:tcPr>
          <w:p>
            <w:pPr>
              <w:spacing w:after="100" w:before="100"/>
            </w:pPr>
            <w:r>
              <w:rPr>
                <w:b w:val="0"/>
                <w:sz w:val="19"/>
              </w:rPr>
              <w:t>1.858.320đ</w:t>
            </w:r>
          </w:p>
        </w:tc>
      </w:tr>
    </w:tbl>
    <w:p/>
    <w:p>
      <w:pPr>
        <w:pStyle w:val="u2"/>
      </w:pPr>
      <w:r>
        <w:t>Kiểm tra chống rút trùng</w:t>
      </w:r>
    </w:p>
    <w:p>
      <w:r>
        <w:t>Trong môi trường kiểm thử riêng, dùng ví có 2.500.000đ và gửi hai yêu cầu đồng thời, mỗi yêu cầu 2.064.800đ. Chỉ một yêu cầu được giữ tiền, yêu cầu còn lại phải bị từ chối do thiếu số dư. Số dư còn 435.200đ, không âm.</w:t>
      </w:r>
    </w:p>
    <w:p>
      <w:r>
        <w:t>Nếu ví có đủ tiền cho cả hai lệnh khác nhau thì hai lệnh cùng được tạo không tự chứng minh lỗi. Việc nút bị khóa trên frontend cũng chưa chứng minh đã có khóa dòng database; ca đồng thời cần kiểm thử kỹ thuật bằng hai request hoặc integration test.</w:t>
      </w:r>
    </w:p>
    <w:p>
      <w:pPr>
        <w:pStyle w:val="u2"/>
      </w:pPr>
      <w:r>
        <w:t>Không tạo hàng loạt lệnh trên dữ liệu đang vận hành</w:t>
      </w:r>
    </w:p>
    <w:p>
      <w:r>
        <w:t>Các mốc trong bảng là những ca riêng, cần số dư và dữ liệu phù hợp. Có thể kiểm tra dự tính trên form mà chưa gửi; nếu tạo payout để thử thì ghi từng mã và xử lý theo quy trình, tránh nhầm với khoản chi thực tế.</w:t>
      </w:r>
    </w:p>
    <w:p>
      <w:pPr>
        <w:pStyle w:val="u2"/>
      </w:pPr>
      <w:r>
        <w:t>Kết quả cần đạt</w:t>
      </w:r>
    </w:p>
    <w:p>
      <w:r>
        <w:t>Thuế 0 khi gross dưới 2 triệu; từ 2 triệu áp dụng 10% theo policy dự án. Tổng số tiền giữ không vượt số dư, không bị âm khi xử lý đồng thời.</w:t>
      </w:r>
    </w:p>
    <w:p>
      <w:r>
        <w:br w:type="page"/>
      </w:r>
    </w:p>
    <w:p>
      <w:pPr>
        <w:pStyle w:val="u1"/>
      </w:pPr>
      <w:r>
        <w:t>5.5 Duyệt chi trả và đối soát ngân hàng</w:t>
      </w:r>
    </w:p>
    <w:p>
      <w:r>
        <w:t>Mục tiêu: System Manager duyệt hoặc từ chối đúng quyền, hoàn tất lệnh dựa trên kết quả chuyển tiền đã được xác nhận, có sổ cái, audit và thông báo.</w:t>
      </w:r>
    </w:p>
    <w:p>
      <w:pPr>
        <w:pStyle w:val="u2"/>
      </w:pPr>
      <w:r>
        <w:t>Tìm yêu cầu và kiểm tra trước khi duyệt</w:t>
      </w:r>
    </w:p>
    <w:p>
      <w:r>
        <w:t>1. Đăng nhập manager@scanms.vn → Quản trị chi trả → http://localhost:5173/admin/finance/payouts.</w:t>
      </w:r>
    </w:p>
    <w:p>
      <w:r>
        <w:t>2. Chọn Yêu cầu chi trả → Chờ duyệt. Tìm theo KOC hoặc mã payout vừa ghi ở bước 5.3.</w:t>
      </w:r>
    </w:p>
    <w:p>
      <w:r>
        <w:t>3. Kiểm tra người nhận, ngân hàng, gross, tax, net và trạng thái hồ sơ. Ví dụ gross 2.064.800đ → tax 206.480đ → net 1.858.320đ.</w:t>
      </w:r>
    </w:p>
    <w:p>
      <w:pPr>
        <w:pStyle w:val="u2"/>
      </w:pPr>
      <w:r>
        <w:t>Nhánh từ chối</w:t>
      </w:r>
    </w:p>
    <w:p>
      <w:r>
        <w:t>1. Chọn một payout dùng để thử từ chối → Từ chối → nhập lý do → xác nhận.</w:t>
      </w:r>
    </w:p>
    <w:p>
      <w:r>
        <w:t>2. KOC tải lại lịch sử: lệnh REJECTED; gross được trả lại khả dụng đúng một lần.</w:t>
      </w:r>
    </w:p>
    <w:p>
      <w:r>
        <w:t>3. Manager kiểm tra audit và thông báo. Tải lại hoặc xử lý lặp không được hoàn tiền lần hai.</w:t>
      </w:r>
    </w:p>
    <w:p>
      <w:pPr>
        <w:pStyle w:val="u2"/>
      </w:pPr>
      <w:r>
        <w:t>Nhánh duyệt và ngân hàng</w:t>
      </w:r>
    </w:p>
    <w:p>
      <w:r>
        <w:t>1. Với lệnh hợp lệ khác, mở Duyệt &amp; Tải UNC hoặc form duyệt chi hiện có.</w:t>
      </w:r>
    </w:p>
    <w:p>
      <w:r>
        <w:t>2. Khi đã có gateway sandbox đúng nhà cung cấp, chọn Duyệt chuyển khoản qua ngân hàng. Nếu kết quả chưa rõ hoặc timeout, lệnh ở PROCESSING và tiền tiếp tục được giữ.</w:t>
      </w:r>
    </w:p>
    <w:p>
      <w:r>
        <w:t>3. Chỉ khi ngân hàng xác nhận thành công, lệnh mới hoàn tất APPROVED; có bank reference và thời điểm xử lý. Không trừ ví lần thứ hai.</w:t>
      </w:r>
    </w:p>
    <w:p>
      <w:r>
        <w:t>4. Kiểm tra retry hoặc đối soát cùng lệnh không chuyển tiền thêm lần nữa; lỗi ngân hàng xác định không được báo đã giải ngân.</w:t>
      </w:r>
    </w:p>
    <w:p>
      <w:r>
        <w:t>5. KOC kiểm tra thông báo và email sao kê: đúng gross, tax, net, mã lệnh và reference. Notification xuất hiện không tự chứng minh email đã đến inbox.</w:t>
      </w:r>
    </w:p>
    <w:p>
      <w:r>
        <w:t>Hiện chưa có sandbox ngân hàng được cấp và cấu hình được xác nhận trong hướng dẫn này. Nhánh ngân hàng phải ghi BLOCKED nếu chưa kết nối; không đánh PASS bằng mock hoặc bill giả. UNC thủ công chỉ xác nhận khi đã có chứng từ giao dịch đúng môi trường; không tương đương giải ngân Napas tự động.</w:t>
      </w:r>
    </w:p>
    <w:p>
      <w:pPr>
        <w:pStyle w:val="u2"/>
      </w:pPr>
      <w:r>
        <w:t>Kiểm tra phân quyền và chứng từ</w:t>
      </w:r>
    </w:p>
    <w:p>
      <w:pPr>
        <w:pStyle w:val="ListBullet"/>
      </w:pPr>
      <w:r>
        <w:t>KOC và Shop không được duyệt payout. System Manager được xử lý hằng ngày; Admin có quyền kế thừa.</w:t>
      </w:r>
    </w:p>
    <w:p>
      <w:pPr>
        <w:pStyle w:val="ListBullet"/>
      </w:pPr>
      <w:r>
        <w:t>KOC chỉ xem hoặc tải bảng kê và chứng từ của mình; không truy cập được payout của KOC khác.</w:t>
      </w:r>
    </w:p>
    <w:p>
      <w:pPr>
        <w:pStyle w:val="ListBullet"/>
      </w:pPr>
      <w:r>
        <w:t>Bảng kê In / Lưu PDF là tài liệu nội bộ. PDF chứng từ thuế cần do đơn vị phát hành cung cấp; chưa có thì ghi chưa nghiệm thu.</w:t>
      </w:r>
    </w:p>
    <w:p>
      <w:pPr>
        <w:pStyle w:val="u2"/>
      </w:pPr>
      <w:r>
        <w:t>Kết quả cần đạt</w:t>
      </w:r>
    </w:p>
    <w:p>
      <w:r>
        <w:t>Từ chối hoàn gross một lần. Hoàn tất chi trả có bằng chứng đúng môi trường, ghi sổ và audit, không chuyển tiền trùng.</w:t>
      </w:r>
    </w:p>
    <w:p>
      <w:r>
        <w:br w:type="page"/>
      </w:r>
    </w:p>
    <w:p>
      <w:pPr>
        <w:pStyle w:val="u1"/>
      </w:pPr>
      <w:r>
        <w:t>5.6 Báo cáo tài chính và kiểm toán</w:t>
      </w:r>
    </w:p>
    <w:p>
      <w:r>
        <w:t>Mục tiêu: số liệu điều hành, thuế, sổ cái và nhật ký phản ánh các giao dịch đã kiểm thử, đúng kỳ và đúng trạng thái.</w:t>
      </w:r>
    </w:p>
    <w:p>
      <w:pPr>
        <w:pStyle w:val="u2"/>
      </w:pPr>
      <w:r>
        <w:t>Kiểm tra bằng System Manager</w:t>
      </w:r>
    </w:p>
    <w:p>
      <w:r>
        <w:t>1. Mở /admin/finance/payouts → Thuế &amp; Đối soát. Chọn tháng và năm của payout đã hoàn tất, không chọn nhầm ngày tạo yêu cầu.</w:t>
      </w:r>
    </w:p>
    <w:p>
      <w:r>
        <w:t>2. Bấm Xem báo cáo thuế. Đối chiếu tổng gross, tax, net với các payout đã hoàn tất trong kỳ; PENDING và REJECTED không được coi là tiền đã chi.</w:t>
      </w:r>
    </w:p>
    <w:p>
      <w:r>
        <w:t>3. Tải CSV và so sánh với báo cáo. Bấm Đối chiếu sổ cái: các nhóm tiền khách hàng, Escrow, thu nhập KOC và tiền giữ cho payout phải cân theo báo cáo.</w:t>
      </w:r>
    </w:p>
    <w:p>
      <w:r>
        <w:t>4. Nếu cần chứng từ thuế, chọn khoản đã khấu trừ, nhập nhà phát hành, số và ngày chứng từ, tải PDF đã phát hành; KOC phải tải được đúng chứng từ của mình.</w:t>
      </w:r>
    </w:p>
    <w:p>
      <w:pPr>
        <w:pStyle w:val="u2"/>
      </w:pPr>
      <w:r>
        <w:t>Kiểm tra bằng System Admin</w:t>
      </w:r>
    </w:p>
    <w:p>
      <w:r>
        <w:t>1. Đăng nhập admin@scanms.vn → http://localhost:5173/admin/analytics → chọn phần tài chính.</w:t>
      </w:r>
    </w:p>
    <w:p>
      <w:r>
        <w:t>2. Chọn đúng kỳ và đối chiếu GMV, doanh thu, chi phí hoa hồng, thưởng tháng, tiền đã chi và thuế với giao dịch đã ghi. Con số 11,4% trong Blueprint là ví dụ, không phải kết quả bắt buộc.</w:t>
      </w:r>
    </w:p>
    <w:p>
      <w:r>
        <w:t>3. Mở http://localhost:5173/admin/audit-logs. Tìm sự kiện chốt thưởng, duyệt và cộng ví, tạo payout, từ chối hoặc hoàn tất, và các điều chỉnh hoàn tiền.</w:t>
      </w:r>
    </w:p>
    <w:p>
      <w:r>
        <w:t>4. Kiểm tra người thực hiện, thời điểm, mã đối tượng và số tiền. Không sửa hoặc xóa audit để thử thao tác.</w:t>
      </w:r>
    </w:p>
    <w:p>
      <w:r>
        <w:t>Shop có thể mở /merchant/wallet để đối chiếu hiệu quả Store. Lợi nhuận cần chi phí thực tế có căn cứ; thiếu giá vốn không được mặc định là 0 để báo lãi. Shop không rút doanh thu bán hàng như ví thu nhập KOC.</w:t>
      </w:r>
    </w:p>
    <w:p>
      <w:pPr>
        <w:pStyle w:val="u2"/>
      </w:pPr>
      <w:r>
        <w:t>Bảng ghi kết quả nghiệm thu</w:t>
      </w:r>
    </w:p>
    <w:tbl>
      <w:tblPr>
        <w:tblW w:type="auto" w:w="0"/>
        <w:tblLook w:firstColumn="1" w:firstRow="1" w:lastColumn="0" w:lastRow="0" w:noHBand="0" w:noVBand="1" w:val="04A0"/>
      </w:tblPr>
      <w:tblGrid>
        <w:gridCol w:w="3251"/>
        <w:gridCol w:w="3251"/>
        <w:gridCol w:w="3251"/>
      </w:tblGrid>
      <w:tr>
        <w:trPr>
          <w:cantSplit/>
          <w:tblHeader/>
        </w:trPr>
        <w:tc>
          <w:tcPr>
            <w:tcW w:type="dxa" w:w="3251"/>
            <w:shd w:fill="F3EFE6"/>
          </w:tcPr>
          <w:p>
            <w:pPr>
              <w:spacing w:after="100" w:before="100"/>
            </w:pPr>
            <w:r>
              <w:rPr>
                <w:b/>
                <w:sz w:val="19"/>
              </w:rPr>
              <w:t>Bước</w:t>
            </w:r>
          </w:p>
        </w:tc>
        <w:tc>
          <w:tcPr>
            <w:tcW w:type="dxa" w:w="3251"/>
            <w:shd w:fill="F3EFE6"/>
          </w:tcPr>
          <w:p>
            <w:pPr>
              <w:spacing w:after="100" w:before="100"/>
            </w:pPr>
            <w:r>
              <w:rPr>
                <w:b/>
                <w:sz w:val="19"/>
              </w:rPr>
              <w:t>Nội dung cần có bằng chứng</w:t>
            </w:r>
          </w:p>
        </w:tc>
        <w:tc>
          <w:tcPr>
            <w:tcW w:type="dxa" w:w="3251"/>
            <w:shd w:fill="F3EFE6"/>
          </w:tcPr>
          <w:p>
            <w:pPr>
              <w:spacing w:after="100" w:before="100"/>
            </w:pPr>
            <w:r>
              <w:rPr>
                <w:b/>
                <w:sz w:val="19"/>
              </w:rPr>
              <w:t>Kết quả</w:t>
            </w:r>
          </w:p>
        </w:tc>
      </w:tr>
      <w:tr>
        <w:trPr>
          <w:cantSplit/>
        </w:trPr>
        <w:tc>
          <w:tcPr>
            <w:tcW w:type="dxa" w:w="3251"/>
          </w:tcPr>
          <w:p>
            <w:pPr>
              <w:spacing w:after="100" w:before="100"/>
            </w:pPr>
            <w:r>
              <w:rPr>
                <w:b w:val="0"/>
                <w:sz w:val="19"/>
              </w:rPr>
              <w:t>5.1</w:t>
            </w:r>
          </w:p>
        </w:tc>
        <w:tc>
          <w:tcPr>
            <w:tcW w:type="dxa" w:w="3251"/>
          </w:tcPr>
          <w:p>
            <w:pPr>
              <w:spacing w:after="100" w:before="100"/>
            </w:pPr>
            <w:r>
              <w:rPr>
                <w:b w:val="0"/>
                <w:sz w:val="19"/>
              </w:rPr>
              <w:t>Pending −X, khả dụng +X đúng một lần; giữ tiền khi có claim</w:t>
            </w:r>
          </w:p>
        </w:tc>
        <w:tc>
          <w:tcPr>
            <w:tcW w:type="dxa" w:w="3251"/>
          </w:tcPr>
          <w:p>
            <w:pPr>
              <w:spacing w:after="100" w:before="100"/>
            </w:pPr>
            <w:r>
              <w:rPr>
                <w:b w:val="0"/>
                <w:sz w:val="19"/>
              </w:rPr>
              <w:t>PASS / FAIL / BLOCKED</w:t>
            </w:r>
          </w:p>
        </w:tc>
      </w:tr>
      <w:tr>
        <w:trPr>
          <w:cantSplit/>
        </w:trPr>
        <w:tc>
          <w:tcPr>
            <w:tcW w:type="dxa" w:w="3251"/>
          </w:tcPr>
          <w:p>
            <w:pPr>
              <w:spacing w:after="100" w:before="100"/>
            </w:pPr>
            <w:r>
              <w:rPr>
                <w:b w:val="0"/>
                <w:sz w:val="19"/>
              </w:rPr>
              <w:t>5.2</w:t>
            </w:r>
          </w:p>
        </w:tc>
        <w:tc>
          <w:tcPr>
            <w:tcW w:type="dxa" w:w="3251"/>
          </w:tcPr>
          <w:p>
            <w:pPr>
              <w:spacing w:after="100" w:before="100"/>
            </w:pPr>
            <w:r>
              <w:rPr>
                <w:b w:val="0"/>
                <w:sz w:val="19"/>
              </w:rPr>
              <w:t>Đúng kỳ, chính sách, thưởng, trạng thái PAID và hạng</w:t>
            </w:r>
          </w:p>
        </w:tc>
        <w:tc>
          <w:tcPr>
            <w:tcW w:type="dxa" w:w="3251"/>
          </w:tcPr>
          <w:p>
            <w:pPr>
              <w:spacing w:after="100" w:before="100"/>
            </w:pPr>
            <w:r>
              <w:rPr>
                <w:b w:val="0"/>
                <w:sz w:val="19"/>
              </w:rPr>
              <w:t>PASS / FAIL / BLOCKED</w:t>
            </w:r>
          </w:p>
        </w:tc>
      </w:tr>
      <w:tr>
        <w:trPr>
          <w:cantSplit/>
        </w:trPr>
        <w:tc>
          <w:tcPr>
            <w:tcW w:type="dxa" w:w="3251"/>
          </w:tcPr>
          <w:p>
            <w:pPr>
              <w:spacing w:after="100" w:before="100"/>
            </w:pPr>
            <w:r>
              <w:rPr>
                <w:b w:val="0"/>
                <w:sz w:val="19"/>
              </w:rPr>
              <w:t>5.3</w:t>
            </w:r>
          </w:p>
        </w:tc>
        <w:tc>
          <w:tcPr>
            <w:tcW w:type="dxa" w:w="3251"/>
          </w:tcPr>
          <w:p>
            <w:pPr>
              <w:spacing w:after="100" w:before="100"/>
            </w:pPr>
            <w:r>
              <w:rPr>
                <w:b w:val="0"/>
                <w:sz w:val="19"/>
              </w:rPr>
              <w:t>Payout đúng nguồn, đúng người nhận và gross reserve</w:t>
            </w:r>
          </w:p>
        </w:tc>
        <w:tc>
          <w:tcPr>
            <w:tcW w:type="dxa" w:w="3251"/>
          </w:tcPr>
          <w:p>
            <w:pPr>
              <w:spacing w:after="100" w:before="100"/>
            </w:pPr>
            <w:r>
              <w:rPr>
                <w:b w:val="0"/>
                <w:sz w:val="19"/>
              </w:rPr>
              <w:t>PASS / FAIL / BLOCKED</w:t>
            </w:r>
          </w:p>
        </w:tc>
      </w:tr>
      <w:tr>
        <w:trPr>
          <w:cantSplit/>
        </w:trPr>
        <w:tc>
          <w:tcPr>
            <w:tcW w:type="dxa" w:w="3251"/>
          </w:tcPr>
          <w:p>
            <w:pPr>
              <w:spacing w:after="100" w:before="100"/>
            </w:pPr>
            <w:r>
              <w:rPr>
                <w:b w:val="0"/>
                <w:sz w:val="19"/>
              </w:rPr>
              <w:t>5.4</w:t>
            </w:r>
          </w:p>
        </w:tc>
        <w:tc>
          <w:tcPr>
            <w:tcW w:type="dxa" w:w="3251"/>
          </w:tcPr>
          <w:p>
            <w:pPr>
              <w:spacing w:after="100" w:before="100"/>
            </w:pPr>
            <w:r>
              <w:rPr>
                <w:b w:val="0"/>
                <w:sz w:val="19"/>
              </w:rPr>
              <w:t>Gross − tax = net; không rút vượt hoặc giữ trùng</w:t>
            </w:r>
          </w:p>
        </w:tc>
        <w:tc>
          <w:tcPr>
            <w:tcW w:type="dxa" w:w="3251"/>
          </w:tcPr>
          <w:p>
            <w:pPr>
              <w:spacing w:after="100" w:before="100"/>
            </w:pPr>
            <w:r>
              <w:rPr>
                <w:b w:val="0"/>
                <w:sz w:val="19"/>
              </w:rPr>
              <w:t>PASS / FAIL / BLOCKED</w:t>
            </w:r>
          </w:p>
        </w:tc>
      </w:tr>
      <w:tr>
        <w:trPr>
          <w:cantSplit/>
        </w:trPr>
        <w:tc>
          <w:tcPr>
            <w:tcW w:type="dxa" w:w="3251"/>
          </w:tcPr>
          <w:p>
            <w:pPr>
              <w:spacing w:after="100" w:before="100"/>
            </w:pPr>
            <w:r>
              <w:rPr>
                <w:b w:val="0"/>
                <w:sz w:val="19"/>
              </w:rPr>
              <w:t>5.5</w:t>
            </w:r>
          </w:p>
        </w:tc>
        <w:tc>
          <w:tcPr>
            <w:tcW w:type="dxa" w:w="3251"/>
          </w:tcPr>
          <w:p>
            <w:pPr>
              <w:spacing w:after="100" w:before="100"/>
            </w:pPr>
            <w:r>
              <w:rPr>
                <w:b w:val="0"/>
                <w:sz w:val="19"/>
              </w:rPr>
              <w:t>Duyệt hoặc từ chối, bank reference, thông báo và email</w:t>
            </w:r>
          </w:p>
        </w:tc>
        <w:tc>
          <w:tcPr>
            <w:tcW w:type="dxa" w:w="3251"/>
          </w:tcPr>
          <w:p>
            <w:pPr>
              <w:spacing w:after="100" w:before="100"/>
            </w:pPr>
            <w:r>
              <w:rPr>
                <w:b w:val="0"/>
                <w:sz w:val="19"/>
              </w:rPr>
              <w:t>PASS / FAIL / BLOCKED</w:t>
            </w:r>
          </w:p>
        </w:tc>
      </w:tr>
      <w:tr>
        <w:trPr>
          <w:cantSplit/>
        </w:trPr>
        <w:tc>
          <w:tcPr>
            <w:tcW w:type="dxa" w:w="3251"/>
          </w:tcPr>
          <w:p>
            <w:pPr>
              <w:spacing w:after="100" w:before="100"/>
            </w:pPr>
            <w:r>
              <w:rPr>
                <w:b w:val="0"/>
                <w:sz w:val="19"/>
              </w:rPr>
              <w:t>5.6</w:t>
            </w:r>
          </w:p>
        </w:tc>
        <w:tc>
          <w:tcPr>
            <w:tcW w:type="dxa" w:w="3251"/>
          </w:tcPr>
          <w:p>
            <w:pPr>
              <w:spacing w:after="100" w:before="100"/>
            </w:pPr>
            <w:r>
              <w:rPr>
                <w:b w:val="0"/>
                <w:sz w:val="19"/>
              </w:rPr>
              <w:t>Báo cáo đúng kỳ, CSV, sổ cân, chứng từ và audit</w:t>
            </w:r>
          </w:p>
        </w:tc>
        <w:tc>
          <w:tcPr>
            <w:tcW w:type="dxa" w:w="3251"/>
          </w:tcPr>
          <w:p>
            <w:pPr>
              <w:spacing w:after="100" w:before="100"/>
            </w:pPr>
            <w:r>
              <w:rPr>
                <w:b w:val="0"/>
                <w:sz w:val="19"/>
              </w:rPr>
              <w:t>PASS / FAIL / BLOCKED</w:t>
            </w:r>
          </w:p>
        </w:tc>
      </w:tr>
    </w:tbl>
    <w:p/>
    <w:p>
      <w:r>
        <w:t>Mỗi ca lưu: ngày giờ, tài khoản và vai trò, Store, mã đơn hoặc payout hoặc settlement, số dư trước và sau, kết quả mong đợi, kết quả thực tế và ảnh chụp. Chỉ đánh PASS khi đã có bằng chứng tương ứng; ghi riêng phần ngân hàng, email hoặc chứng từ còn thiếu.</w:t>
      </w:r>
    </w:p>
    <w:sectPr w:rsidR="007A0BC8">
      <w:footerReference w:type="default" r:id="rId6"/>
      <w:pgSz w:w="11906" w:h="16838"/>
      <w:pgMar w:top="964" w:right="1077" w:bottom="90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A3"/>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D715E"/>
        <w:sz w:val="16"/>
      </w:rPr>
      <w:t xml:space="preserve">SCANMS  •  </w:t>
    </w:r>
    <w:fldSimple w:instr="PAG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5D"/>
    <w:rsid w:val="0060625D"/>
    <w:rsid w:val="00631831"/>
    <w:rsid w:val="00635CFA"/>
    <w:rsid w:val="007A0BC8"/>
    <w:rsid w:val="00B2309E"/>
    <w:rsid w:val="00D761E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56F5"/>
  <w15:chartTrackingRefBased/>
  <w15:docId w15:val="{974A3F70-69E4-47DC-9E21-6F81E1CC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271" w:lineRule="auto"/>
    </w:pPr>
    <w:rPr>
      <w:rFonts w:ascii="Arial" w:hAnsi="Arial"/>
      <w:color w:val="1A1612"/>
      <w:sz w:val="21"/>
    </w:rPr>
  </w:style>
  <w:style w:type="paragraph" w:styleId="u1">
    <w:name w:val="heading 1"/>
    <w:basedOn w:val="Binhthng"/>
    <w:next w:val="Binhthng"/>
    <w:link w:val="u1Char"/>
    <w:uiPriority w:val="9"/>
    <w:qFormat/>
    <w:rsid w:val="0060625D"/>
    <w:pPr>
      <w:keepNext/>
      <w:keepLines/>
      <w:spacing w:before="200" w:after="120" w:line="271" w:lineRule="auto"/>
      <w:outlineLvl w:val="0"/>
    </w:pPr>
    <w:rPr>
      <w:rFonts w:asciiTheme="majorHAnsi" w:eastAsiaTheme="majorEastAsia" w:hAnsiTheme="majorHAnsi" w:cstheme="majorBidi" w:ascii="Arial" w:hAnsi="Arial"/>
      <w:b/>
      <w:color w:val="1A1612"/>
      <w:sz w:val="34"/>
      <w:szCs w:val="40"/>
    </w:rPr>
  </w:style>
  <w:style w:type="paragraph" w:styleId="u2">
    <w:name w:val="heading 2"/>
    <w:basedOn w:val="Binhthng"/>
    <w:next w:val="Binhthng"/>
    <w:link w:val="u2Char"/>
    <w:uiPriority w:val="9"/>
    <w:semiHidden/>
    <w:unhideWhenUsed/>
    <w:qFormat/>
    <w:rsid w:val="0060625D"/>
    <w:pPr>
      <w:keepNext/>
      <w:keepLines/>
      <w:spacing w:before="200" w:after="120" w:line="271" w:lineRule="auto"/>
      <w:outlineLvl w:val="1"/>
    </w:pPr>
    <w:rPr>
      <w:rFonts w:asciiTheme="majorHAnsi" w:eastAsiaTheme="majorEastAsia" w:hAnsiTheme="majorHAnsi" w:cstheme="majorBidi" w:ascii="Arial" w:hAnsi="Arial"/>
      <w:b/>
      <w:color w:val="1A1612"/>
      <w:sz w:val="23"/>
      <w:szCs w:val="32"/>
    </w:rPr>
  </w:style>
  <w:style w:type="paragraph" w:styleId="u3">
    <w:name w:val="heading 3"/>
    <w:basedOn w:val="Binhthng"/>
    <w:next w:val="Binhthng"/>
    <w:link w:val="u3Char"/>
    <w:uiPriority w:val="9"/>
    <w:semiHidden/>
    <w:unhideWhenUsed/>
    <w:qFormat/>
    <w:rsid w:val="0060625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0625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0625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0625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0625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0625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0625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0625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0625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0625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0625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0625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0625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0625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0625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0625D"/>
    <w:rPr>
      <w:rFonts w:eastAsiaTheme="majorEastAsia" w:cstheme="majorBidi"/>
      <w:color w:val="272727" w:themeColor="text1" w:themeTint="D8"/>
    </w:rPr>
  </w:style>
  <w:style w:type="paragraph" w:styleId="Tiu">
    <w:name w:val="Title"/>
    <w:basedOn w:val="Binhthng"/>
    <w:next w:val="Binhthng"/>
    <w:link w:val="TiuChar"/>
    <w:uiPriority w:val="10"/>
    <w:qFormat/>
    <w:rsid w:val="0060625D"/>
    <w:pPr>
      <w:spacing w:after="120" w:line="271" w:lineRule="auto"/>
      <w:contextualSpacing/>
    </w:pPr>
    <w:rPr>
      <w:rFonts w:asciiTheme="majorHAnsi" w:eastAsiaTheme="majorEastAsia" w:hAnsiTheme="majorHAnsi" w:cstheme="majorBidi" w:ascii="Arial" w:hAnsi="Arial"/>
      <w:color w:val="1A1612"/>
      <w:spacing w:val="-10"/>
      <w:kern w:val="28"/>
      <w:sz w:val="46"/>
      <w:szCs w:val="56"/>
    </w:rPr>
  </w:style>
  <w:style w:type="character" w:customStyle="1" w:styleId="TiuChar">
    <w:name w:val="Tiêu đề Char"/>
    <w:basedOn w:val="Phngmcinhcuaoanvn"/>
    <w:link w:val="Tiu"/>
    <w:uiPriority w:val="10"/>
    <w:rsid w:val="0060625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0625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0625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0625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0625D"/>
    <w:rPr>
      <w:i/>
      <w:iCs/>
      <w:color w:val="404040" w:themeColor="text1" w:themeTint="BF"/>
    </w:rPr>
  </w:style>
  <w:style w:type="paragraph" w:styleId="oancuaDanhsach">
    <w:name w:val="List Paragraph"/>
    <w:basedOn w:val="Binhthng"/>
    <w:uiPriority w:val="34"/>
    <w:qFormat/>
    <w:rsid w:val="0060625D"/>
    <w:pPr>
      <w:ind w:left="720"/>
      <w:contextualSpacing/>
    </w:pPr>
  </w:style>
  <w:style w:type="character" w:styleId="NhnmnhThm">
    <w:name w:val="Intense Emphasis"/>
    <w:basedOn w:val="Phngmcinhcuaoanvn"/>
    <w:uiPriority w:val="21"/>
    <w:qFormat/>
    <w:rsid w:val="0060625D"/>
    <w:rPr>
      <w:i/>
      <w:iCs/>
      <w:color w:val="2F5496" w:themeColor="accent1" w:themeShade="BF"/>
    </w:rPr>
  </w:style>
  <w:style w:type="paragraph" w:styleId="Nhaykepm">
    <w:name w:val="Intense Quote"/>
    <w:basedOn w:val="Binhthng"/>
    <w:next w:val="Binhthng"/>
    <w:link w:val="NhaykepmChar"/>
    <w:uiPriority w:val="30"/>
    <w:qFormat/>
    <w:rsid w:val="00606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0625D"/>
    <w:rPr>
      <w:i/>
      <w:iCs/>
      <w:color w:val="2F5496" w:themeColor="accent1" w:themeShade="BF"/>
    </w:rPr>
  </w:style>
  <w:style w:type="character" w:styleId="ThamchiuNhnmnh">
    <w:name w:val="Intense Reference"/>
    <w:basedOn w:val="Phngmcinhcuaoanvn"/>
    <w:uiPriority w:val="32"/>
    <w:qFormat/>
    <w:rsid w:val="0060625D"/>
    <w:rPr>
      <w:b/>
      <w:bCs/>
      <w:smallCaps/>
      <w:color w:val="2F5496" w:themeColor="accent1" w:themeShade="BF"/>
      <w:spacing w:val="5"/>
    </w:rPr>
  </w:style>
  <w:style w:type="paragraph" w:customStyle="1" w:styleId="ListBullet">
    <w:name w:val="List Bullet"/>
    <w:pPr>
      <w:spacing w:after="120" w:line="271" w:lineRule="auto"/>
    </w:pPr>
    <w:rPr>
      <w:rFonts w:ascii="Arial" w:hAnsi="Arial"/>
      <w:color w:val="1A1612"/>
      <w:sz w:val="21"/>
    </w:rPr>
  </w:style>
  <w:style w:type="paragraph" w:customStyle="1" w:styleId="ListNumber">
    <w:name w:val="List Number"/>
    <w:pPr>
      <w:spacing w:after="120" w:line="271" w:lineRule="auto"/>
    </w:pPr>
    <w:rPr>
      <w:rFonts w:ascii="Arial" w:hAnsi="Arial"/>
      <w:color w:val="1A161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Main Flow 5</dc:title>
  <dc:subject/>
  <dc:creator/>
  <cp:keywords/>
  <dc:description/>
  <cp:lastModifiedBy>tuan nguyen dinh</cp:lastModifiedBy>
  <cp:revision>1</cp:revision>
  <dcterms:created xsi:type="dcterms:W3CDTF">2026-11-01T05:42:00Z</dcterms:created>
  <dcterms:modified xsi:type="dcterms:W3CDTF">2026-11-01T05:43:00Z</dcterms:modified>
</cp:coreProperties>
</file>