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2B90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32"/>
          <w:szCs w:val="32"/>
        </w:rPr>
      </w:pPr>
      <w:r>
        <w:rPr>
          <w:rStyle w:val="9"/>
          <w:rFonts w:hint="default" w:ascii="Times New Roman" w:hAnsi="Times New Roman" w:eastAsia="SFProDisplay" w:cs="Times New Roman"/>
          <w:b/>
          <w:bCs/>
          <w:i w:val="0"/>
          <w:iCs w:val="0"/>
          <w:caps w:val="0"/>
          <w:color w:val="000000"/>
          <w:spacing w:val="0"/>
          <w:sz w:val="32"/>
          <w:szCs w:val="32"/>
          <w:bdr w:val="none" w:color="auto" w:sz="0" w:space="0"/>
          <w:shd w:val="clear" w:fill="FFFFFF"/>
          <w:lang w:val="en-US"/>
        </w:rPr>
        <w:t>Bước 1 — Tự lập bảng lỗi phát hiện được</w:t>
      </w:r>
      <w:r>
        <w:rPr>
          <w:rFonts w:hint="default" w:ascii="Times New Roman" w:hAnsi="Times New Roman" w:eastAsia="SFProDisplay" w:cs="Times New Roman"/>
          <w:i w:val="0"/>
          <w:iCs w:val="0"/>
          <w:caps w:val="0"/>
          <w:color w:val="000000"/>
          <w:spacing w:val="0"/>
          <w:sz w:val="32"/>
          <w:szCs w:val="32"/>
          <w:bdr w:val="none" w:color="auto" w:sz="0" w:space="0"/>
          <w:shd w:val="clear" w:fill="FFFFFF"/>
          <w:lang w:val="en-US"/>
        </w:rPr>
        <w:t xml:space="preserve"> :</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68"/>
        <w:gridCol w:w="2290"/>
        <w:gridCol w:w="2620"/>
        <w:gridCol w:w="2408"/>
      </w:tblGrid>
      <w:tr w14:paraId="2B56CB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268"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368E977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9"/>
                <w:rFonts w:hint="default" w:ascii="Times New Roman" w:hAnsi="Times New Roman" w:cs="Times New Roman"/>
                <w:b/>
                <w:bCs/>
                <w:color w:val="FFFFFF"/>
                <w:sz w:val="24"/>
                <w:szCs w:val="24"/>
                <w:bdr w:val="none" w:color="auto" w:sz="0" w:space="0"/>
                <w:lang w:val="en-US"/>
              </w:rPr>
              <w:t>STT</w:t>
            </w:r>
          </w:p>
        </w:tc>
        <w:tc>
          <w:tcPr>
            <w:tcW w:w="229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16D174E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9"/>
                <w:rFonts w:hint="default" w:ascii="Times New Roman" w:hAnsi="Times New Roman" w:cs="Times New Roman"/>
                <w:b/>
                <w:bCs/>
                <w:color w:val="FFFFFF"/>
                <w:sz w:val="24"/>
                <w:szCs w:val="24"/>
                <w:bdr w:val="none" w:color="auto" w:sz="0" w:space="0"/>
                <w:lang w:val="en-US"/>
              </w:rPr>
              <w:t>Nội dung lỗi</w:t>
            </w:r>
          </w:p>
        </w:tc>
        <w:tc>
          <w:tcPr>
            <w:tcW w:w="262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26DE4C4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9"/>
                <w:rFonts w:hint="default" w:ascii="Times New Roman" w:hAnsi="Times New Roman" w:cs="Times New Roman"/>
                <w:b/>
                <w:bCs/>
                <w:color w:val="FFFFFF"/>
                <w:sz w:val="24"/>
                <w:szCs w:val="24"/>
                <w:bdr w:val="none" w:color="auto" w:sz="0" w:space="0"/>
                <w:lang w:val="en-US"/>
              </w:rPr>
              <w:t xml:space="preserve">Phân loại lỗi </w:t>
            </w:r>
          </w:p>
        </w:tc>
        <w:tc>
          <w:tcPr>
            <w:tcW w:w="2408"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5C5894B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9"/>
                <w:rFonts w:hint="default" w:ascii="Times New Roman" w:hAnsi="Times New Roman" w:cs="Times New Roman"/>
                <w:b/>
                <w:bCs/>
                <w:color w:val="FFFFFF"/>
                <w:sz w:val="24"/>
                <w:szCs w:val="24"/>
                <w:bdr w:val="none" w:color="auto" w:sz="0" w:space="0"/>
                <w:lang w:val="en-US"/>
              </w:rPr>
              <w:t>Vị trí đúng hoặc cách khắc phục</w:t>
            </w:r>
          </w:p>
        </w:tc>
      </w:tr>
      <w:tr w14:paraId="38383F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268"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165E12D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1</w:t>
            </w:r>
          </w:p>
        </w:tc>
        <w:tc>
          <w:tcPr>
            <w:tcW w:w="229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517F5A2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rPr>
              <w:t> Actor và Use Case đang đặt trong mục 2.4 Constraints</w:t>
            </w:r>
          </w:p>
        </w:tc>
        <w:tc>
          <w:tcPr>
            <w:tcW w:w="262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02546ED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rPr>
              <w:t>Sai vị trí IEEE 830</w:t>
            </w:r>
          </w:p>
        </w:tc>
        <w:tc>
          <w:tcPr>
            <w:tcW w:w="2408" w:type="dxa"/>
            <w:tcBorders>
              <w:top w:val="nil"/>
              <w:left w:val="nil"/>
              <w:bottom w:val="nil"/>
              <w:right w:val="nil"/>
            </w:tcBorders>
            <w:shd w:val="clear" w:color="auto" w:fill="FFFFFF"/>
            <w:tcMar>
              <w:top w:w="100" w:type="dxa"/>
              <w:left w:w="140" w:type="dxa"/>
              <w:bottom w:w="100" w:type="dxa"/>
              <w:right w:w="140" w:type="dxa"/>
            </w:tcMar>
            <w:vAlign w:val="center"/>
          </w:tcPr>
          <w:p w14:paraId="10C1A61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rPr>
            </w:pPr>
            <w:r>
              <w:rPr>
                <w:rFonts w:hint="default" w:ascii="Times New Roman" w:hAnsi="Times New Roman" w:cs="Times New Roman"/>
                <w:color w:val="000000"/>
                <w:sz w:val="24"/>
                <w:szCs w:val="24"/>
                <w:bdr w:val="none" w:color="auto" w:sz="0" w:space="0"/>
              </w:rPr>
              <w:t> Chuyển sang 2.2 Product Functions</w:t>
            </w:r>
          </w:p>
        </w:tc>
      </w:tr>
      <w:tr w14:paraId="0C8B375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268"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0F23FF9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2</w:t>
            </w:r>
          </w:p>
        </w:tc>
        <w:tc>
          <w:tcPr>
            <w:tcW w:w="229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67D5362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rPr>
            </w:pPr>
            <w:r>
              <w:rPr>
                <w:rFonts w:hint="default" w:ascii="Times New Roman" w:hAnsi="Times New Roman" w:cs="Times New Roman"/>
                <w:color w:val="000000"/>
                <w:sz w:val="24"/>
                <w:szCs w:val="24"/>
                <w:bdr w:val="none" w:color="auto" w:sz="0" w:space="0"/>
              </w:rPr>
              <w:t>Sơ đồ ERD đang đặt trong 1.3 Definitions</w:t>
            </w:r>
          </w:p>
        </w:tc>
        <w:tc>
          <w:tcPr>
            <w:tcW w:w="262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718CB15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lang w:val="vi-VN"/>
              </w:rPr>
            </w:pPr>
            <w:r>
              <w:rPr>
                <w:rFonts w:hint="default" w:ascii="Times New Roman" w:hAnsi="Times New Roman" w:cs="Times New Roman"/>
                <w:color w:val="000000"/>
                <w:sz w:val="24"/>
                <w:szCs w:val="24"/>
                <w:bdr w:val="none" w:color="auto" w:sz="0" w:space="0"/>
                <w:lang w:val="vi-VN"/>
              </w:rPr>
              <w:t>Sai vị trí IEEE 830</w:t>
            </w:r>
          </w:p>
        </w:tc>
        <w:tc>
          <w:tcPr>
            <w:tcW w:w="2408" w:type="dxa"/>
            <w:tcBorders>
              <w:top w:val="nil"/>
              <w:left w:val="nil"/>
              <w:bottom w:val="nil"/>
              <w:right w:val="nil"/>
            </w:tcBorders>
            <w:shd w:val="clear" w:color="auto" w:fill="FFFFFF"/>
            <w:tcMar>
              <w:top w:w="100" w:type="dxa"/>
              <w:left w:w="140" w:type="dxa"/>
              <w:bottom w:w="100" w:type="dxa"/>
              <w:right w:w="140" w:type="dxa"/>
            </w:tcMar>
            <w:vAlign w:val="center"/>
          </w:tcPr>
          <w:p w14:paraId="11B6E16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rPr>
            </w:pPr>
            <w:r>
              <w:rPr>
                <w:rFonts w:hint="default" w:ascii="Times New Roman" w:hAnsi="Times New Roman" w:cs="Times New Roman"/>
                <w:color w:val="000000"/>
                <w:sz w:val="24"/>
                <w:szCs w:val="24"/>
                <w:bdr w:val="none" w:color="auto" w:sz="0" w:space="0"/>
              </w:rPr>
              <w:t>Chuyển sang 2.4/2.5 Design Constraints hoặc Data Model trong Overall Description</w:t>
            </w:r>
          </w:p>
        </w:tc>
      </w:tr>
      <w:tr w14:paraId="253251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268"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2F434A6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3</w:t>
            </w:r>
          </w:p>
        </w:tc>
        <w:tc>
          <w:tcPr>
            <w:tcW w:w="229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274F323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rPr>
            </w:pPr>
            <w:r>
              <w:rPr>
                <w:rFonts w:hint="default" w:ascii="Times New Roman" w:hAnsi="Times New Roman" w:eastAsia="SimSun" w:cs="Times New Roman"/>
                <w:b w:val="0"/>
                <w:bCs w:val="0"/>
                <w:sz w:val="24"/>
                <w:szCs w:val="24"/>
              </w:rPr>
              <w:t>REQ-21 sử dụng cụm từ "nhanh chóng"</w:t>
            </w:r>
          </w:p>
        </w:tc>
        <w:tc>
          <w:tcPr>
            <w:tcW w:w="262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397A3F2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lang w:val="vi-VN"/>
              </w:rPr>
            </w:pPr>
            <w:r>
              <w:rPr>
                <w:rFonts w:hint="default" w:ascii="Times New Roman" w:hAnsi="Times New Roman" w:eastAsia="SimSun" w:cs="Times New Roman"/>
                <w:sz w:val="24"/>
                <w:szCs w:val="24"/>
              </w:rPr>
              <w:t xml:space="preserve">Vi phạm </w:t>
            </w:r>
            <w:r>
              <w:rPr>
                <w:rStyle w:val="9"/>
                <w:rFonts w:hint="default" w:ascii="Times New Roman" w:hAnsi="Times New Roman" w:eastAsia="SimSun" w:cs="Times New Roman"/>
                <w:sz w:val="24"/>
                <w:szCs w:val="24"/>
              </w:rPr>
              <w:t>Verifiable</w:t>
            </w:r>
          </w:p>
        </w:tc>
        <w:tc>
          <w:tcPr>
            <w:tcW w:w="2408" w:type="dxa"/>
            <w:tcBorders>
              <w:top w:val="nil"/>
              <w:left w:val="nil"/>
              <w:bottom w:val="nil"/>
              <w:right w:val="nil"/>
            </w:tcBorders>
            <w:shd w:val="clear" w:color="auto" w:fill="FFFFFF"/>
            <w:tcMar>
              <w:top w:w="100" w:type="dxa"/>
              <w:left w:w="140" w:type="dxa"/>
              <w:bottom w:w="100" w:type="dxa"/>
              <w:right w:w="140" w:type="dxa"/>
            </w:tcMar>
            <w:vAlign w:val="center"/>
          </w:tcPr>
          <w:p w14:paraId="744F6EA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rPr>
            </w:pPr>
            <w:r>
              <w:rPr>
                <w:rFonts w:hint="default" w:ascii="Times New Roman" w:hAnsi="Times New Roman" w:cs="Times New Roman"/>
                <w:color w:val="000000"/>
                <w:sz w:val="24"/>
                <w:szCs w:val="24"/>
                <w:bdr w:val="none" w:color="auto" w:sz="0" w:space="0"/>
              </w:rPr>
              <w:t>Bổ sung chỉ số thời gian cụ thể để kiểm thử được</w:t>
            </w:r>
          </w:p>
        </w:tc>
      </w:tr>
      <w:tr w14:paraId="1939F0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268"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15DD64D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4</w:t>
            </w:r>
          </w:p>
        </w:tc>
        <w:tc>
          <w:tcPr>
            <w:tcW w:w="229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1519A3C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REQ-21 chưa nêu rõ điều kiện xử lý và kết quả đầu ra</w:t>
            </w:r>
          </w:p>
        </w:tc>
        <w:tc>
          <w:tcPr>
            <w:tcW w:w="262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329F06E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Vi phạm </w:t>
            </w:r>
            <w:r>
              <w:rPr>
                <w:rStyle w:val="9"/>
                <w:rFonts w:hint="default" w:ascii="Times New Roman" w:hAnsi="Times New Roman" w:eastAsia="SimSun" w:cs="Times New Roman"/>
                <w:sz w:val="24"/>
                <w:szCs w:val="24"/>
              </w:rPr>
              <w:t>Complete</w:t>
            </w:r>
          </w:p>
        </w:tc>
        <w:tc>
          <w:tcPr>
            <w:tcW w:w="2408" w:type="dxa"/>
            <w:tcBorders>
              <w:top w:val="nil"/>
              <w:left w:val="nil"/>
              <w:bottom w:val="nil"/>
              <w:right w:val="nil"/>
            </w:tcBorders>
            <w:shd w:val="clear" w:color="auto" w:fill="FFFFFF"/>
            <w:tcMar>
              <w:top w:w="100" w:type="dxa"/>
              <w:left w:w="140" w:type="dxa"/>
              <w:bottom w:w="100" w:type="dxa"/>
              <w:right w:w="140" w:type="dxa"/>
            </w:tcMar>
            <w:vAlign w:val="center"/>
          </w:tcPr>
          <w:p w14:paraId="1AB284C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rPr>
            </w:pPr>
            <w:r>
              <w:rPr>
                <w:rFonts w:hint="default" w:ascii="Times New Roman" w:hAnsi="Times New Roman" w:cs="Times New Roman"/>
                <w:color w:val="000000"/>
                <w:sz w:val="24"/>
                <w:szCs w:val="24"/>
                <w:bdr w:val="none" w:color="auto" w:sz="0" w:space="0"/>
              </w:rPr>
              <w:t>Bổ sung điều kiện sau khi nhận yêu cầu hợp lệ và trạng thái báo giá được gửi</w:t>
            </w:r>
          </w:p>
        </w:tc>
      </w:tr>
      <w:tr w14:paraId="2C73F1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268"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47F7BCF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5</w:t>
            </w:r>
          </w:p>
        </w:tc>
        <w:tc>
          <w:tcPr>
            <w:tcW w:w="229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3DC9755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REQ-23 cho phép sửa báo giá sau khi thanh toán</w:t>
            </w:r>
          </w:p>
        </w:tc>
        <w:tc>
          <w:tcPr>
            <w:tcW w:w="262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248991B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Mâu thuẫn với REQ-24</w:t>
            </w:r>
          </w:p>
        </w:tc>
        <w:tc>
          <w:tcPr>
            <w:tcW w:w="2408" w:type="dxa"/>
            <w:tcBorders>
              <w:top w:val="nil"/>
              <w:left w:val="nil"/>
              <w:bottom w:val="nil"/>
              <w:right w:val="nil"/>
            </w:tcBorders>
            <w:shd w:val="clear" w:color="auto" w:fill="FFFFFF"/>
            <w:tcMar>
              <w:top w:w="100" w:type="dxa"/>
              <w:left w:w="140" w:type="dxa"/>
              <w:bottom w:w="100" w:type="dxa"/>
              <w:right w:w="140" w:type="dxa"/>
            </w:tcMar>
            <w:vAlign w:val="center"/>
          </w:tcPr>
          <w:p w14:paraId="38A37A0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rPr>
            </w:pPr>
            <w:r>
              <w:rPr>
                <w:rFonts w:hint="default" w:ascii="Times New Roman" w:hAnsi="Times New Roman" w:cs="Times New Roman"/>
                <w:color w:val="000000"/>
                <w:sz w:val="24"/>
                <w:szCs w:val="24"/>
                <w:bdr w:val="none" w:color="auto" w:sz="0" w:space="0"/>
              </w:rPr>
              <w:t>Vi phạm Consistent</w:t>
            </w:r>
          </w:p>
        </w:tc>
      </w:tr>
      <w:tr w14:paraId="637363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268"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065DFB6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6</w:t>
            </w:r>
          </w:p>
        </w:tc>
        <w:tc>
          <w:tcPr>
            <w:tcW w:w="229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4892F74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REQ-24 khóa báo giá sau thanh toán</w:t>
            </w:r>
          </w:p>
        </w:tc>
        <w:tc>
          <w:tcPr>
            <w:tcW w:w="262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14E6379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Mâu thuẫn với REQ-23</w:t>
            </w:r>
          </w:p>
        </w:tc>
        <w:tc>
          <w:tcPr>
            <w:tcW w:w="2408" w:type="dxa"/>
            <w:tcBorders>
              <w:top w:val="nil"/>
              <w:left w:val="nil"/>
              <w:bottom w:val="nil"/>
              <w:right w:val="nil"/>
            </w:tcBorders>
            <w:shd w:val="clear" w:color="auto" w:fill="FFFFFF"/>
            <w:tcMar>
              <w:top w:w="100" w:type="dxa"/>
              <w:left w:w="140" w:type="dxa"/>
              <w:bottom w:w="100" w:type="dxa"/>
              <w:right w:w="140" w:type="dxa"/>
            </w:tcMar>
            <w:vAlign w:val="center"/>
          </w:tcPr>
          <w:p w14:paraId="211B4DC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rPr>
            </w:pPr>
            <w:r>
              <w:rPr>
                <w:rFonts w:hint="default" w:ascii="Times New Roman" w:hAnsi="Times New Roman" w:cs="Times New Roman"/>
                <w:color w:val="000000"/>
                <w:sz w:val="24"/>
                <w:szCs w:val="24"/>
                <w:bdr w:val="none" w:color="auto" w:sz="0" w:space="0"/>
              </w:rPr>
              <w:t>Vi phạm Consistent</w:t>
            </w:r>
          </w:p>
        </w:tc>
      </w:tr>
      <w:tr w14:paraId="472225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268"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69766EE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7</w:t>
            </w:r>
          </w:p>
        </w:tc>
        <w:tc>
          <w:tcPr>
            <w:tcW w:w="229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5999758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REQ-25 ghi "có thể được cân nhắc bổ sung sau"</w:t>
            </w:r>
          </w:p>
        </w:tc>
        <w:tc>
          <w:tcPr>
            <w:tcW w:w="262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5621CBF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 phạm Ranked for Importance/Stability</w:t>
            </w:r>
          </w:p>
        </w:tc>
        <w:tc>
          <w:tcPr>
            <w:tcW w:w="2408" w:type="dxa"/>
            <w:tcBorders>
              <w:top w:val="nil"/>
              <w:left w:val="nil"/>
              <w:bottom w:val="nil"/>
              <w:right w:val="nil"/>
            </w:tcBorders>
            <w:shd w:val="clear" w:color="auto" w:fill="FFFFFF"/>
            <w:tcMar>
              <w:top w:w="100" w:type="dxa"/>
              <w:left w:w="140" w:type="dxa"/>
              <w:bottom w:w="100" w:type="dxa"/>
              <w:right w:w="140" w:type="dxa"/>
            </w:tcMar>
            <w:vAlign w:val="center"/>
          </w:tcPr>
          <w:p w14:paraId="6F87A93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rPr>
            </w:pPr>
            <w:r>
              <w:rPr>
                <w:rFonts w:hint="default" w:ascii="Times New Roman" w:hAnsi="Times New Roman" w:cs="Times New Roman"/>
                <w:color w:val="000000"/>
                <w:sz w:val="24"/>
                <w:szCs w:val="24"/>
                <w:bdr w:val="none" w:color="auto" w:sz="0" w:space="0"/>
              </w:rPr>
              <w:t>Gán mức ưu tiên rõ ràng</w:t>
            </w:r>
          </w:p>
        </w:tc>
      </w:tr>
      <w:tr w14:paraId="266091C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268"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725D6C0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8</w:t>
            </w:r>
          </w:p>
        </w:tc>
        <w:tc>
          <w:tcPr>
            <w:tcW w:w="229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62AC13F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REQ-25 mô tả mơ hồ, không phải yêu cầu hệ thống rõ ràng</w:t>
            </w:r>
          </w:p>
        </w:tc>
        <w:tc>
          <w:tcPr>
            <w:tcW w:w="2620" w:type="dxa"/>
            <w:tcBorders>
              <w:top w:val="nil"/>
              <w:left w:val="nil"/>
              <w:bottom w:val="nil"/>
              <w:right w:val="single" w:color="D3D3D3" w:sz="8" w:space="0"/>
            </w:tcBorders>
            <w:shd w:val="clear" w:color="auto" w:fill="FFFFFF"/>
            <w:tcMar>
              <w:top w:w="100" w:type="dxa"/>
              <w:left w:w="140" w:type="dxa"/>
              <w:bottom w:w="100" w:type="dxa"/>
              <w:right w:w="140" w:type="dxa"/>
            </w:tcMar>
            <w:vAlign w:val="center"/>
          </w:tcPr>
          <w:p w14:paraId="53151C4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Vi phạm </w:t>
            </w:r>
            <w:r>
              <w:rPr>
                <w:rStyle w:val="9"/>
                <w:rFonts w:hint="default" w:ascii="Times New Roman" w:hAnsi="Times New Roman" w:eastAsia="SimSun" w:cs="Times New Roman"/>
                <w:sz w:val="24"/>
                <w:szCs w:val="24"/>
              </w:rPr>
              <w:t>Unambiguous</w:t>
            </w:r>
          </w:p>
        </w:tc>
        <w:tc>
          <w:tcPr>
            <w:tcW w:w="2408" w:type="dxa"/>
            <w:tcBorders>
              <w:top w:val="nil"/>
              <w:left w:val="nil"/>
              <w:bottom w:val="nil"/>
              <w:right w:val="nil"/>
            </w:tcBorders>
            <w:shd w:val="clear" w:color="auto" w:fill="FFFFFF"/>
            <w:tcMar>
              <w:top w:w="100" w:type="dxa"/>
              <w:left w:w="140" w:type="dxa"/>
              <w:bottom w:w="100" w:type="dxa"/>
              <w:right w:w="140" w:type="dxa"/>
            </w:tcMar>
            <w:vAlign w:val="center"/>
          </w:tcPr>
          <w:p w14:paraId="0CAB22D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rPr>
            </w:pPr>
            <w:r>
              <w:rPr>
                <w:rFonts w:hint="default" w:ascii="Times New Roman" w:hAnsi="Times New Roman" w:cs="Times New Roman"/>
                <w:color w:val="000000"/>
                <w:sz w:val="24"/>
                <w:szCs w:val="24"/>
                <w:bdr w:val="none" w:color="auto" w:sz="0" w:space="0"/>
              </w:rPr>
              <w:t>Viết thành yêu cầu cụ thể hoặc đưa vào danh sách Future Enhancement</w:t>
            </w:r>
          </w:p>
        </w:tc>
      </w:tr>
      <w:tr w14:paraId="28EA28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26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B0FC27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vi-VN"/>
              </w:rPr>
            </w:pPr>
            <w:r>
              <w:rPr>
                <w:rFonts w:hint="default" w:ascii="Times New Roman" w:hAnsi="Times New Roman" w:cs="Times New Roman"/>
                <w:color w:val="000000"/>
                <w:sz w:val="24"/>
                <w:szCs w:val="24"/>
                <w:lang w:val="vi-VN"/>
              </w:rPr>
              <w:t>9</w:t>
            </w:r>
          </w:p>
        </w:tc>
        <w:tc>
          <w:tcPr>
            <w:tcW w:w="229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EC3731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Tài liệu không nêu quy tắc cuối cùng về chỉnh sửa báo giá sau thanh toán</w:t>
            </w:r>
          </w:p>
        </w:tc>
        <w:tc>
          <w:tcPr>
            <w:tcW w:w="262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269B3C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 phạm Complete</w:t>
            </w:r>
          </w:p>
        </w:tc>
        <w:tc>
          <w:tcPr>
            <w:tcW w:w="240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5549B6D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bdr w:val="none" w:color="auto" w:sz="0" w:space="0"/>
              </w:rPr>
            </w:pPr>
            <w:r>
              <w:rPr>
                <w:rFonts w:hint="default" w:ascii="Times New Roman" w:hAnsi="Times New Roman" w:cs="Times New Roman"/>
                <w:color w:val="000000"/>
                <w:sz w:val="24"/>
                <w:szCs w:val="24"/>
                <w:bdr w:val="none" w:color="auto" w:sz="0" w:space="0"/>
              </w:rPr>
              <w:t>Xác định một quy tắc nghiệp vụ duy nhất áp dụng toàn hệ thống</w:t>
            </w:r>
          </w:p>
        </w:tc>
      </w:tr>
    </w:tbl>
    <w:p w14:paraId="29D3E1DB">
      <w:pPr>
        <w:rPr>
          <w:rFonts w:hint="default" w:ascii="Times New Roman" w:hAnsi="Times New Roman" w:cs="Times New Roman"/>
          <w:sz w:val="24"/>
          <w:szCs w:val="24"/>
        </w:rPr>
      </w:pPr>
    </w:p>
    <w:p w14:paraId="5B14ACE4">
      <w:pPr>
        <w:rPr>
          <w:rFonts w:hint="default" w:ascii="Times New Roman" w:hAnsi="Times New Roman" w:cs="Times New Roman"/>
          <w:sz w:val="24"/>
          <w:szCs w:val="24"/>
        </w:rPr>
      </w:pPr>
    </w:p>
    <w:p w14:paraId="628A95EC">
      <w:pPr>
        <w:rPr>
          <w:rFonts w:hint="default" w:ascii="Times New Roman" w:hAnsi="Times New Roman" w:cs="Times New Roman"/>
          <w:sz w:val="24"/>
          <w:szCs w:val="24"/>
        </w:rPr>
      </w:pPr>
    </w:p>
    <w:p w14:paraId="04B4DB0E">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Bước 2 — Đề xuất bản chỉnh sửa hoàn chỉnh</w:t>
      </w:r>
    </w:p>
    <w:p w14:paraId="1E74039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Sắp xếp lại đúng cấu trúc IEEE 830</w:t>
      </w:r>
    </w:p>
    <w:p w14:paraId="74F1667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Chương 1. Introduction</w:t>
      </w:r>
    </w:p>
    <w:p w14:paraId="46E44A0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Scope</w:t>
      </w:r>
    </w:p>
    <w:p w14:paraId="796BAED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Hệ thống hỗ trợ khách hàng doanh nghiệp đặt tour trọn gói cho nhóm từ 10 người trở lên.</w:t>
      </w:r>
    </w:p>
    <w:p w14:paraId="3B36E43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Definitions</w:t>
      </w:r>
    </w:p>
    <w:p w14:paraId="2F12345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Định nghĩa các thuật ngữ:</w:t>
      </w:r>
    </w:p>
    <w:p w14:paraId="1F452581">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Yêu cầu đặt tour</w:t>
      </w:r>
    </w:p>
    <w:p w14:paraId="1216E702">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Báo giá</w:t>
      </w:r>
    </w:p>
    <w:p w14:paraId="3F161767">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Hợp đồng</w:t>
      </w:r>
    </w:p>
    <w:p w14:paraId="5142244C">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Đã xác nhận</w:t>
      </w:r>
    </w:p>
    <w:p w14:paraId="7B498E9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Chương 2. Overall Description</w:t>
      </w:r>
    </w:p>
    <w:p w14:paraId="06A7F08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Product Functions</w:t>
      </w:r>
    </w:p>
    <w:p w14:paraId="4D9EA2C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Actors</w:t>
      </w:r>
    </w:p>
    <w:p w14:paraId="3F3BCE7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Nhân viên đặt tour (phía khách hàng doanh nghiệp)</w:t>
      </w:r>
    </w:p>
    <w:p w14:paraId="5E46CF9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Điều phối viên RikkeiTravel</w:t>
      </w:r>
    </w:p>
    <w:p w14:paraId="4AA7497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Use Cases</w:t>
      </w:r>
    </w:p>
    <w:p w14:paraId="1351603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Tạo yêu cầu đặt tour</w:t>
      </w:r>
    </w:p>
    <w:p w14:paraId="19EC8D3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Duyệt báo giá</w:t>
      </w:r>
    </w:p>
    <w:p w14:paraId="428AFCC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Xác nhận thanh toán</w:t>
      </w:r>
    </w:p>
    <w:p w14:paraId="01FF5D9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2.5 Design Constraints / Data Model</w:t>
      </w:r>
    </w:p>
    <w:p w14:paraId="677D1BA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ERD lưu trữ:</w:t>
      </w:r>
    </w:p>
    <w:p w14:paraId="42DF4FBA">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Yêu cầu đặt tour</w:t>
      </w:r>
    </w:p>
    <w:p w14:paraId="13AF1EB0">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Báo giá</w:t>
      </w:r>
    </w:p>
    <w:p w14:paraId="3DB79C11">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Hợp đồng</w:t>
      </w:r>
    </w:p>
    <w:p w14:paraId="70E76C6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Chương 3. Specific Requirements</w:t>
      </w:r>
    </w:p>
    <w:p w14:paraId="1FC5FC8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3.2 Functional Requirements</w:t>
      </w:r>
    </w:p>
    <w:p w14:paraId="3C3D4DA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REQ-21 (Đã chuẩn hóa)</w:t>
      </w:r>
    </w:p>
    <w:p w14:paraId="26F1F5F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REQ-21:</w:t>
      </w:r>
      <w:r>
        <w:rPr>
          <w:rFonts w:hint="default" w:ascii="Times New Roman" w:hAnsi="Times New Roman" w:cs="Times New Roman"/>
          <w:sz w:val="24"/>
          <w:szCs w:val="24"/>
        </w:rPr>
        <w:t xml:space="preserve"> </w:t>
      </w:r>
      <w:r>
        <w:rPr>
          <w:rFonts w:hint="default" w:ascii="Times New Roman" w:hAnsi="Times New Roman" w:cs="Times New Roman"/>
          <w:b w:val="0"/>
          <w:bCs w:val="0"/>
          <w:sz w:val="24"/>
          <w:szCs w:val="24"/>
        </w:rPr>
        <w:t xml:space="preserve">Sau khi nhận được yêu cầu đặt tour hợp lệ từ khách hàng doanh nghiệp, hệ thống phải tạo và gửi báo giá cho khách hàng trong thời gian không quá </w:t>
      </w:r>
      <w:r>
        <w:rPr>
          <w:rStyle w:val="9"/>
          <w:rFonts w:hint="default" w:ascii="Times New Roman" w:hAnsi="Times New Roman" w:cs="Times New Roman"/>
          <w:b w:val="0"/>
          <w:bCs w:val="0"/>
          <w:sz w:val="24"/>
          <w:szCs w:val="24"/>
        </w:rPr>
        <w:t>30 phút</w:t>
      </w:r>
      <w:r>
        <w:rPr>
          <w:rFonts w:hint="default" w:ascii="Times New Roman" w:hAnsi="Times New Roman" w:cs="Times New Roman"/>
          <w:b w:val="0"/>
          <w:bCs w:val="0"/>
          <w:sz w:val="24"/>
          <w:szCs w:val="24"/>
        </w:rPr>
        <w:t xml:space="preserve"> đối với </w:t>
      </w:r>
      <w:r>
        <w:rPr>
          <w:rStyle w:val="9"/>
          <w:rFonts w:hint="default" w:ascii="Times New Roman" w:hAnsi="Times New Roman" w:cs="Times New Roman"/>
          <w:b w:val="0"/>
          <w:bCs w:val="0"/>
          <w:sz w:val="24"/>
          <w:szCs w:val="24"/>
        </w:rPr>
        <w:t>95% số yêu cầu</w:t>
      </w:r>
      <w:r>
        <w:rPr>
          <w:rFonts w:hint="default" w:ascii="Times New Roman" w:hAnsi="Times New Roman" w:cs="Times New Roman"/>
          <w:b w:val="0"/>
          <w:bCs w:val="0"/>
          <w:sz w:val="24"/>
          <w:szCs w:val="24"/>
        </w:rPr>
        <w:t xml:space="preserve"> trong giờ làm việc (08:00–17:00).</w:t>
      </w:r>
    </w:p>
    <w:p w14:paraId="0287FE9E">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Đặc tính đạt được</w:t>
      </w:r>
    </w:p>
    <w:p w14:paraId="3592177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Verifiable</w:t>
      </w:r>
    </w:p>
    <w:p w14:paraId="3CC99CD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Complete</w:t>
      </w:r>
    </w:p>
    <w:p w14:paraId="4C7D6B0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Unambiguous</w:t>
      </w:r>
    </w:p>
    <w:p w14:paraId="5FC176F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REQ-22</w:t>
      </w:r>
    </w:p>
    <w:p w14:paraId="659C091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Khi khách hàng xác nhận thanh toán đủ 100% giá trị hợp đồng, hệ thống tự động chuyển trạng thái đơn sang </w:t>
      </w:r>
      <w:r>
        <w:rPr>
          <w:rStyle w:val="9"/>
          <w:rFonts w:hint="default" w:ascii="Times New Roman" w:hAnsi="Times New Roman" w:cs="Times New Roman"/>
          <w:sz w:val="24"/>
          <w:szCs w:val="24"/>
        </w:rPr>
        <w:t>"Đã xác nhận"</w:t>
      </w:r>
      <w:r>
        <w:rPr>
          <w:rFonts w:hint="default" w:ascii="Times New Roman" w:hAnsi="Times New Roman" w:cs="Times New Roman"/>
          <w:sz w:val="24"/>
          <w:szCs w:val="24"/>
        </w:rPr>
        <w:t>.</w:t>
      </w:r>
    </w:p>
    <w:p w14:paraId="14DA22C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Xử lý mâu thuẫn REQ-23 và REQ-24</w:t>
      </w:r>
    </w:p>
    <w:p w14:paraId="4D81D85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Quy tắc nghiệp vụ thống nhất đề xuất</w:t>
      </w:r>
    </w:p>
    <w:p w14:paraId="0148CEC9">
      <w:pPr>
        <w:pStyle w:val="8"/>
        <w:keepNext w:val="0"/>
        <w:keepLines w:val="0"/>
        <w:widowControl/>
        <w:suppressLineNumbers w:val="0"/>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Sau khi khách hàng hoàn tất thanh toán 100% giá trị hợp đồng và đơn chuyển sang trạng thái "Đã xác nhận", toàn bộ thông tin báo giá phải được khóa và không được phép chỉnh sửa bởi bất kỳ người dùng nào.</w:t>
      </w:r>
    </w:p>
    <w:p w14:paraId="063FBC5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REQ-23 (sửa lại)</w:t>
      </w:r>
    </w:p>
    <w:p w14:paraId="5C7548B7">
      <w:pPr>
        <w:pStyle w:val="8"/>
        <w:keepNext w:val="0"/>
        <w:keepLines w:val="0"/>
        <w:widowControl/>
        <w:suppressLineNumbers w:val="0"/>
        <w:rPr>
          <w:rFonts w:hint="default" w:ascii="Times New Roman" w:hAnsi="Times New Roman" w:cs="Times New Roman"/>
          <w:b w:val="0"/>
          <w:bCs w:val="0"/>
          <w:sz w:val="24"/>
          <w:szCs w:val="24"/>
        </w:rPr>
      </w:pPr>
      <w:r>
        <w:rPr>
          <w:rStyle w:val="9"/>
          <w:rFonts w:hint="default" w:ascii="Times New Roman" w:hAnsi="Times New Roman" w:cs="Times New Roman"/>
          <w:sz w:val="24"/>
          <w:szCs w:val="24"/>
        </w:rPr>
        <w:t>REQ-23:</w:t>
      </w:r>
      <w:r>
        <w:rPr>
          <w:rFonts w:hint="default" w:ascii="Times New Roman" w:hAnsi="Times New Roman" w:cs="Times New Roman"/>
          <w:sz w:val="24"/>
          <w:szCs w:val="24"/>
        </w:rPr>
        <w:t xml:space="preserve"> Điều phối viên được phép chỉnh sửa báo giá khi báo giá đang ở trạng thái </w:t>
      </w:r>
      <w:r>
        <w:rPr>
          <w:rStyle w:val="9"/>
          <w:rFonts w:hint="default" w:ascii="Times New Roman" w:hAnsi="Times New Roman" w:cs="Times New Roman"/>
          <w:b w:val="0"/>
          <w:bCs w:val="0"/>
          <w:sz w:val="24"/>
          <w:szCs w:val="24"/>
        </w:rPr>
        <w:t>Chờ duyệt</w:t>
      </w:r>
      <w:r>
        <w:rPr>
          <w:rFonts w:hint="default" w:ascii="Times New Roman" w:hAnsi="Times New Roman" w:cs="Times New Roman"/>
          <w:b w:val="0"/>
          <w:bCs w:val="0"/>
          <w:sz w:val="24"/>
          <w:szCs w:val="24"/>
        </w:rPr>
        <w:t xml:space="preserve"> hoặc </w:t>
      </w:r>
      <w:r>
        <w:rPr>
          <w:rStyle w:val="9"/>
          <w:rFonts w:hint="default" w:ascii="Times New Roman" w:hAnsi="Times New Roman" w:cs="Times New Roman"/>
          <w:b w:val="0"/>
          <w:bCs w:val="0"/>
          <w:sz w:val="24"/>
          <w:szCs w:val="24"/>
        </w:rPr>
        <w:t>Chờ thanh toán</w:t>
      </w:r>
      <w:r>
        <w:rPr>
          <w:rFonts w:hint="default" w:ascii="Times New Roman" w:hAnsi="Times New Roman" w:cs="Times New Roman"/>
          <w:b w:val="0"/>
          <w:bCs w:val="0"/>
          <w:sz w:val="24"/>
          <w:szCs w:val="24"/>
        </w:rPr>
        <w:t>.</w:t>
      </w:r>
    </w:p>
    <w:p w14:paraId="1AFC115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REQ-24 (sửa lại)</w:t>
      </w:r>
    </w:p>
    <w:p w14:paraId="6801D9A6">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REQ-24:</w:t>
      </w:r>
      <w:r>
        <w:rPr>
          <w:rFonts w:hint="default" w:ascii="Times New Roman" w:hAnsi="Times New Roman" w:cs="Times New Roman"/>
          <w:sz w:val="24"/>
          <w:szCs w:val="24"/>
        </w:rPr>
        <w:t xml:space="preserve"> Khi đơn hàng chuyển sang trạng thái </w:t>
      </w:r>
      <w:r>
        <w:rPr>
          <w:rStyle w:val="9"/>
          <w:rFonts w:hint="default" w:ascii="Times New Roman" w:hAnsi="Times New Roman" w:cs="Times New Roman"/>
          <w:b w:val="0"/>
          <w:bCs w:val="0"/>
          <w:sz w:val="24"/>
          <w:szCs w:val="24"/>
        </w:rPr>
        <w:t>Đã xác nhận</w:t>
      </w:r>
      <w:r>
        <w:rPr>
          <w:rFonts w:hint="default" w:ascii="Times New Roman" w:hAnsi="Times New Roman" w:cs="Times New Roman"/>
          <w:b w:val="0"/>
          <w:bCs w:val="0"/>
          <w:sz w:val="24"/>
          <w:szCs w:val="24"/>
        </w:rPr>
        <w:t>, hệ thống phải khóa toàn bộ thông tin báo giá và từ chối mọi yêu cầu chỉnh sửa.</w:t>
      </w:r>
    </w:p>
    <w:p w14:paraId="168C724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Như vậy:</w:t>
      </w:r>
    </w:p>
    <w:p w14:paraId="4ECE5D8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REQ-23 và REQ-24 không còn mâu thuẫn.</w:t>
      </w:r>
    </w:p>
    <w:p w14:paraId="45E2A25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Quy trình nghiệp vụ nhất quán.</w:t>
      </w:r>
    </w:p>
    <w:p w14:paraId="2548B71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Đảm bảo đặc tính</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Consistent</w:t>
      </w:r>
      <w:r>
        <w:rPr>
          <w:rFonts w:hint="default" w:ascii="Times New Roman" w:hAnsi="Times New Roman" w:cs="Times New Roman"/>
          <w:b w:val="0"/>
          <w:bCs w:val="0"/>
          <w:sz w:val="24"/>
          <w:szCs w:val="24"/>
        </w:rPr>
        <w:t>.</w:t>
      </w:r>
    </w:p>
    <w:p w14:paraId="7DEC42C0">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Bổ sung mức độ ưu tiên cho REQ-25</w:t>
      </w:r>
    </w:p>
    <w:p w14:paraId="5CAC4CD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Phương án 1 (khuyến nghị)</w:t>
      </w:r>
    </w:p>
    <w:p w14:paraId="649EE341">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REQ-25 [Priority: Could Have]</w:t>
      </w:r>
    </w:p>
    <w:p w14:paraId="7022F7A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Hệ thống hỗ trợ xuất báo giá ra tệp PDF bao gồm:</w:t>
      </w:r>
    </w:p>
    <w:p w14:paraId="12BE3E6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Thông tin khách hàng</w:t>
      </w:r>
    </w:p>
    <w:p w14:paraId="4819D0F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Thông tin tour</w:t>
      </w:r>
    </w:p>
    <w:p w14:paraId="2BEB32F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Chi phí chi tiết</w:t>
      </w:r>
    </w:p>
    <w:p w14:paraId="704D3D6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Tổng giá trị báo giá</w:t>
      </w:r>
      <w:bookmarkStart w:id="0" w:name="_GoBack"/>
      <w:bookmarkEnd w:id="0"/>
    </w:p>
    <w:p w14:paraId="20563207">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Tính năng này được xếp mức ưu tiên </w:t>
      </w:r>
      <w:r>
        <w:rPr>
          <w:rStyle w:val="9"/>
          <w:rFonts w:hint="default" w:ascii="Times New Roman" w:hAnsi="Times New Roman" w:cs="Times New Roman"/>
          <w:b w:val="0"/>
          <w:bCs w:val="0"/>
          <w:sz w:val="24"/>
          <w:szCs w:val="24"/>
        </w:rPr>
        <w:t>Could Have</w:t>
      </w:r>
      <w:r>
        <w:rPr>
          <w:rFonts w:hint="default" w:ascii="Times New Roman" w:hAnsi="Times New Roman" w:cs="Times New Roman"/>
          <w:b w:val="0"/>
          <w:bCs w:val="0"/>
          <w:sz w:val="24"/>
          <w:szCs w:val="24"/>
        </w:rPr>
        <w:t xml:space="preserve"> và có thể triển khai ở phiên bản sau.</w:t>
      </w:r>
    </w:p>
    <w:p w14:paraId="597F419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Hoặc nếu chưa cam kết phát triển</w:t>
      </w:r>
    </w:p>
    <w:p w14:paraId="2BC141F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Đưa ra khỏi Functional Requirements và chuyển sang:</w:t>
      </w:r>
    </w:p>
    <w:p w14:paraId="308E39A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Appendix / Future Enhancements</w:t>
      </w:r>
    </w:p>
    <w:p w14:paraId="7C5C315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Xuất báo giá PDF.</w:t>
      </w:r>
    </w:p>
    <w:p w14:paraId="074CA4C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Chữ ký điện tử trên hợp đồng.</w:t>
      </w:r>
    </w:p>
    <w:p w14:paraId="0567092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Tích hợp thanh toán quốc tế.</w:t>
      </w:r>
    </w:p>
    <w:p w14:paraId="21B11E95">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A8ED8"/>
    <w:multiLevelType w:val="multilevel"/>
    <w:tmpl w:val="829A8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81782C4"/>
    <w:multiLevelType w:val="multilevel"/>
    <w:tmpl w:val="B81782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DD4C5BC"/>
    <w:multiLevelType w:val="multilevel"/>
    <w:tmpl w:val="FDD4C5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547A1EA"/>
    <w:multiLevelType w:val="multilevel"/>
    <w:tmpl w:val="0547A1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6820325"/>
    <w:multiLevelType w:val="multilevel"/>
    <w:tmpl w:val="168203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7941B02"/>
    <w:multiLevelType w:val="multilevel"/>
    <w:tmpl w:val="37941B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EAC5B1D"/>
    <w:multiLevelType w:val="multilevel"/>
    <w:tmpl w:val="3EAC5B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0CEC68C"/>
    <w:multiLevelType w:val="multilevel"/>
    <w:tmpl w:val="70CEC6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B1ECEE3"/>
    <w:multiLevelType w:val="multilevel"/>
    <w:tmpl w:val="7B1ECE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6"/>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E322FF"/>
    <w:rsid w:val="37E32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2026-10-02T03:35:00Z</dcterms:created>
  <dc:creator>Ngọc Dân</dc:creator>
  <cp:lastModifiedBy>Ngọc Dân</cp:lastModifiedBy>
  <dcterms:modified xsi:type="dcterms:W3CDTF">2026-10-02T04:15:07Z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005588124F674317832A6C82704B5A5D_11</vt:lpwstr>
  </property>
  <property fmtid="{D5CDD505-2E9C-101B-9397-08002B2CF9AE}" pid="4" name="KSOTemplateDocerSaveRecord">
    <vt:lpwstr>eyJoZGlkIjoiNTg3YjNhMGI2NmVhNmUxZGIwZmZlMzMyMWJlZDI3YzMiLCJ1c2VySWQiOiIxMzc0MzkzNTA3OTM2In0=</vt:lpwstr>
  </property>
</Properties>
</file>