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Deadline Date: </w:t>
            </w:r>
            <w:r w:rsidR="00061FFF">
              <w:rPr>
                <w:rFonts w:eastAsia="Calibri" w:cstheme="minorHAnsi"/>
                <w:b/>
                <w:color w:val="000000"/>
                <w:sz w:val="22"/>
                <w:szCs w:val="22"/>
                <w:lang w:eastAsia="zh-CN"/>
              </w:rPr>
              <w:t>27</w:t>
            </w:r>
            <w:r w:rsidR="00061FFF" w:rsidRPr="00061FFF">
              <w:rPr>
                <w:rFonts w:eastAsia="Calibri" w:cstheme="minorHAnsi"/>
                <w:b/>
                <w:color w:val="000000"/>
                <w:sz w:val="22"/>
                <w:szCs w:val="22"/>
                <w:vertAlign w:val="superscript"/>
                <w:lang w:eastAsia="zh-CN"/>
              </w:rPr>
              <w:t>th</w:t>
            </w:r>
            <w:r w:rsidR="00061FFF">
              <w:rPr>
                <w:rFonts w:eastAsia="Calibri" w:cstheme="minorHAnsi"/>
                <w:b/>
                <w:color w:val="000000"/>
                <w:sz w:val="22"/>
                <w:szCs w:val="22"/>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8"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lastRenderedPageBreak/>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 must complete this </w:t>
      </w:r>
      <w:r w:rsidRPr="007D4FED">
        <w:rPr>
          <w:rFonts w:ascii="Calibri,Bold" w:eastAsia="Times New Roman" w:hAnsi="Calibri,Bold" w:cs="Times New Roman"/>
          <w:highlight w:val="yellow"/>
          <w:lang w:eastAsia="en-GB"/>
        </w:rPr>
        <w:t>assignment using the given case study (Movie Ville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1177FE" w:rsidRDefault="00B66906" w:rsidP="00B66906">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sidR="009109F3">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 xml:space="preserve">to support your arguments – </w:t>
      </w:r>
      <w:r w:rsidRPr="007D4FED">
        <w:rPr>
          <w:rFonts w:ascii="Calibri,Bold" w:eastAsia="Times New Roman" w:hAnsi="Calibri,Bold" w:cs="Times New Roman"/>
          <w:i/>
          <w:iCs/>
          <w:highlight w:val="yellow"/>
          <w:lang w:eastAsia="en-GB"/>
        </w:rPr>
        <w:t>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w:t>
      </w:r>
      <w:r w:rsidRPr="003464AC">
        <w:rPr>
          <w:rFonts w:ascii="Calibri" w:hAnsi="Calibri" w:cs="Calibri"/>
          <w:highlight w:val="yellow"/>
        </w:rPr>
        <w:t>private movie theatre</w:t>
      </w:r>
      <w:r w:rsidRPr="0094688D">
        <w:rPr>
          <w:rFonts w:ascii="Calibri" w:hAnsi="Calibri" w:cs="Calibri"/>
        </w:rPr>
        <w:t xml:space="preserve"> in a trendy town, North of London and has existed since 1960. The theatre screens both </w:t>
      </w:r>
      <w:r w:rsidRPr="003464AC">
        <w:rPr>
          <w:rFonts w:ascii="Calibri" w:hAnsi="Calibri" w:cs="Calibri"/>
          <w:highlight w:val="yellow"/>
        </w:rPr>
        <w:t>new and classic movies</w:t>
      </w:r>
      <w:r w:rsidRPr="0094688D">
        <w:rPr>
          <w:rFonts w:ascii="Calibri" w:hAnsi="Calibri" w:cs="Calibri"/>
        </w:rPr>
        <w:t xml:space="preserve">, with a strong </w:t>
      </w:r>
      <w:r w:rsidRPr="003464AC">
        <w:rPr>
          <w:rFonts w:ascii="Calibri" w:hAnsi="Calibri" w:cs="Calibri"/>
          <w:highlight w:val="yellow"/>
        </w:rPr>
        <w:t>focus on artistic and independent films.</w:t>
      </w:r>
      <w:r w:rsidRPr="0094688D">
        <w:rPr>
          <w:rFonts w:ascii="Calibri" w:hAnsi="Calibri" w:cs="Calibri"/>
        </w:rPr>
        <w:t xml:space="preserve"> The theatre </w:t>
      </w:r>
      <w:r w:rsidRPr="003464AC">
        <w:rPr>
          <w:rFonts w:ascii="Calibri" w:hAnsi="Calibri" w:cs="Calibri"/>
          <w:highlight w:val="yellow"/>
        </w:rPr>
        <w:t>was extremely popular during the previous century</w:t>
      </w:r>
      <w:r w:rsidRPr="0094688D">
        <w:rPr>
          <w:rFonts w:ascii="Calibri" w:hAnsi="Calibri" w:cs="Calibri"/>
        </w:rPr>
        <w:t xml:space="preserve">, but </w:t>
      </w:r>
      <w:r w:rsidRPr="003464AC">
        <w:rPr>
          <w:rFonts w:ascii="Calibri" w:hAnsi="Calibri" w:cs="Calibri"/>
          <w:highlight w:val="darkYellow"/>
        </w:rPr>
        <w:t>ticket sales began to drop in 2008</w:t>
      </w:r>
      <w:r w:rsidRPr="0094688D">
        <w:rPr>
          <w:rFonts w:ascii="Calibri" w:hAnsi="Calibri" w:cs="Calibri"/>
        </w:rPr>
        <w:t xml:space="preserve"> when </w:t>
      </w:r>
      <w:r w:rsidRPr="003464AC">
        <w:rPr>
          <w:rFonts w:ascii="Calibri" w:hAnsi="Calibri" w:cs="Calibri"/>
          <w:highlight w:val="yellow"/>
        </w:rPr>
        <w:t>video streaming started becoming increasingly</w:t>
      </w:r>
      <w:r w:rsidRPr="0094688D">
        <w:rPr>
          <w:rFonts w:ascii="Calibri" w:hAnsi="Calibri" w:cs="Calibri"/>
        </w:rPr>
        <w:t xml:space="preserve"> prevalent. In fact, the current availability and high adoption rate of streaming services such as </w:t>
      </w:r>
      <w:r w:rsidRPr="003464AC">
        <w:rPr>
          <w:rFonts w:ascii="Calibri" w:hAnsi="Calibri" w:cs="Calibri"/>
          <w:highlight w:val="yellow"/>
        </w:rPr>
        <w:t>Netflix</w:t>
      </w:r>
      <w:r w:rsidRPr="0094688D">
        <w:rPr>
          <w:rFonts w:ascii="Calibri" w:hAnsi="Calibri" w:cs="Calibri"/>
        </w:rPr>
        <w:t xml:space="preserve">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w:t>
      </w:r>
      <w:r w:rsidRPr="003464AC">
        <w:rPr>
          <w:rFonts w:ascii="Calibri" w:hAnsi="Calibri" w:cs="Calibri"/>
          <w:highlight w:val="yellow"/>
        </w:rPr>
        <w:t>Bob and Margaret Canton</w:t>
      </w:r>
      <w:r w:rsidRPr="0094688D">
        <w:rPr>
          <w:rFonts w:ascii="Calibri" w:hAnsi="Calibri" w:cs="Calibri"/>
        </w:rPr>
        <w:t xml:space="preserve">,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w:t>
      </w:r>
      <w:r w:rsidRPr="003464AC">
        <w:rPr>
          <w:rFonts w:ascii="Calibri" w:hAnsi="Calibri" w:cs="Calibri"/>
          <w:highlight w:val="yellow"/>
        </w:rPr>
        <w:t>4 film screenings per day and seats 120</w:t>
      </w:r>
      <w:r w:rsidRPr="0094688D">
        <w:rPr>
          <w:rFonts w:ascii="Calibri" w:hAnsi="Calibri" w:cs="Calibri"/>
        </w:rPr>
        <w:t xml:space="preserve"> people in each of its </w:t>
      </w:r>
      <w:r w:rsidRPr="003464AC">
        <w:rPr>
          <w:rFonts w:ascii="Calibri" w:hAnsi="Calibri" w:cs="Calibri"/>
          <w:highlight w:val="yellow"/>
        </w:rPr>
        <w:t>3 theatres</w:t>
      </w:r>
      <w:r w:rsidRPr="0094688D">
        <w:rPr>
          <w:rFonts w:ascii="Calibri" w:hAnsi="Calibri" w:cs="Calibri"/>
        </w:rPr>
        <w:t xml:space="preserve">.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w:t>
      </w:r>
      <w:r w:rsidRPr="00FD38ED">
        <w:rPr>
          <w:rFonts w:ascii="Calibri" w:hAnsi="Calibri" w:cs="Calibri"/>
          <w:highlight w:val="yellow"/>
        </w:rPr>
        <w:t>modernise the facilities and processes</w:t>
      </w:r>
      <w:r w:rsidRPr="0094688D">
        <w:rPr>
          <w:rFonts w:ascii="Calibri" w:hAnsi="Calibri" w:cs="Calibri"/>
        </w:rPr>
        <w:t xml:space="preserve">.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w:t>
      </w:r>
      <w:r w:rsidRPr="00FD38ED">
        <w:rPr>
          <w:rFonts w:ascii="Calibri" w:hAnsi="Calibri" w:cs="Calibri"/>
          <w:highlight w:val="yellow"/>
        </w:rPr>
        <w:t>online ticket sales</w:t>
      </w:r>
      <w:r w:rsidRPr="0094688D">
        <w:rPr>
          <w:rFonts w:ascii="Calibri" w:hAnsi="Calibri" w:cs="Calibri"/>
        </w:rPr>
        <w:t>, b</w:t>
      </w:r>
      <w:r w:rsidRPr="00FD38ED">
        <w:rPr>
          <w:rFonts w:ascii="Calibri" w:hAnsi="Calibri" w:cs="Calibri"/>
          <w:highlight w:val="yellow"/>
        </w:rPr>
        <w:t xml:space="preserve">oth online and </w:t>
      </w:r>
      <w:r w:rsidRPr="00FD38ED">
        <w:rPr>
          <w:rFonts w:ascii="Calibri" w:hAnsi="Calibri" w:cs="Calibri"/>
          <w:highlight w:val="yellow"/>
        </w:rPr>
        <w:lastRenderedPageBreak/>
        <w:t>on a mobile application that will allow for paperless tickets.</w:t>
      </w:r>
      <w:r w:rsidRPr="0094688D">
        <w:rPr>
          <w:rFonts w:ascii="Calibri" w:hAnsi="Calibri" w:cs="Calibri"/>
        </w:rPr>
        <w:t xml:space="preserve"> He wants the concession stand to allow patrons to order their snacks on touch screens and simply picking items up and the counter. He even considers </w:t>
      </w:r>
      <w:r w:rsidRPr="00FD38ED">
        <w:rPr>
          <w:rFonts w:ascii="Calibri" w:hAnsi="Calibri" w:cs="Calibri"/>
          <w:highlight w:val="yellow"/>
        </w:rPr>
        <w:t>installing monitors in the toilets</w:t>
      </w:r>
      <w:r w:rsidRPr="0094688D">
        <w:rPr>
          <w:rFonts w:ascii="Calibri" w:hAnsi="Calibri" w:cs="Calibri"/>
        </w:rPr>
        <w:t xml:space="preserve"> that would allow patrons to keep watching their movies should they visit the restrooms during the screening. He would also like to </w:t>
      </w:r>
      <w:r w:rsidRPr="00FD38ED">
        <w:rPr>
          <w:rFonts w:ascii="Calibri" w:hAnsi="Calibri" w:cs="Calibri"/>
          <w:highlight w:val="yellow"/>
        </w:rPr>
        <w:t>introduce ordering food and drinks straight from the seats</w:t>
      </w:r>
      <w:r w:rsidRPr="0094688D">
        <w:rPr>
          <w:rFonts w:ascii="Calibri" w:hAnsi="Calibri" w:cs="Calibri"/>
        </w:rPr>
        <w:t xml:space="preserve">.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w:t>
      </w:r>
      <w:r w:rsidRPr="000F33E6">
        <w:rPr>
          <w:rFonts w:ascii="Calibri" w:hAnsi="Calibri" w:cs="Calibri"/>
          <w:highlight w:val="yellow"/>
        </w:rPr>
        <w:t>hire a consultant, Gunner Satumo,</w:t>
      </w:r>
      <w:r w:rsidRPr="0094688D">
        <w:rPr>
          <w:rFonts w:ascii="Calibri" w:hAnsi="Calibri" w:cs="Calibri"/>
        </w:rPr>
        <w:t xml:space="preserve">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the feasibility of the various systems individually and </w:t>
      </w:r>
      <w:r w:rsidRPr="000F33E6">
        <w:rPr>
          <w:rFonts w:ascii="Calibri" w:hAnsi="Calibri" w:cs="Calibri"/>
          <w:highlight w:val="yellow"/>
        </w:rPr>
        <w:t>developing these systems incrementally</w:t>
      </w:r>
      <w:r w:rsidRPr="0094688D">
        <w:rPr>
          <w:rFonts w:ascii="Calibri" w:hAnsi="Calibri" w:cs="Calibri"/>
        </w:rPr>
        <w:t xml:space="preserve"> to result in a highly modernised theatre. He was sceptical about some of the plans and thought that this would curb David’s enthusiasm for overnight modernisation that is likely to be poorly designed, planned and executed. He suggested that a </w:t>
      </w:r>
      <w:r w:rsidRPr="000F33E6">
        <w:rPr>
          <w:rFonts w:ascii="Calibri" w:hAnsi="Calibri" w:cs="Calibri"/>
          <w:highlight w:val="yellow"/>
        </w:rPr>
        <w:t>mobile booking application would be a sensible starting point,</w:t>
      </w:r>
      <w:r w:rsidRPr="0094688D">
        <w:rPr>
          <w:rFonts w:ascii="Calibri" w:hAnsi="Calibri" w:cs="Calibri"/>
        </w:rPr>
        <w:t xml:space="preserve"> as this would upgrade the current ticket sales operations and might also attract more customers. After a brief discussion they decided to simply call the app “</w:t>
      </w:r>
      <w:r w:rsidRPr="000F33E6">
        <w:rPr>
          <w:rFonts w:ascii="Calibri" w:hAnsi="Calibri" w:cs="Calibri"/>
          <w:highlight w:val="yellow"/>
        </w:rPr>
        <w:t>Movie Ville”.</w:t>
      </w:r>
      <w:r w:rsidRPr="0094688D">
        <w:rPr>
          <w:rFonts w:ascii="Calibri" w:hAnsi="Calibri" w:cs="Calibri"/>
        </w:rPr>
        <w:t xml:space="preserve"> </w:t>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the initial meeting Gunner convinced David that the </w:t>
      </w:r>
      <w:r w:rsidRPr="000F33E6">
        <w:rPr>
          <w:rFonts w:ascii="Calibri" w:hAnsi="Calibri" w:cs="Calibri"/>
          <w:highlight w:val="yellow"/>
        </w:rPr>
        <w:t>mobile application for digital movie tickets</w:t>
      </w:r>
      <w:r w:rsidRPr="0094688D">
        <w:rPr>
          <w:rFonts w:ascii="Calibri" w:hAnsi="Calibri" w:cs="Calibri"/>
        </w:rPr>
        <w:t xml:space="preserve"> would be a sensible </w:t>
      </w:r>
      <w:r w:rsidRPr="000F33E6">
        <w:rPr>
          <w:rFonts w:ascii="Calibri" w:hAnsi="Calibri" w:cs="Calibri"/>
          <w:highlight w:val="yellow"/>
        </w:rPr>
        <w:t>first project to undertake</w:t>
      </w:r>
      <w:r w:rsidRPr="0094688D">
        <w:rPr>
          <w:rFonts w:ascii="Calibri" w:hAnsi="Calibri" w:cs="Calibri"/>
        </w:rPr>
        <w:t xml:space="preserv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94688D">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w:t>
      </w:r>
      <w:r w:rsidRPr="000F33E6">
        <w:rPr>
          <w:rFonts w:ascii="Calibri" w:hAnsi="Calibri" w:cs="Calibri"/>
          <w:highlight w:val="yellow"/>
        </w:rPr>
        <w:t>allow patrons to register and book theatre tickets</w:t>
      </w:r>
      <w:r w:rsidRPr="0094688D">
        <w:rPr>
          <w:rFonts w:ascii="Calibri" w:hAnsi="Calibri" w:cs="Calibri"/>
        </w:rPr>
        <w:t xml:space="preserve"> using a smart phone or tablet. They will subsequently be issued </w:t>
      </w:r>
      <w:r w:rsidRPr="000F33E6">
        <w:rPr>
          <w:rFonts w:ascii="Calibri" w:hAnsi="Calibri" w:cs="Calibri"/>
          <w:highlight w:val="yellow"/>
        </w:rPr>
        <w:t>digital tickets</w:t>
      </w:r>
      <w:r w:rsidRPr="0094688D">
        <w:rPr>
          <w:rFonts w:ascii="Calibri" w:hAnsi="Calibri" w:cs="Calibri"/>
        </w:rPr>
        <w:t xml:space="preserve"> </w:t>
      </w:r>
      <w:r w:rsidRPr="000F33E6">
        <w:rPr>
          <w:rFonts w:ascii="Calibri" w:hAnsi="Calibri" w:cs="Calibri"/>
          <w:highlight w:val="yellow"/>
        </w:rPr>
        <w:t>that can then be shown at the door</w:t>
      </w:r>
      <w:r w:rsidRPr="0094688D">
        <w:rPr>
          <w:rFonts w:ascii="Calibri" w:hAnsi="Calibri" w:cs="Calibri"/>
        </w:rPr>
        <w:t xml:space="preserve"> when they arrive at the theatre. Gunner suggested that they </w:t>
      </w:r>
      <w:r w:rsidRPr="00503EF5">
        <w:rPr>
          <w:rFonts w:ascii="Calibri" w:hAnsi="Calibri" w:cs="Calibri"/>
          <w:highlight w:val="yellow"/>
        </w:rPr>
        <w:t>schedule a follow-up meeting to pin down the requirements for a new system</w:t>
      </w:r>
      <w:r w:rsidRPr="0094688D">
        <w:rPr>
          <w:rFonts w:ascii="Calibri" w:hAnsi="Calibri" w:cs="Calibri"/>
        </w:rPr>
        <w:t xml:space="preserve">, which would allow everyone some time to think about the system they envision. The meeting was held the following week and minutes for this meeting can be found in Appendix A. The meeting included various </w:t>
      </w:r>
      <w:r w:rsidRPr="00503EF5">
        <w:rPr>
          <w:rFonts w:ascii="Calibri" w:hAnsi="Calibri" w:cs="Calibri"/>
          <w:highlight w:val="yellow"/>
        </w:rPr>
        <w:t>employees</w:t>
      </w:r>
      <w:r w:rsidRPr="0094688D">
        <w:rPr>
          <w:rFonts w:ascii="Calibri" w:hAnsi="Calibri" w:cs="Calibri"/>
        </w:rPr>
        <w:t xml:space="preserve">, including the current </w:t>
      </w:r>
      <w:r w:rsidRPr="00503EF5">
        <w:rPr>
          <w:rFonts w:ascii="Calibri" w:hAnsi="Calibri" w:cs="Calibri"/>
          <w:highlight w:val="yellow"/>
        </w:rPr>
        <w:t>ticket sales</w:t>
      </w:r>
      <w:r w:rsidRPr="0094688D">
        <w:rPr>
          <w:rFonts w:ascii="Calibri" w:hAnsi="Calibri" w:cs="Calibri"/>
        </w:rPr>
        <w:t xml:space="preserve"> and </w:t>
      </w:r>
      <w:r w:rsidRPr="00503EF5">
        <w:rPr>
          <w:rFonts w:ascii="Calibri" w:hAnsi="Calibri" w:cs="Calibri"/>
          <w:highlight w:val="yellow"/>
        </w:rPr>
        <w:t>concession personnel</w:t>
      </w:r>
      <w:r w:rsidRPr="0094688D">
        <w:rPr>
          <w:rFonts w:ascii="Calibri" w:hAnsi="Calibri" w:cs="Calibri"/>
        </w:rPr>
        <w:t xml:space="preserve">, the theatre’s </w:t>
      </w:r>
      <w:r w:rsidRPr="00503EF5">
        <w:rPr>
          <w:rFonts w:ascii="Calibri" w:hAnsi="Calibri" w:cs="Calibri"/>
          <w:highlight w:val="yellow"/>
        </w:rPr>
        <w:t>accountant</w:t>
      </w:r>
      <w:r w:rsidRPr="0094688D">
        <w:rPr>
          <w:rFonts w:ascii="Calibri" w:hAnsi="Calibri" w:cs="Calibri"/>
        </w:rPr>
        <w:t xml:space="preserve">, and the </w:t>
      </w:r>
      <w:r w:rsidRPr="00503EF5">
        <w:rPr>
          <w:rFonts w:ascii="Calibri" w:hAnsi="Calibri" w:cs="Calibri"/>
          <w:highlight w:val="yellow"/>
        </w:rPr>
        <w:t>interior designer</w:t>
      </w:r>
      <w:r w:rsidRPr="0094688D">
        <w:rPr>
          <w:rFonts w:ascii="Calibri" w:hAnsi="Calibri" w:cs="Calibri"/>
        </w:rPr>
        <w:t xml:space="preserve"> responsible for decorating the theatre to attract patrons and exhibit merchandise. A </w:t>
      </w:r>
      <w:r w:rsidRPr="00503EF5">
        <w:rPr>
          <w:rFonts w:ascii="Calibri" w:hAnsi="Calibri" w:cs="Calibri"/>
          <w:highlight w:val="yellow"/>
        </w:rPr>
        <w:t>contracted systems developer was also invited</w:t>
      </w:r>
      <w:r w:rsidRPr="0094688D">
        <w:rPr>
          <w:rFonts w:ascii="Calibri" w:hAnsi="Calibri" w:cs="Calibri"/>
        </w:rPr>
        <w:t xml:space="preserve"> to the meeting, as </w:t>
      </w:r>
      <w:r w:rsidRPr="00503EF5">
        <w:rPr>
          <w:rFonts w:ascii="Calibri" w:hAnsi="Calibri" w:cs="Calibri"/>
          <w:highlight w:val="yellow"/>
        </w:rPr>
        <w:t>he would lead the eventual development team</w:t>
      </w:r>
      <w:r w:rsidRPr="0094688D">
        <w:rPr>
          <w:rFonts w:ascii="Calibri" w:hAnsi="Calibri" w:cs="Calibri"/>
        </w:rPr>
        <w:t xml:space="preserve">.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w:t>
      </w:r>
      <w:r w:rsidRPr="000F33E6">
        <w:rPr>
          <w:rFonts w:ascii="Calibri" w:hAnsi="Calibri" w:cs="Calibri"/>
          <w:highlight w:val="yellow"/>
        </w:rPr>
        <w:t>Agile approach to development</w:t>
      </w:r>
      <w:r w:rsidRPr="0094688D">
        <w:rPr>
          <w:rFonts w:ascii="Calibri" w:hAnsi="Calibri" w:cs="Calibri"/>
        </w:rPr>
        <w:t xml:space="preserve">, and in particular he feels that </w:t>
      </w:r>
      <w:r w:rsidRPr="00832446">
        <w:rPr>
          <w:rFonts w:ascii="Calibri" w:hAnsi="Calibri" w:cs="Calibri"/>
          <w:highlight w:val="yellow"/>
        </w:rPr>
        <w:t>DSDM</w:t>
      </w:r>
      <w:r w:rsidRPr="0094688D">
        <w:rPr>
          <w:rFonts w:ascii="Calibri" w:hAnsi="Calibri" w:cs="Calibri"/>
        </w:rPr>
        <w:t xml:space="preserve"> </w:t>
      </w:r>
      <w:r w:rsidRPr="00832446">
        <w:rPr>
          <w:rFonts w:ascii="Calibri" w:hAnsi="Calibri" w:cs="Calibri"/>
          <w:highlight w:val="yellow"/>
        </w:rPr>
        <w:t>would be an appropriate framework for the development of this system</w:t>
      </w:r>
      <w:r w:rsidRPr="0094688D">
        <w:rPr>
          <w:rFonts w:ascii="Calibri" w:hAnsi="Calibri" w:cs="Calibri"/>
        </w:rPr>
        <w:t xml:space="preserve">. </w:t>
      </w:r>
    </w:p>
    <w:p w14:paraId="436677D5" w14:textId="48F60556" w:rsidR="006D392F" w:rsidRPr="006D392F" w:rsidRDefault="006D392F" w:rsidP="0094688D">
      <w:pPr>
        <w:pStyle w:val="NormalWeb"/>
        <w:jc w:val="both"/>
      </w:pPr>
      <w:r w:rsidRPr="006D392F">
        <w:rPr>
          <w:rFonts w:ascii="Calibri" w:hAnsi="Calibri" w:cs="Calibri"/>
          <w:sz w:val="44"/>
          <w:szCs w:val="44"/>
        </w:rPr>
        <w:lastRenderedPageBreak/>
        <w:t xml:space="preserve">Appendix A: </w:t>
      </w:r>
      <w:r w:rsidRPr="00F47EB3">
        <w:rPr>
          <w:rFonts w:ascii="Calibri" w:hAnsi="Calibri" w:cs="Calibri"/>
          <w:sz w:val="44"/>
          <w:szCs w:val="44"/>
          <w:highlight w:val="yellow"/>
        </w:rPr>
        <w:t>Facilitated Workshop Data</w:t>
      </w:r>
      <w:r w:rsidRPr="006D392F">
        <w:rPr>
          <w:rFonts w:ascii="Calibri" w:hAnsi="Calibri" w:cs="Calibri"/>
          <w:sz w:val="44"/>
          <w:szCs w:val="44"/>
        </w:rPr>
        <w:t xml:space="preserve"> </w:t>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503EF5" w:rsidRDefault="006D392F" w:rsidP="006D392F">
      <w:pPr>
        <w:spacing w:before="100" w:beforeAutospacing="1" w:after="100" w:afterAutospacing="1"/>
        <w:rPr>
          <w:rFonts w:ascii="Times New Roman" w:eastAsia="Times New Roman" w:hAnsi="Times New Roman" w:cs="Times New Roman"/>
          <w:sz w:val="28"/>
          <w:szCs w:val="28"/>
          <w:highlight w:val="yellow"/>
          <w:lang w:eastAsia="en-GB"/>
        </w:rPr>
      </w:pPr>
      <w:r w:rsidRPr="00503EF5">
        <w:rPr>
          <w:rFonts w:ascii="Calibri" w:eastAsia="Times New Roman" w:hAnsi="Calibri" w:cs="Calibri"/>
          <w:highlight w:val="yellow"/>
          <w:lang w:eastAsia="en-GB"/>
        </w:rPr>
        <w:t xml:space="preserve">Gunner Satumo (Consultant) (Chair) David Canton (Managing Director) Patricia Hatton (Interior Designer) Zaria Guay (Accountant) </w:t>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r w:rsidRPr="00503EF5">
        <w:rPr>
          <w:rFonts w:ascii="Calibri" w:eastAsia="Times New Roman" w:hAnsi="Calibri" w:cs="Calibri"/>
          <w:highlight w:val="yellow"/>
          <w:lang w:eastAsia="en-GB"/>
        </w:rPr>
        <w:t>Taylor Lessing (Concession)</w:t>
      </w:r>
      <w:r w:rsidRPr="00503EF5">
        <w:rPr>
          <w:rFonts w:ascii="Calibri" w:eastAsia="Times New Roman" w:hAnsi="Calibri" w:cs="Calibri"/>
          <w:highlight w:val="yellow"/>
          <w:lang w:eastAsia="en-GB"/>
        </w:rPr>
        <w:br/>
        <w:t>Barney Conway (Ticket Sales)</w:t>
      </w:r>
      <w:r w:rsidRPr="00503EF5">
        <w:rPr>
          <w:rFonts w:ascii="Calibri" w:eastAsia="Times New Roman" w:hAnsi="Calibri" w:cs="Calibri"/>
          <w:highlight w:val="yellow"/>
          <w:lang w:eastAsia="en-GB"/>
        </w:rPr>
        <w:br/>
        <w:t>Manfred Smith (Contracted Systems Developer)</w:t>
      </w:r>
      <w:r w:rsidRPr="00503EF5">
        <w:rPr>
          <w:rFonts w:ascii="Calibri" w:eastAsia="Times New Roman" w:hAnsi="Calibri" w:cs="Calibri"/>
          <w:highlight w:val="yellow"/>
          <w:lang w:eastAsia="en-GB"/>
        </w:rPr>
        <w:br/>
        <w:t>Melody Kissack (Secretary to the Managing Director) Secretary</w:t>
      </w:r>
      <w:r w:rsidRPr="006D392F">
        <w:rPr>
          <w:rFonts w:ascii="Calibri" w:eastAsia="Times New Roman" w:hAnsi="Calibri" w:cs="Calibri"/>
          <w:lang w:eastAsia="en-GB"/>
        </w:rPr>
        <w:t xml:space="preserve"> </w:t>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w:pStyle w:val="Heading1"/>
        <w:rPr>
          <w:u w:val="single"/>
        </w:rPr>
      </w:pPr>
      <w:r w:rsidRPr="0094688D">
        <w:rPr>
          <w:u w:val="single"/>
        </w:rPr>
        <w:t>Deliverables:</w:t>
      </w:r>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Make sure your executive summary can stand on its own. </w:t>
      </w:r>
    </w:p>
    <w:p w14:paraId="7FE099EA"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EB2A4B">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6691832C" w:rsidR="00EB2A4B" w:rsidRPr="00800682" w:rsidRDefault="00706574" w:rsidP="00EB2A4B">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lang w:eastAsia="en-GB"/>
        </w:rPr>
        <w:lastRenderedPageBreak/>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73D6BC2E" w14:textId="4BA7C95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7EE34CAA" w14:textId="48DF04B4"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0F33E6"/>
    <w:rsid w:val="001442C6"/>
    <w:rsid w:val="00253FFA"/>
    <w:rsid w:val="002B0482"/>
    <w:rsid w:val="002C004F"/>
    <w:rsid w:val="002F1195"/>
    <w:rsid w:val="00315AD3"/>
    <w:rsid w:val="003464AC"/>
    <w:rsid w:val="003723AD"/>
    <w:rsid w:val="003A551F"/>
    <w:rsid w:val="003C63F5"/>
    <w:rsid w:val="003E1FA2"/>
    <w:rsid w:val="00424BEB"/>
    <w:rsid w:val="00503EF5"/>
    <w:rsid w:val="00523CB4"/>
    <w:rsid w:val="005E0810"/>
    <w:rsid w:val="005E45F8"/>
    <w:rsid w:val="006C3656"/>
    <w:rsid w:val="006C5A9A"/>
    <w:rsid w:val="006D392F"/>
    <w:rsid w:val="00706574"/>
    <w:rsid w:val="00776AE7"/>
    <w:rsid w:val="007770DE"/>
    <w:rsid w:val="007C35FA"/>
    <w:rsid w:val="007D4FED"/>
    <w:rsid w:val="0081669C"/>
    <w:rsid w:val="00832446"/>
    <w:rsid w:val="008A6FC5"/>
    <w:rsid w:val="008F3CF7"/>
    <w:rsid w:val="009109F3"/>
    <w:rsid w:val="0094688D"/>
    <w:rsid w:val="00981E81"/>
    <w:rsid w:val="009F76BD"/>
    <w:rsid w:val="00A61924"/>
    <w:rsid w:val="00A76CD5"/>
    <w:rsid w:val="00AB2608"/>
    <w:rsid w:val="00B0240A"/>
    <w:rsid w:val="00B60810"/>
    <w:rsid w:val="00B66906"/>
    <w:rsid w:val="00B72FFF"/>
    <w:rsid w:val="00C425BB"/>
    <w:rsid w:val="00CC4EC4"/>
    <w:rsid w:val="00D0445C"/>
    <w:rsid w:val="00D43A35"/>
    <w:rsid w:val="00DB187B"/>
    <w:rsid w:val="00E031A2"/>
    <w:rsid w:val="00EB2A4B"/>
    <w:rsid w:val="00EC7C2B"/>
    <w:rsid w:val="00F47C84"/>
    <w:rsid w:val="00F47EB3"/>
    <w:rsid w:val="00FD3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13FA8-A24D-4EE4-9112-A2FF64D96920}">
  <ds:schemaRefs>
    <ds:schemaRef ds:uri="http://schemas.microsoft.com/sharepoint/v3/contenttype/forms"/>
  </ds:schemaRefs>
</ds:datastoreItem>
</file>

<file path=customXml/itemProps3.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Minh Tran Trong</cp:lastModifiedBy>
  <cp:revision>5</cp:revision>
  <dcterms:created xsi:type="dcterms:W3CDTF">2022-01-05T14:08:00Z</dcterms:created>
  <dcterms:modified xsi:type="dcterms:W3CDTF">2022-01-11T05:15:00Z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