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F4D78"/>
          <w:sz w:val="48"/>
        </w:rPr>
        <w:t>EventFlow Data Protection Implementation Report</w:t>
      </w:r>
    </w:p>
    <w:p>
      <w:pPr>
        <w:spacing w:after="240"/>
      </w:pPr>
      <w:r>
        <w:rPr>
          <w:rFonts w:ascii="Calibri" w:hAnsi="Calibri"/>
          <w:color w:val="555555"/>
          <w:sz w:val="22"/>
        </w:rPr>
        <w:t>Prepared for lecturer review - July 03, 2026</w:t>
      </w:r>
    </w:p>
    <w:p>
      <w:pPr>
        <w:spacing w:after="120" w:line="264" w:lineRule="auto"/>
      </w:pPr>
      <w:r>
        <w:rPr>
          <w:rFonts w:ascii="Calibri" w:hAnsi="Calibri"/>
          <w:sz w:val="22"/>
        </w:rPr>
        <w:t>This report summarizes the Data Protection controls added to EventFlow MVP. The goal is to show what the project now guarantees technically, how user rights are supported, and what remains as future improvement before production-grade legal compliance.</w:t>
      </w:r>
    </w:p>
    <w:p>
      <w:pPr>
        <w:pStyle w:val="Heading1"/>
      </w:pPr>
      <w:r>
        <w:rPr>
          <w:rFonts w:ascii="Calibri" w:hAnsi="Calibri"/>
          <w:color w:val="2E74B5"/>
        </w:rPr>
        <w:t>1. Executive Summary</w:t>
      </w:r>
    </w:p>
    <w:p>
      <w:pPr>
        <w:spacing w:after="120" w:line="264" w:lineRule="auto"/>
      </w:pPr>
      <w:r>
        <w:rPr>
          <w:rFonts w:ascii="Calibri" w:hAnsi="Calibri"/>
          <w:sz w:val="22"/>
        </w:rPr>
        <w:t>EventFlow now has a stronger baseline for confidentiality, integrity, availability, privacy, and user control. The implementation focuses on enforceable consent, safer session storage, data export and erasure rights, retention cleanup, payment data minimization, production endpoint hardening, and a clearer privacy/terms surface.</w:t>
      </w:r>
    </w:p>
    <w:p>
      <w:pPr>
        <w:pStyle w:val="ListBullet"/>
        <w:spacing w:after="80"/>
      </w:pPr>
      <w:r>
        <w:rPr>
          <w:rFonts w:ascii="Calibri" w:hAnsi="Calibri"/>
          <w:sz w:val="21"/>
        </w:rPr>
        <w:t>Authentication tokens are issued through httpOnly cookies instead of exposing new tokens to localStorage.</w:t>
      </w:r>
    </w:p>
    <w:p>
      <w:pPr>
        <w:pStyle w:val="ListBullet"/>
        <w:spacing w:after="80"/>
      </w:pPr>
      <w:r>
        <w:rPr>
          <w:rFonts w:ascii="Calibri" w:hAnsi="Calibri"/>
          <w:sz w:val="21"/>
        </w:rPr>
        <w:t>Signup now requires explicit acceptance of Privacy Policy and Terms of Service.</w:t>
      </w:r>
    </w:p>
    <w:p>
      <w:pPr>
        <w:pStyle w:val="ListBullet"/>
        <w:spacing w:after="80"/>
      </w:pPr>
      <w:r>
        <w:rPr>
          <w:rFonts w:ascii="Calibri" w:hAnsi="Calibri"/>
          <w:sz w:val="21"/>
        </w:rPr>
        <w:t>Users can export their personal data and request anonymization from the Profile page.</w:t>
      </w:r>
    </w:p>
    <w:p>
      <w:pPr>
        <w:pStyle w:val="ListBullet"/>
        <w:spacing w:after="80"/>
      </w:pPr>
      <w:r>
        <w:rPr>
          <w:rFonts w:ascii="Calibri" w:hAnsi="Calibri"/>
          <w:sz w:val="21"/>
        </w:rPr>
        <w:t>Security and retention controls are backed by automated tests, linting, and production build checks.</w:t>
      </w:r>
    </w:p>
    <w:p>
      <w:pPr>
        <w:pStyle w:val="Heading1"/>
      </w:pPr>
      <w:r>
        <w:rPr>
          <w:rFonts w:ascii="Calibri" w:hAnsi="Calibri"/>
          <w:color w:val="2E74B5"/>
        </w:rPr>
        <w:t>2. Data Protection Scope</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340"/>
        <w:gridCol w:w="2340"/>
        <w:gridCol w:w="2340"/>
        <w:gridCol w:w="2340"/>
      </w:tblGrid>
      <w:tr>
        <w:tc>
          <w:tcPr>
            <w:tcW w:type="dxa" w:w="2160"/>
            <w:vAlign w:val="center"/>
            <w:shd w:fill="2E74B5"/>
          </w:tcPr>
          <w:p>
            <w:pPr>
              <w:jc w:val="left"/>
            </w:pPr>
            <w:r/>
            <w:r>
              <w:rPr>
                <w:rFonts w:ascii="Calibri" w:hAnsi="Calibri"/>
                <w:b/>
                <w:color w:val="FFFFFF"/>
                <w:sz w:val="18"/>
              </w:rPr>
              <w:t>Area</w:t>
            </w:r>
          </w:p>
        </w:tc>
        <w:tc>
          <w:tcPr>
            <w:tcW w:type="dxa" w:w="2880"/>
            <w:vAlign w:val="center"/>
            <w:shd w:fill="2E74B5"/>
          </w:tcPr>
          <w:p>
            <w:pPr>
              <w:jc w:val="left"/>
            </w:pPr>
            <w:r/>
            <w:r>
              <w:rPr>
                <w:rFonts w:ascii="Calibri" w:hAnsi="Calibri"/>
                <w:b/>
                <w:color w:val="FFFFFF"/>
                <w:sz w:val="18"/>
              </w:rPr>
              <w:t>Implementation</w:t>
            </w:r>
          </w:p>
        </w:tc>
        <w:tc>
          <w:tcPr>
            <w:tcW w:type="dxa" w:w="1728"/>
            <w:vAlign w:val="center"/>
            <w:shd w:fill="2E74B5"/>
          </w:tcPr>
          <w:p>
            <w:pPr>
              <w:jc w:val="left"/>
            </w:pPr>
            <w:r/>
            <w:r>
              <w:rPr>
                <w:rFonts w:ascii="Calibri" w:hAnsi="Calibri"/>
                <w:b/>
                <w:color w:val="FFFFFF"/>
                <w:sz w:val="18"/>
              </w:rPr>
              <w:t>Status</w:t>
            </w:r>
          </w:p>
        </w:tc>
        <w:tc>
          <w:tcPr>
            <w:tcW w:type="dxa" w:w="2592"/>
            <w:vAlign w:val="center"/>
            <w:shd w:fill="2E74B5"/>
          </w:tcPr>
          <w:p>
            <w:pPr>
              <w:jc w:val="left"/>
            </w:pPr>
            <w:r/>
            <w:r>
              <w:rPr>
                <w:rFonts w:ascii="Calibri" w:hAnsi="Calibri"/>
                <w:b/>
                <w:color w:val="FFFFFF"/>
                <w:sz w:val="18"/>
              </w:rPr>
              <w:t>Evidence</w:t>
            </w:r>
          </w:p>
        </w:tc>
      </w:tr>
      <w:tr>
        <w:tc>
          <w:tcPr>
            <w:tcW w:type="dxa" w:w="2340"/>
            <w:vAlign w:val="center"/>
          </w:tcPr>
          <w:p>
            <w:pPr>
              <w:jc w:val="left"/>
            </w:pPr>
            <w:r/>
            <w:r>
              <w:rPr>
                <w:rFonts w:ascii="Calibri" w:hAnsi="Calibri"/>
                <w:b w:val="0"/>
                <w:sz w:val="18"/>
              </w:rPr>
              <w:t>Confidentiality</w:t>
            </w:r>
          </w:p>
        </w:tc>
        <w:tc>
          <w:tcPr>
            <w:tcW w:type="dxa" w:w="2340"/>
            <w:vAlign w:val="center"/>
          </w:tcPr>
          <w:p>
            <w:pPr>
              <w:jc w:val="left"/>
            </w:pPr>
            <w:r/>
            <w:r>
              <w:rPr>
                <w:rFonts w:ascii="Calibri" w:hAnsi="Calibri"/>
                <w:b w:val="0"/>
                <w:sz w:val="18"/>
              </w:rPr>
              <w:t>httpOnly auth cookies, sanitized payment payloads, no password/token response body after login.</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AuthController, JwtAuthFilter, PayOsPaymentService</w:t>
            </w:r>
          </w:p>
        </w:tc>
      </w:tr>
      <w:tr>
        <w:tc>
          <w:tcPr>
            <w:tcW w:type="dxa" w:w="2340"/>
            <w:vAlign w:val="center"/>
          </w:tcPr>
          <w:p>
            <w:pPr>
              <w:jc w:val="left"/>
            </w:pPr>
            <w:r/>
            <w:r>
              <w:rPr>
                <w:rFonts w:ascii="Calibri" w:hAnsi="Calibri"/>
                <w:b w:val="0"/>
                <w:sz w:val="18"/>
              </w:rPr>
              <w:t>Integrity</w:t>
            </w:r>
          </w:p>
        </w:tc>
        <w:tc>
          <w:tcPr>
            <w:tcW w:type="dxa" w:w="2340"/>
            <w:vAlign w:val="center"/>
          </w:tcPr>
          <w:p>
            <w:pPr>
              <w:jc w:val="left"/>
            </w:pPr>
            <w:r/>
            <w:r>
              <w:rPr>
                <w:rFonts w:ascii="Calibri" w:hAnsi="Calibri"/>
                <w:b w:val="0"/>
                <w:sz w:val="18"/>
              </w:rPr>
              <w:t>Server-side consent validation, JWT validation, account-erasure guard for deleted users.</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SignupRequest, AuthService, JwtAuthFilter</w:t>
            </w:r>
          </w:p>
        </w:tc>
      </w:tr>
      <w:tr>
        <w:tc>
          <w:tcPr>
            <w:tcW w:type="dxa" w:w="2340"/>
            <w:vAlign w:val="center"/>
          </w:tcPr>
          <w:p>
            <w:pPr>
              <w:jc w:val="left"/>
            </w:pPr>
            <w:r/>
            <w:r>
              <w:rPr>
                <w:rFonts w:ascii="Calibri" w:hAnsi="Calibri"/>
                <w:b w:val="0"/>
                <w:sz w:val="18"/>
              </w:rPr>
              <w:t>Availability</w:t>
            </w:r>
          </w:p>
        </w:tc>
        <w:tc>
          <w:tcPr>
            <w:tcW w:type="dxa" w:w="2340"/>
            <w:vAlign w:val="center"/>
          </w:tcPr>
          <w:p>
            <w:pPr>
              <w:jc w:val="left"/>
            </w:pPr>
            <w:r/>
            <w:r>
              <w:rPr>
                <w:rFonts w:ascii="Calibri" w:hAnsi="Calibri"/>
                <w:b w:val="0"/>
                <w:sz w:val="18"/>
              </w:rPr>
              <w:t>Backup runbook retained; retention cleanup avoids unbounded security-data growth.</w:t>
            </w:r>
          </w:p>
        </w:tc>
        <w:tc>
          <w:tcPr>
            <w:tcW w:type="dxa" w:w="2340"/>
            <w:vAlign w:val="center"/>
            <w:shd w:fill="FFF4D6"/>
          </w:tcPr>
          <w:p>
            <w:pPr>
              <w:jc w:val="left"/>
            </w:pPr>
            <w:r/>
            <w:r>
              <w:rPr>
                <w:rFonts w:ascii="Calibri" w:hAnsi="Calibri"/>
                <w:b w:val="0"/>
                <w:sz w:val="18"/>
              </w:rPr>
              <w:t>Partial</w:t>
            </w:r>
          </w:p>
        </w:tc>
        <w:tc>
          <w:tcPr>
            <w:tcW w:type="dxa" w:w="2340"/>
            <w:vAlign w:val="center"/>
          </w:tcPr>
          <w:p>
            <w:pPr>
              <w:jc w:val="left"/>
            </w:pPr>
            <w:r/>
            <w:r>
              <w:rPr>
                <w:rFonts w:ascii="Calibri" w:hAnsi="Calibri"/>
                <w:b w:val="0"/>
                <w:sz w:val="18"/>
              </w:rPr>
              <w:t>deployment runbook, DataRetentionScheduler</w:t>
            </w:r>
          </w:p>
        </w:tc>
      </w:tr>
      <w:tr>
        <w:tc>
          <w:tcPr>
            <w:tcW w:type="dxa" w:w="2340"/>
            <w:vAlign w:val="center"/>
          </w:tcPr>
          <w:p>
            <w:pPr>
              <w:jc w:val="left"/>
            </w:pPr>
            <w:r/>
            <w:r>
              <w:rPr>
                <w:rFonts w:ascii="Calibri" w:hAnsi="Calibri"/>
                <w:b w:val="0"/>
                <w:sz w:val="18"/>
              </w:rPr>
              <w:t>Privacy</w:t>
            </w:r>
          </w:p>
        </w:tc>
        <w:tc>
          <w:tcPr>
            <w:tcW w:type="dxa" w:w="2340"/>
            <w:vAlign w:val="center"/>
          </w:tcPr>
          <w:p>
            <w:pPr>
              <w:jc w:val="left"/>
            </w:pPr>
            <w:r/>
            <w:r>
              <w:rPr>
                <w:rFonts w:ascii="Calibri" w:hAnsi="Calibri"/>
                <w:b w:val="0"/>
                <w:sz w:val="18"/>
              </w:rPr>
              <w:t>Privacy/Terms pages, explicit consent capture, payment data minimization.</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LegalPage, User consent fields</w:t>
            </w:r>
          </w:p>
        </w:tc>
      </w:tr>
      <w:tr>
        <w:tc>
          <w:tcPr>
            <w:tcW w:type="dxa" w:w="2340"/>
            <w:vAlign w:val="center"/>
          </w:tcPr>
          <w:p>
            <w:pPr>
              <w:jc w:val="left"/>
            </w:pPr>
            <w:r/>
            <w:r>
              <w:rPr>
                <w:rFonts w:ascii="Calibri" w:hAnsi="Calibri"/>
                <w:b w:val="0"/>
                <w:sz w:val="18"/>
              </w:rPr>
              <w:t>Control</w:t>
            </w:r>
          </w:p>
        </w:tc>
        <w:tc>
          <w:tcPr>
            <w:tcW w:type="dxa" w:w="2340"/>
            <w:vAlign w:val="center"/>
          </w:tcPr>
          <w:p>
            <w:pPr>
              <w:jc w:val="left"/>
            </w:pPr>
            <w:r/>
            <w:r>
              <w:rPr>
                <w:rFonts w:ascii="Calibri" w:hAnsi="Calibri"/>
                <w:b w:val="0"/>
                <w:sz w:val="18"/>
              </w:rPr>
              <w:t>User data export and personal-data erasure endpoints with UI controls.</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UserController, UserProfileService, ProfilePage</w:t>
            </w:r>
          </w:p>
        </w:tc>
      </w:tr>
    </w:tbl>
    <w:p/>
    <w:p>
      <w:pPr>
        <w:pStyle w:val="Heading1"/>
      </w:pPr>
      <w:r>
        <w:rPr>
          <w:rFonts w:ascii="Calibri" w:hAnsi="Calibri"/>
          <w:color w:val="2E74B5"/>
        </w:rPr>
        <w:t>3. Implemented Controls</w:t>
      </w:r>
    </w:p>
    <w:p>
      <w:pPr>
        <w:pStyle w:val="Heading2"/>
      </w:pPr>
      <w:r>
        <w:rPr>
          <w:rFonts w:ascii="Calibri" w:hAnsi="Calibri"/>
          <w:color w:val="2E74B5"/>
        </w:rPr>
        <w:t>3.1 Legal and Consent Surface</w:t>
      </w:r>
    </w:p>
    <w:p>
      <w:pPr>
        <w:pStyle w:val="ListBullet"/>
        <w:spacing w:after="80"/>
      </w:pPr>
      <w:r>
        <w:rPr>
          <w:rFonts w:ascii="Calibri" w:hAnsi="Calibri"/>
          <w:sz w:val="21"/>
        </w:rPr>
        <w:t>Created public Privacy Policy and Terms pages at /privacy and /terms.</w:t>
      </w:r>
    </w:p>
    <w:p>
      <w:pPr>
        <w:pStyle w:val="ListBullet"/>
        <w:spacing w:after="80"/>
      </w:pPr>
      <w:r>
        <w:rPr>
          <w:rFonts w:ascii="Calibri" w:hAnsi="Calibri"/>
          <w:sz w:val="21"/>
        </w:rPr>
        <w:t>Added signup checkbox linking directly to both legal pages.</w:t>
      </w:r>
    </w:p>
    <w:p>
      <w:pPr>
        <w:pStyle w:val="ListBullet"/>
        <w:spacing w:after="80"/>
      </w:pPr>
      <w:r>
        <w:rPr>
          <w:rFonts w:ascii="Calibri" w:hAnsi="Calibri"/>
          <w:sz w:val="21"/>
        </w:rPr>
        <w:t>Stored consent version and consent timestamp on the user record.</w:t>
      </w:r>
    </w:p>
    <w:p>
      <w:pPr>
        <w:pStyle w:val="ListBullet"/>
        <w:spacing w:after="80"/>
      </w:pPr>
      <w:r>
        <w:rPr>
          <w:rFonts w:ascii="Calibri" w:hAnsi="Calibri"/>
          <w:sz w:val="21"/>
        </w:rPr>
        <w:t>Rejected signup requests server-side when consent is missing or false.</w:t>
      </w:r>
    </w:p>
    <w:p>
      <w:pPr>
        <w:pStyle w:val="Heading2"/>
      </w:pPr>
      <w:r>
        <w:rPr>
          <w:rFonts w:ascii="Calibri" w:hAnsi="Calibri"/>
          <w:color w:val="2E74B5"/>
        </w:rPr>
        <w:t>3.2 Authentication and Session Protection</w:t>
      </w:r>
    </w:p>
    <w:p>
      <w:pPr>
        <w:pStyle w:val="ListBullet"/>
        <w:spacing w:after="80"/>
      </w:pPr>
      <w:r>
        <w:rPr>
          <w:rFonts w:ascii="Calibri" w:hAnsi="Calibri"/>
          <w:sz w:val="21"/>
        </w:rPr>
        <w:t>Login, verify-email, and refresh responses now set access and refresh tokens as httpOnly cookies.</w:t>
      </w:r>
    </w:p>
    <w:p>
      <w:pPr>
        <w:pStyle w:val="ListBullet"/>
        <w:spacing w:after="80"/>
      </w:pPr>
      <w:r>
        <w:rPr>
          <w:rFonts w:ascii="Calibri" w:hAnsi="Calibri"/>
          <w:sz w:val="21"/>
        </w:rPr>
        <w:t>New auth responses no longer expose token values in the JSON response body.</w:t>
      </w:r>
    </w:p>
    <w:p>
      <w:pPr>
        <w:pStyle w:val="ListBullet"/>
        <w:spacing w:after="80"/>
      </w:pPr>
      <w:r>
        <w:rPr>
          <w:rFonts w:ascii="Calibri" w:hAnsi="Calibri"/>
          <w:sz w:val="21"/>
        </w:rPr>
        <w:t>Frontend uses withCredentials and removes new token persistence in localStorage.</w:t>
      </w:r>
    </w:p>
    <w:p>
      <w:pPr>
        <w:pStyle w:val="ListBullet"/>
        <w:spacing w:after="80"/>
      </w:pPr>
      <w:r>
        <w:rPr>
          <w:rFonts w:ascii="Calibri" w:hAnsi="Calibri"/>
          <w:sz w:val="21"/>
        </w:rPr>
        <w:t>JWT filter accepts cookie tokens and rejects users whose personal data has been erased.</w:t>
      </w:r>
    </w:p>
    <w:p>
      <w:pPr>
        <w:pStyle w:val="Heading2"/>
      </w:pPr>
      <w:r>
        <w:rPr>
          <w:rFonts w:ascii="Calibri" w:hAnsi="Calibri"/>
          <w:color w:val="2E74B5"/>
        </w:rPr>
        <w:t>3.3 User Rights: Export and Erasure</w:t>
      </w:r>
    </w:p>
    <w:p>
      <w:pPr>
        <w:pStyle w:val="ListBullet"/>
        <w:spacing w:after="80"/>
      </w:pPr>
      <w:r>
        <w:rPr>
          <w:rFonts w:ascii="Calibri" w:hAnsi="Calibri"/>
          <w:sz w:val="21"/>
        </w:rPr>
        <w:t>Added GET /users/{userId}/data-export for profile, consent, event membership, and payment summary.</w:t>
      </w:r>
    </w:p>
    <w:p>
      <w:pPr>
        <w:pStyle w:val="ListBullet"/>
        <w:spacing w:after="80"/>
      </w:pPr>
      <w:r>
        <w:rPr>
          <w:rFonts w:ascii="Calibri" w:hAnsi="Calibri"/>
          <w:sz w:val="21"/>
        </w:rPr>
        <w:t>Added DELETE /users/{userId}/personal-data to anonymize account identity and revoke refresh tokens.</w:t>
      </w:r>
    </w:p>
    <w:p>
      <w:pPr>
        <w:pStyle w:val="ListBullet"/>
        <w:spacing w:after="80"/>
      </w:pPr>
      <w:r>
        <w:rPr>
          <w:rFonts w:ascii="Calibri" w:hAnsi="Calibri"/>
          <w:sz w:val="21"/>
        </w:rPr>
        <w:t>Profile page now includes data export and personal-data deletion actions with confirmation.</w:t>
      </w:r>
    </w:p>
    <w:p>
      <w:pPr>
        <w:pStyle w:val="ListBullet"/>
        <w:spacing w:after="80"/>
      </w:pPr>
      <w:r>
        <w:rPr>
          <w:rFonts w:ascii="Calibri" w:hAnsi="Calibri"/>
          <w:sz w:val="21"/>
        </w:rPr>
        <w:t>Erasure preserves business history without retaining direct account identifiers.</w:t>
      </w:r>
    </w:p>
    <w:p>
      <w:pPr>
        <w:pStyle w:val="Heading2"/>
      </w:pPr>
      <w:r>
        <w:rPr>
          <w:rFonts w:ascii="Calibri" w:hAnsi="Calibri"/>
          <w:color w:val="2E74B5"/>
        </w:rPr>
        <w:t>3.4 Retention and Data Minimization</w:t>
      </w:r>
    </w:p>
    <w:p>
      <w:pPr>
        <w:pStyle w:val="ListBullet"/>
        <w:spacing w:after="80"/>
      </w:pPr>
      <w:r>
        <w:rPr>
          <w:rFonts w:ascii="Calibri" w:hAnsi="Calibri"/>
          <w:sz w:val="21"/>
        </w:rPr>
        <w:t>Added scheduled cleanup for expired refresh tokens, old revoked refresh tokens, and old audit logs.</w:t>
      </w:r>
    </w:p>
    <w:p>
      <w:pPr>
        <w:pStyle w:val="ListBullet"/>
        <w:spacing w:after="80"/>
      </w:pPr>
      <w:r>
        <w:rPr>
          <w:rFonts w:ascii="Calibri" w:hAnsi="Calibri"/>
          <w:sz w:val="21"/>
        </w:rPr>
        <w:t>Added configurable retention values through application.yml and production env example.</w:t>
      </w:r>
    </w:p>
    <w:p>
      <w:pPr>
        <w:pStyle w:val="ListBullet"/>
        <w:spacing w:after="80"/>
      </w:pPr>
      <w:r>
        <w:rPr>
          <w:rFonts w:ascii="Calibri" w:hAnsi="Calibri"/>
          <w:sz w:val="21"/>
        </w:rPr>
        <w:t>Sanitized payOS payload persistence to avoid storing raw provider response bodies.</w:t>
      </w:r>
    </w:p>
    <w:p>
      <w:pPr>
        <w:pStyle w:val="ListBullet"/>
        <w:spacing w:after="80"/>
      </w:pPr>
      <w:r>
        <w:rPr>
          <w:rFonts w:ascii="Calibri" w:hAnsi="Calibri"/>
          <w:sz w:val="21"/>
        </w:rPr>
        <w:t>Production env example now sets secure auth cookies and blocks public operations endpoints.</w:t>
      </w:r>
    </w:p>
    <w:p>
      <w:pPr>
        <w:pStyle w:val="Heading1"/>
      </w:pPr>
      <w:r>
        <w:rPr>
          <w:rFonts w:ascii="Calibri" w:hAnsi="Calibri"/>
          <w:color w:val="2E74B5"/>
        </w:rPr>
        <w:t>4. Verification Evidence</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340"/>
        <w:gridCol w:w="2340"/>
        <w:gridCol w:w="2340"/>
        <w:gridCol w:w="2340"/>
      </w:tblGrid>
      <w:tr>
        <w:tc>
          <w:tcPr>
            <w:tcW w:type="dxa" w:w="2160"/>
            <w:vAlign w:val="center"/>
            <w:shd w:fill="2E74B5"/>
          </w:tcPr>
          <w:p>
            <w:pPr>
              <w:jc w:val="left"/>
            </w:pPr>
            <w:r/>
            <w:r>
              <w:rPr>
                <w:rFonts w:ascii="Calibri" w:hAnsi="Calibri"/>
                <w:b/>
                <w:color w:val="FFFFFF"/>
                <w:sz w:val="18"/>
              </w:rPr>
              <w:t>Area</w:t>
            </w:r>
          </w:p>
        </w:tc>
        <w:tc>
          <w:tcPr>
            <w:tcW w:type="dxa" w:w="2880"/>
            <w:vAlign w:val="center"/>
            <w:shd w:fill="2E74B5"/>
          </w:tcPr>
          <w:p>
            <w:pPr>
              <w:jc w:val="left"/>
            </w:pPr>
            <w:r/>
            <w:r>
              <w:rPr>
                <w:rFonts w:ascii="Calibri" w:hAnsi="Calibri"/>
                <w:b/>
                <w:color w:val="FFFFFF"/>
                <w:sz w:val="18"/>
              </w:rPr>
              <w:t>Implementation</w:t>
            </w:r>
          </w:p>
        </w:tc>
        <w:tc>
          <w:tcPr>
            <w:tcW w:type="dxa" w:w="1728"/>
            <w:vAlign w:val="center"/>
            <w:shd w:fill="2E74B5"/>
          </w:tcPr>
          <w:p>
            <w:pPr>
              <w:jc w:val="left"/>
            </w:pPr>
            <w:r/>
            <w:r>
              <w:rPr>
                <w:rFonts w:ascii="Calibri" w:hAnsi="Calibri"/>
                <w:b/>
                <w:color w:val="FFFFFF"/>
                <w:sz w:val="18"/>
              </w:rPr>
              <w:t>Status</w:t>
            </w:r>
          </w:p>
        </w:tc>
        <w:tc>
          <w:tcPr>
            <w:tcW w:type="dxa" w:w="2592"/>
            <w:vAlign w:val="center"/>
            <w:shd w:fill="2E74B5"/>
          </w:tcPr>
          <w:p>
            <w:pPr>
              <w:jc w:val="left"/>
            </w:pPr>
            <w:r/>
            <w:r>
              <w:rPr>
                <w:rFonts w:ascii="Calibri" w:hAnsi="Calibri"/>
                <w:b/>
                <w:color w:val="FFFFFF"/>
                <w:sz w:val="18"/>
              </w:rPr>
              <w:t>Evidence</w:t>
            </w:r>
          </w:p>
        </w:tc>
      </w:tr>
      <w:tr>
        <w:tc>
          <w:tcPr>
            <w:tcW w:type="dxa" w:w="2340"/>
            <w:vAlign w:val="center"/>
          </w:tcPr>
          <w:p>
            <w:pPr>
              <w:jc w:val="left"/>
            </w:pPr>
            <w:r/>
            <w:r>
              <w:rPr>
                <w:rFonts w:ascii="Calibri" w:hAnsi="Calibri"/>
                <w:b w:val="0"/>
                <w:sz w:val="18"/>
              </w:rPr>
              <w:t>Backend tests</w:t>
            </w:r>
          </w:p>
        </w:tc>
        <w:tc>
          <w:tcPr>
            <w:tcW w:type="dxa" w:w="2340"/>
            <w:vAlign w:val="center"/>
          </w:tcPr>
          <w:p>
            <w:pPr>
              <w:jc w:val="left"/>
            </w:pPr>
            <w:r/>
            <w:r>
              <w:rPr>
                <w:rFonts w:ascii="Calibri" w:hAnsi="Calibri"/>
                <w:b w:val="0"/>
                <w:sz w:val="18"/>
              </w:rPr>
              <w:t>mvn test</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33 tests, 0 failures</w:t>
            </w:r>
          </w:p>
        </w:tc>
      </w:tr>
      <w:tr>
        <w:tc>
          <w:tcPr>
            <w:tcW w:type="dxa" w:w="2340"/>
            <w:vAlign w:val="center"/>
          </w:tcPr>
          <w:p>
            <w:pPr>
              <w:jc w:val="left"/>
            </w:pPr>
            <w:r/>
            <w:r>
              <w:rPr>
                <w:rFonts w:ascii="Calibri" w:hAnsi="Calibri"/>
                <w:b w:val="0"/>
                <w:sz w:val="18"/>
              </w:rPr>
              <w:t>Frontend lint</w:t>
            </w:r>
          </w:p>
        </w:tc>
        <w:tc>
          <w:tcPr>
            <w:tcW w:type="dxa" w:w="2340"/>
            <w:vAlign w:val="center"/>
          </w:tcPr>
          <w:p>
            <w:pPr>
              <w:jc w:val="left"/>
            </w:pPr>
            <w:r/>
            <w:r>
              <w:rPr>
                <w:rFonts w:ascii="Calibri" w:hAnsi="Calibri"/>
                <w:b w:val="0"/>
                <w:sz w:val="18"/>
              </w:rPr>
              <w:t>npm run lint</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ESLint passed</w:t>
            </w:r>
          </w:p>
        </w:tc>
      </w:tr>
      <w:tr>
        <w:tc>
          <w:tcPr>
            <w:tcW w:type="dxa" w:w="2340"/>
            <w:vAlign w:val="center"/>
          </w:tcPr>
          <w:p>
            <w:pPr>
              <w:jc w:val="left"/>
            </w:pPr>
            <w:r/>
            <w:r>
              <w:rPr>
                <w:rFonts w:ascii="Calibri" w:hAnsi="Calibri"/>
                <w:b w:val="0"/>
                <w:sz w:val="18"/>
              </w:rPr>
              <w:t>Frontend build</w:t>
            </w:r>
          </w:p>
        </w:tc>
        <w:tc>
          <w:tcPr>
            <w:tcW w:type="dxa" w:w="2340"/>
            <w:vAlign w:val="center"/>
          </w:tcPr>
          <w:p>
            <w:pPr>
              <w:jc w:val="left"/>
            </w:pPr>
            <w:r/>
            <w:r>
              <w:rPr>
                <w:rFonts w:ascii="Calibri" w:hAnsi="Calibri"/>
                <w:b w:val="0"/>
                <w:sz w:val="18"/>
              </w:rPr>
              <w:t>npm run build</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Vite production build passed</w:t>
            </w:r>
          </w:p>
        </w:tc>
      </w:tr>
      <w:tr>
        <w:tc>
          <w:tcPr>
            <w:tcW w:type="dxa" w:w="2340"/>
            <w:vAlign w:val="center"/>
          </w:tcPr>
          <w:p>
            <w:pPr>
              <w:jc w:val="left"/>
            </w:pPr>
            <w:r/>
            <w:r>
              <w:rPr>
                <w:rFonts w:ascii="Calibri" w:hAnsi="Calibri"/>
                <w:b w:val="0"/>
                <w:sz w:val="18"/>
              </w:rPr>
              <w:t>Diff hygiene</w:t>
            </w:r>
          </w:p>
        </w:tc>
        <w:tc>
          <w:tcPr>
            <w:tcW w:type="dxa" w:w="2340"/>
            <w:vAlign w:val="center"/>
          </w:tcPr>
          <w:p>
            <w:pPr>
              <w:jc w:val="left"/>
            </w:pPr>
            <w:r/>
            <w:r>
              <w:rPr>
                <w:rFonts w:ascii="Calibri" w:hAnsi="Calibri"/>
                <w:b w:val="0"/>
                <w:sz w:val="18"/>
              </w:rPr>
              <w:t>git diff --check</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No whitespace/conflict-marker errors</w:t>
            </w:r>
          </w:p>
        </w:tc>
      </w:tr>
      <w:tr>
        <w:tc>
          <w:tcPr>
            <w:tcW w:type="dxa" w:w="2340"/>
            <w:vAlign w:val="center"/>
          </w:tcPr>
          <w:p>
            <w:pPr>
              <w:jc w:val="left"/>
            </w:pPr>
            <w:r/>
            <w:r>
              <w:rPr>
                <w:rFonts w:ascii="Calibri" w:hAnsi="Calibri"/>
                <w:b w:val="0"/>
                <w:sz w:val="18"/>
              </w:rPr>
              <w:t>GitNexus review</w:t>
            </w:r>
          </w:p>
        </w:tc>
        <w:tc>
          <w:tcPr>
            <w:tcW w:type="dxa" w:w="2340"/>
            <w:vAlign w:val="center"/>
          </w:tcPr>
          <w:p>
            <w:pPr>
              <w:jc w:val="left"/>
            </w:pPr>
            <w:r/>
            <w:r>
              <w:rPr>
                <w:rFonts w:ascii="Calibri" w:hAnsi="Calibri"/>
                <w:b w:val="0"/>
                <w:sz w:val="18"/>
              </w:rPr>
              <w:t>detect_changes</w:t>
            </w:r>
          </w:p>
        </w:tc>
        <w:tc>
          <w:tcPr>
            <w:tcW w:type="dxa" w:w="2340"/>
            <w:vAlign w:val="center"/>
            <w:shd w:fill="E7F4EA"/>
          </w:tcPr>
          <w:p>
            <w:pPr>
              <w:jc w:val="left"/>
            </w:pPr>
            <w:r/>
            <w:r>
              <w:rPr>
                <w:rFonts w:ascii="Calibri" w:hAnsi="Calibri"/>
                <w:b w:val="0"/>
                <w:sz w:val="18"/>
              </w:rPr>
              <w:t>Done</w:t>
            </w:r>
          </w:p>
        </w:tc>
        <w:tc>
          <w:tcPr>
            <w:tcW w:type="dxa" w:w="2340"/>
            <w:vAlign w:val="center"/>
          </w:tcPr>
          <w:p>
            <w:pPr>
              <w:jc w:val="left"/>
            </w:pPr>
            <w:r/>
            <w:r>
              <w:rPr>
                <w:rFonts w:ascii="Calibri" w:hAnsi="Calibri"/>
                <w:b w:val="0"/>
                <w:sz w:val="18"/>
              </w:rPr>
              <w:t>High risk due to auth/user/security scope; reviewed intentionally</w:t>
            </w:r>
          </w:p>
        </w:tc>
      </w:tr>
    </w:tbl>
    <w:p/>
    <w:p>
      <w:pPr>
        <w:pStyle w:val="Heading1"/>
      </w:pPr>
      <w:r>
        <w:rPr>
          <w:rFonts w:ascii="Calibri" w:hAnsi="Calibri"/>
          <w:color w:val="2E74B5"/>
        </w:rPr>
        <w:t>5. Maintenance and Scaling Notes</w:t>
      </w:r>
    </w:p>
    <w:p>
      <w:pPr>
        <w:pStyle w:val="ListBullet"/>
        <w:spacing w:after="80"/>
      </w:pPr>
      <w:r>
        <w:rPr>
          <w:rFonts w:ascii="Calibri" w:hAnsi="Calibri"/>
          <w:sz w:val="21"/>
        </w:rPr>
        <w:t>Keep auth/session changes isolated from UI-only commits to simplify future regression review.</w:t>
      </w:r>
    </w:p>
    <w:p>
      <w:pPr>
        <w:pStyle w:val="ListBullet"/>
        <w:spacing w:after="80"/>
      </w:pPr>
      <w:r>
        <w:rPr>
          <w:rFonts w:ascii="Calibri" w:hAnsi="Calibri"/>
          <w:sz w:val="21"/>
        </w:rPr>
        <w:t>Version future policy updates by changing consentVersion and requiring renewed consent if policy scope changes materially.</w:t>
      </w:r>
    </w:p>
    <w:p>
      <w:pPr>
        <w:pStyle w:val="ListBullet"/>
        <w:spacing w:after="80"/>
      </w:pPr>
      <w:r>
        <w:rPr>
          <w:rFonts w:ascii="Calibri" w:hAnsi="Calibri"/>
          <w:sz w:val="21"/>
        </w:rPr>
        <w:t>Move field-level encryption for phone, Telegram ID, attendee email/phone into a separate migration when key management is ready.</w:t>
      </w:r>
    </w:p>
    <w:p>
      <w:pPr>
        <w:pStyle w:val="ListBullet"/>
        <w:spacing w:after="80"/>
      </w:pPr>
      <w:r>
        <w:rPr>
          <w:rFonts w:ascii="Calibri" w:hAnsi="Calibri"/>
          <w:sz w:val="21"/>
        </w:rPr>
        <w:t>Add admin-facing DPA/vendor inventory before connecting more third-party providers.</w:t>
      </w:r>
    </w:p>
    <w:p>
      <w:pPr>
        <w:pStyle w:val="ListBullet"/>
        <w:spacing w:after="80"/>
      </w:pPr>
      <w:r>
        <w:rPr>
          <w:rFonts w:ascii="Calibri" w:hAnsi="Calibri"/>
          <w:sz w:val="21"/>
        </w:rPr>
        <w:t>Test restore drills and document incident-response steps before production launch.</w:t>
      </w:r>
    </w:p>
    <w:p>
      <w:pPr>
        <w:pStyle w:val="Heading1"/>
      </w:pPr>
      <w:r>
        <w:rPr>
          <w:rFonts w:ascii="Calibri" w:hAnsi="Calibri"/>
          <w:color w:val="2E74B5"/>
        </w:rPr>
        <w:t>6. Remaining Gaps</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340"/>
        <w:gridCol w:w="2340"/>
        <w:gridCol w:w="2340"/>
        <w:gridCol w:w="2340"/>
      </w:tblGrid>
      <w:tr>
        <w:tc>
          <w:tcPr>
            <w:tcW w:type="dxa" w:w="2160"/>
            <w:vAlign w:val="center"/>
            <w:shd w:fill="2E74B5"/>
          </w:tcPr>
          <w:p>
            <w:pPr>
              <w:jc w:val="left"/>
            </w:pPr>
            <w:r/>
            <w:r>
              <w:rPr>
                <w:rFonts w:ascii="Calibri" w:hAnsi="Calibri"/>
                <w:b/>
                <w:color w:val="FFFFFF"/>
                <w:sz w:val="18"/>
              </w:rPr>
              <w:t>Area</w:t>
            </w:r>
          </w:p>
        </w:tc>
        <w:tc>
          <w:tcPr>
            <w:tcW w:type="dxa" w:w="2880"/>
            <w:vAlign w:val="center"/>
            <w:shd w:fill="2E74B5"/>
          </w:tcPr>
          <w:p>
            <w:pPr>
              <w:jc w:val="left"/>
            </w:pPr>
            <w:r/>
            <w:r>
              <w:rPr>
                <w:rFonts w:ascii="Calibri" w:hAnsi="Calibri"/>
                <w:b/>
                <w:color w:val="FFFFFF"/>
                <w:sz w:val="18"/>
              </w:rPr>
              <w:t>Implementation</w:t>
            </w:r>
          </w:p>
        </w:tc>
        <w:tc>
          <w:tcPr>
            <w:tcW w:type="dxa" w:w="1728"/>
            <w:vAlign w:val="center"/>
            <w:shd w:fill="2E74B5"/>
          </w:tcPr>
          <w:p>
            <w:pPr>
              <w:jc w:val="left"/>
            </w:pPr>
            <w:r/>
            <w:r>
              <w:rPr>
                <w:rFonts w:ascii="Calibri" w:hAnsi="Calibri"/>
                <w:b/>
                <w:color w:val="FFFFFF"/>
                <w:sz w:val="18"/>
              </w:rPr>
              <w:t>Status</w:t>
            </w:r>
          </w:p>
        </w:tc>
        <w:tc>
          <w:tcPr>
            <w:tcW w:type="dxa" w:w="2592"/>
            <w:vAlign w:val="center"/>
            <w:shd w:fill="2E74B5"/>
          </w:tcPr>
          <w:p>
            <w:pPr>
              <w:jc w:val="left"/>
            </w:pPr>
            <w:r/>
            <w:r>
              <w:rPr>
                <w:rFonts w:ascii="Calibri" w:hAnsi="Calibri"/>
                <w:b/>
                <w:color w:val="FFFFFF"/>
                <w:sz w:val="18"/>
              </w:rPr>
              <w:t>Evidence</w:t>
            </w:r>
          </w:p>
        </w:tc>
      </w:tr>
      <w:tr>
        <w:tc>
          <w:tcPr>
            <w:tcW w:type="dxa" w:w="2340"/>
            <w:vAlign w:val="center"/>
          </w:tcPr>
          <w:p>
            <w:pPr>
              <w:jc w:val="left"/>
            </w:pPr>
            <w:r/>
            <w:r>
              <w:rPr>
                <w:rFonts w:ascii="Calibri" w:hAnsi="Calibri"/>
                <w:b w:val="0"/>
                <w:sz w:val="18"/>
              </w:rPr>
              <w:t>Legal review</w:t>
            </w:r>
          </w:p>
        </w:tc>
        <w:tc>
          <w:tcPr>
            <w:tcW w:type="dxa" w:w="2340"/>
            <w:vAlign w:val="center"/>
          </w:tcPr>
          <w:p>
            <w:pPr>
              <w:jc w:val="left"/>
            </w:pPr>
            <w:r/>
            <w:r>
              <w:rPr>
                <w:rFonts w:ascii="Calibri" w:hAnsi="Calibri"/>
                <w:b w:val="0"/>
                <w:sz w:val="18"/>
              </w:rPr>
              <w:t>Privacy/Terms text should be reviewed by a qualified legal owner.</w:t>
            </w:r>
          </w:p>
        </w:tc>
        <w:tc>
          <w:tcPr>
            <w:tcW w:type="dxa" w:w="2340"/>
            <w:vAlign w:val="center"/>
            <w:shd w:fill="FFF4D6"/>
          </w:tcPr>
          <w:p>
            <w:pPr>
              <w:jc w:val="left"/>
            </w:pPr>
            <w:r/>
            <w:r>
              <w:rPr>
                <w:rFonts w:ascii="Calibri" w:hAnsi="Calibri"/>
                <w:b w:val="0"/>
                <w:sz w:val="18"/>
              </w:rPr>
              <w:t>Partial</w:t>
            </w:r>
          </w:p>
        </w:tc>
        <w:tc>
          <w:tcPr>
            <w:tcW w:type="dxa" w:w="2340"/>
            <w:vAlign w:val="center"/>
          </w:tcPr>
          <w:p>
            <w:pPr>
              <w:jc w:val="left"/>
            </w:pPr>
            <w:r/>
            <w:r>
              <w:rPr>
                <w:rFonts w:ascii="Calibri" w:hAnsi="Calibri"/>
                <w:b w:val="0"/>
                <w:sz w:val="18"/>
              </w:rPr>
              <w:t>Current text is engineering-ready, not legal advice</w:t>
            </w:r>
          </w:p>
        </w:tc>
      </w:tr>
      <w:tr>
        <w:tc>
          <w:tcPr>
            <w:tcW w:type="dxa" w:w="2340"/>
            <w:vAlign w:val="center"/>
          </w:tcPr>
          <w:p>
            <w:pPr>
              <w:jc w:val="left"/>
            </w:pPr>
            <w:r/>
            <w:r>
              <w:rPr>
                <w:rFonts w:ascii="Calibri" w:hAnsi="Calibri"/>
                <w:b w:val="0"/>
                <w:sz w:val="18"/>
              </w:rPr>
              <w:t>Field encryption</w:t>
            </w:r>
          </w:p>
        </w:tc>
        <w:tc>
          <w:tcPr>
            <w:tcW w:type="dxa" w:w="2340"/>
            <w:vAlign w:val="center"/>
          </w:tcPr>
          <w:p>
            <w:pPr>
              <w:jc w:val="left"/>
            </w:pPr>
            <w:r/>
            <w:r>
              <w:rPr>
                <w:rFonts w:ascii="Calibri" w:hAnsi="Calibri"/>
                <w:b w:val="0"/>
                <w:sz w:val="18"/>
              </w:rPr>
              <w:t>PII fields are minimized and controllable but not yet encrypted field-by-field.</w:t>
            </w:r>
          </w:p>
        </w:tc>
        <w:tc>
          <w:tcPr>
            <w:tcW w:type="dxa" w:w="2340"/>
            <w:vAlign w:val="center"/>
            <w:shd w:fill="FFF4D6"/>
          </w:tcPr>
          <w:p>
            <w:pPr>
              <w:jc w:val="left"/>
            </w:pPr>
            <w:r/>
            <w:r>
              <w:rPr>
                <w:rFonts w:ascii="Calibri" w:hAnsi="Calibri"/>
                <w:b w:val="0"/>
                <w:sz w:val="18"/>
              </w:rPr>
              <w:t>Partial</w:t>
            </w:r>
          </w:p>
        </w:tc>
        <w:tc>
          <w:tcPr>
            <w:tcW w:type="dxa" w:w="2340"/>
            <w:vAlign w:val="center"/>
          </w:tcPr>
          <w:p>
            <w:pPr>
              <w:jc w:val="left"/>
            </w:pPr>
            <w:r/>
            <w:r>
              <w:rPr>
                <w:rFonts w:ascii="Calibri" w:hAnsi="Calibri"/>
                <w:b w:val="0"/>
                <w:sz w:val="18"/>
              </w:rPr>
              <w:t>Future encryption service needed</w:t>
            </w:r>
          </w:p>
        </w:tc>
      </w:tr>
      <w:tr>
        <w:tc>
          <w:tcPr>
            <w:tcW w:type="dxa" w:w="2340"/>
            <w:vAlign w:val="center"/>
          </w:tcPr>
          <w:p>
            <w:pPr>
              <w:jc w:val="left"/>
            </w:pPr>
            <w:r/>
            <w:r>
              <w:rPr>
                <w:rFonts w:ascii="Calibri" w:hAnsi="Calibri"/>
                <w:b w:val="0"/>
                <w:sz w:val="18"/>
              </w:rPr>
              <w:t>Incident response</w:t>
            </w:r>
          </w:p>
        </w:tc>
        <w:tc>
          <w:tcPr>
            <w:tcW w:type="dxa" w:w="2340"/>
            <w:vAlign w:val="center"/>
          </w:tcPr>
          <w:p>
            <w:pPr>
              <w:jc w:val="left"/>
            </w:pPr>
            <w:r/>
            <w:r>
              <w:rPr>
                <w:rFonts w:ascii="Calibri" w:hAnsi="Calibri"/>
                <w:b w:val="0"/>
                <w:sz w:val="18"/>
              </w:rPr>
              <w:t>Runbook should define breach triage, notification owner, and timeline.</w:t>
            </w:r>
          </w:p>
        </w:tc>
        <w:tc>
          <w:tcPr>
            <w:tcW w:type="dxa" w:w="2340"/>
            <w:vAlign w:val="center"/>
            <w:shd w:fill="FFF4D6"/>
          </w:tcPr>
          <w:p>
            <w:pPr>
              <w:jc w:val="left"/>
            </w:pPr>
            <w:r/>
            <w:r>
              <w:rPr>
                <w:rFonts w:ascii="Calibri" w:hAnsi="Calibri"/>
                <w:b w:val="0"/>
                <w:sz w:val="18"/>
              </w:rPr>
              <w:t>Partial</w:t>
            </w:r>
          </w:p>
        </w:tc>
        <w:tc>
          <w:tcPr>
            <w:tcW w:type="dxa" w:w="2340"/>
            <w:vAlign w:val="center"/>
          </w:tcPr>
          <w:p>
            <w:pPr>
              <w:jc w:val="left"/>
            </w:pPr>
            <w:r/>
            <w:r>
              <w:rPr>
                <w:rFonts w:ascii="Calibri" w:hAnsi="Calibri"/>
                <w:b w:val="0"/>
                <w:sz w:val="18"/>
              </w:rPr>
              <w:t>Process document needed</w:t>
            </w:r>
          </w:p>
        </w:tc>
      </w:tr>
      <w:tr>
        <w:tc>
          <w:tcPr>
            <w:tcW w:type="dxa" w:w="2340"/>
            <w:vAlign w:val="center"/>
          </w:tcPr>
          <w:p>
            <w:pPr>
              <w:jc w:val="left"/>
            </w:pPr>
            <w:r/>
            <w:r>
              <w:rPr>
                <w:rFonts w:ascii="Calibri" w:hAnsi="Calibri"/>
                <w:b w:val="0"/>
                <w:sz w:val="18"/>
              </w:rPr>
              <w:t>Vendor governance</w:t>
            </w:r>
          </w:p>
        </w:tc>
        <w:tc>
          <w:tcPr>
            <w:tcW w:type="dxa" w:w="2340"/>
            <w:vAlign w:val="center"/>
          </w:tcPr>
          <w:p>
            <w:pPr>
              <w:jc w:val="left"/>
            </w:pPr>
            <w:r/>
            <w:r>
              <w:rPr>
                <w:rFonts w:ascii="Calibri" w:hAnsi="Calibri"/>
                <w:b w:val="0"/>
                <w:sz w:val="18"/>
              </w:rPr>
              <w:t>DPA/vendor register should be formalized for AI, email, Telegram, storage, and payment.</w:t>
            </w:r>
          </w:p>
        </w:tc>
        <w:tc>
          <w:tcPr>
            <w:tcW w:type="dxa" w:w="2340"/>
            <w:vAlign w:val="center"/>
            <w:shd w:fill="FFF4D6"/>
          </w:tcPr>
          <w:p>
            <w:pPr>
              <w:jc w:val="left"/>
            </w:pPr>
            <w:r/>
            <w:r>
              <w:rPr>
                <w:rFonts w:ascii="Calibri" w:hAnsi="Calibri"/>
                <w:b w:val="0"/>
                <w:sz w:val="18"/>
              </w:rPr>
              <w:t>Partial</w:t>
            </w:r>
          </w:p>
        </w:tc>
        <w:tc>
          <w:tcPr>
            <w:tcW w:type="dxa" w:w="2340"/>
            <w:vAlign w:val="center"/>
          </w:tcPr>
          <w:p>
            <w:pPr>
              <w:jc w:val="left"/>
            </w:pPr>
            <w:r/>
            <w:r>
              <w:rPr>
                <w:rFonts w:ascii="Calibri" w:hAnsi="Calibri"/>
                <w:b w:val="0"/>
                <w:sz w:val="18"/>
              </w:rPr>
              <w:t>Operational checklist needed</w:t>
            </w:r>
          </w:p>
        </w:tc>
      </w:tr>
    </w:tbl>
    <w:p/>
    <w:p>
      <w:pPr>
        <w:pStyle w:val="Heading1"/>
      </w:pPr>
      <w:r>
        <w:rPr>
          <w:rFonts w:ascii="Calibri" w:hAnsi="Calibri"/>
          <w:color w:val="2E74B5"/>
        </w:rPr>
        <w:t>7. Commit Plan</w:t>
      </w:r>
    </w:p>
    <w:tbl>
      <w:tblPr>
        <w:tblW w:type="auto" w:w="0"/>
        <w:jc w:val="center"/>
        <w:tblLayout w:type="fixed"/>
        <w:tblLook w:firstColumn="1" w:firstRow="1" w:lastColumn="0" w:lastRow="0" w:noHBand="0" w:noVBand="1" w:val="04A0"/>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3120"/>
        <w:gridCol w:w="3120"/>
        <w:gridCol w:w="3120"/>
      </w:tblGrid>
      <w:tr>
        <w:tc>
          <w:tcPr>
            <w:tcW w:type="dxa" w:w="3456"/>
            <w:vAlign w:val="center"/>
            <w:shd w:fill="1F4D78"/>
          </w:tcPr>
          <w:p>
            <w:pPr>
              <w:jc w:val="left"/>
            </w:pPr>
            <w:r/>
            <w:r>
              <w:rPr>
                <w:rFonts w:ascii="Calibri" w:hAnsi="Calibri"/>
                <w:b/>
                <w:color w:val="FFFFFF"/>
                <w:sz w:val="18"/>
              </w:rPr>
              <w:t>Commit</w:t>
            </w:r>
          </w:p>
        </w:tc>
        <w:tc>
          <w:tcPr>
            <w:tcW w:type="dxa" w:w="3312"/>
            <w:vAlign w:val="center"/>
            <w:shd w:fill="1F4D78"/>
          </w:tcPr>
          <w:p>
            <w:pPr>
              <w:jc w:val="left"/>
            </w:pPr>
            <w:r/>
            <w:r>
              <w:rPr>
                <w:rFonts w:ascii="Calibri" w:hAnsi="Calibri"/>
                <w:b/>
                <w:color w:val="FFFFFF"/>
                <w:sz w:val="18"/>
              </w:rPr>
              <w:t>Scope</w:t>
            </w:r>
          </w:p>
        </w:tc>
        <w:tc>
          <w:tcPr>
            <w:tcW w:type="dxa" w:w="2592"/>
            <w:vAlign w:val="center"/>
            <w:shd w:fill="1F4D78"/>
          </w:tcPr>
          <w:p>
            <w:pPr>
              <w:jc w:val="left"/>
            </w:pPr>
            <w:r/>
            <w:r>
              <w:rPr>
                <w:rFonts w:ascii="Calibri" w:hAnsi="Calibri"/>
                <w:b/>
                <w:color w:val="FFFFFF"/>
                <w:sz w:val="18"/>
              </w:rPr>
              <w:t>Reason</w:t>
            </w:r>
          </w:p>
        </w:tc>
      </w:tr>
      <w:tr>
        <w:tc>
          <w:tcPr>
            <w:tcW w:type="dxa" w:w="3120"/>
            <w:vAlign w:val="center"/>
          </w:tcPr>
          <w:p>
            <w:pPr>
              <w:jc w:val="left"/>
            </w:pPr>
            <w:r/>
            <w:r>
              <w:rPr>
                <w:rFonts w:ascii="Calibri" w:hAnsi="Calibri"/>
                <w:b w:val="0"/>
                <w:sz w:val="18"/>
              </w:rPr>
              <w:t>feat(security): harden auth session and consent controls</w:t>
            </w:r>
          </w:p>
        </w:tc>
        <w:tc>
          <w:tcPr>
            <w:tcW w:type="dxa" w:w="3120"/>
            <w:vAlign w:val="center"/>
          </w:tcPr>
          <w:p>
            <w:pPr>
              <w:jc w:val="left"/>
            </w:pPr>
            <w:r/>
            <w:r>
              <w:rPr>
                <w:rFonts w:ascii="Calibri" w:hAnsi="Calibri"/>
                <w:b w:val="0"/>
                <w:sz w:val="18"/>
              </w:rPr>
              <w:t>Backend and frontend auth changes, consent storage, public legal pages.</w:t>
            </w:r>
          </w:p>
        </w:tc>
        <w:tc>
          <w:tcPr>
            <w:tcW w:type="dxa" w:w="3120"/>
            <w:vAlign w:val="center"/>
          </w:tcPr>
          <w:p>
            <w:pPr>
              <w:jc w:val="left"/>
            </w:pPr>
            <w:r/>
            <w:r>
              <w:rPr>
                <w:rFonts w:ascii="Calibri" w:hAnsi="Calibri"/>
                <w:b w:val="0"/>
                <w:sz w:val="18"/>
              </w:rPr>
              <w:t>Keeps auth changes reviewable without mixing report artifacts.</w:t>
            </w:r>
          </w:p>
        </w:tc>
      </w:tr>
      <w:tr>
        <w:tc>
          <w:tcPr>
            <w:tcW w:type="dxa" w:w="3120"/>
            <w:vAlign w:val="center"/>
          </w:tcPr>
          <w:p>
            <w:pPr>
              <w:jc w:val="left"/>
            </w:pPr>
            <w:r/>
            <w:r>
              <w:rPr>
                <w:rFonts w:ascii="Calibri" w:hAnsi="Calibri"/>
                <w:b w:val="0"/>
                <w:sz w:val="18"/>
              </w:rPr>
              <w:t>feat(data-protection): add user data export, erasure, retention, and payment minimization</w:t>
            </w:r>
          </w:p>
        </w:tc>
        <w:tc>
          <w:tcPr>
            <w:tcW w:type="dxa" w:w="3120"/>
            <w:vAlign w:val="center"/>
          </w:tcPr>
          <w:p>
            <w:pPr>
              <w:jc w:val="left"/>
            </w:pPr>
            <w:r/>
            <w:r>
              <w:rPr>
                <w:rFonts w:ascii="Calibri" w:hAnsi="Calibri"/>
                <w:b w:val="0"/>
                <w:sz w:val="18"/>
              </w:rPr>
              <w:t>User control APIs, anonymization path, retention scheduler, payment payload sanitizer, migration.</w:t>
            </w:r>
          </w:p>
        </w:tc>
        <w:tc>
          <w:tcPr>
            <w:tcW w:type="dxa" w:w="3120"/>
            <w:vAlign w:val="center"/>
          </w:tcPr>
          <w:p>
            <w:pPr>
              <w:jc w:val="left"/>
            </w:pPr>
            <w:r/>
            <w:r>
              <w:rPr>
                <w:rFonts w:ascii="Calibri" w:hAnsi="Calibri"/>
                <w:b w:val="0"/>
                <w:sz w:val="18"/>
              </w:rPr>
              <w:t>Separates privacy rights and retention behavior from session mechanics.</w:t>
            </w:r>
          </w:p>
        </w:tc>
      </w:tr>
      <w:tr>
        <w:tc>
          <w:tcPr>
            <w:tcW w:type="dxa" w:w="3120"/>
            <w:vAlign w:val="center"/>
          </w:tcPr>
          <w:p>
            <w:pPr>
              <w:jc w:val="left"/>
            </w:pPr>
            <w:r/>
            <w:r>
              <w:rPr>
                <w:rFonts w:ascii="Calibri" w:hAnsi="Calibri"/>
                <w:b w:val="0"/>
                <w:sz w:val="18"/>
              </w:rPr>
              <w:t>docs(data-protection): add lecturer report and verification notes</w:t>
            </w:r>
          </w:p>
        </w:tc>
        <w:tc>
          <w:tcPr>
            <w:tcW w:type="dxa" w:w="3120"/>
            <w:vAlign w:val="center"/>
          </w:tcPr>
          <w:p>
            <w:pPr>
              <w:jc w:val="left"/>
            </w:pPr>
            <w:r/>
            <w:r>
              <w:rPr>
                <w:rFonts w:ascii="Calibri" w:hAnsi="Calibri"/>
                <w:b w:val="0"/>
                <w:sz w:val="18"/>
              </w:rPr>
              <w:t>DOCX report plus generator used to recreate the artifact.</w:t>
            </w:r>
          </w:p>
        </w:tc>
        <w:tc>
          <w:tcPr>
            <w:tcW w:type="dxa" w:w="3120"/>
            <w:vAlign w:val="center"/>
          </w:tcPr>
          <w:p>
            <w:pPr>
              <w:jc w:val="left"/>
            </w:pPr>
            <w:r/>
            <w:r>
              <w:rPr>
                <w:rFonts w:ascii="Calibri" w:hAnsi="Calibri"/>
                <w:b w:val="0"/>
                <w:sz w:val="18"/>
              </w:rPr>
              <w:t>Makes the submitted artifact traceable and maintainable.</w:t>
            </w:r>
          </w:p>
        </w:tc>
      </w:tr>
    </w:tbl>
    <w:p/>
    <w:p>
      <w:pPr>
        <w:pStyle w:val="Heading1"/>
      </w:pPr>
      <w:r>
        <w:rPr>
          <w:rFonts w:ascii="Calibri" w:hAnsi="Calibri"/>
          <w:color w:val="2E74B5"/>
        </w:rPr>
        <w:t>Conclusion</w:t>
      </w:r>
    </w:p>
    <w:p>
      <w:pPr>
        <w:spacing w:after="120" w:line="264" w:lineRule="auto"/>
      </w:pPr>
      <w:r>
        <w:rPr>
          <w:rFonts w:ascii="Calibri" w:hAnsi="Calibri"/>
          <w:sz w:val="22"/>
        </w:rPr>
        <w:t>The project is now substantially stronger than the initial MVP state for Data Protection. It includes concrete user-facing rights, safer authentication storage, clearer consent, retention cleanup, and reduced payment-data exposure. The remaining work is mainly production governance: legal review, field-level encryption, DPA management, and incident-response procedure.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