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65C6C" w14:textId="77777777" w:rsidR="00D94331" w:rsidRDefault="00D94331" w:rsidP="00D94331">
      <w:r>
        <w:t>§8. CÁC CHỨC NĂNG ĐIỀU KHIỂN CHUỘT.</w:t>
      </w:r>
    </w:p>
    <w:p w14:paraId="3CB5194F" w14:textId="0AB483EA" w:rsidR="002F7A44" w:rsidRDefault="00D94331" w:rsidP="00D94331">
      <w:r>
        <w:t>Có thể điều khiển chuột nhờ các chức năng của ngắt 0x33. Điều này sẽ trình bầy trong mục §4 chương 17. Có một chú ý ở đây là số hiệu chức năng của ngắt 0x33 phải đặt vào thanh ghi AX chứ không phải đặt vào AH như đối với các ngắt đã nói ở trên.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4F"/>
    <w:rsid w:val="002802F9"/>
    <w:rsid w:val="002F7A44"/>
    <w:rsid w:val="0098214F"/>
    <w:rsid w:val="009832B9"/>
    <w:rsid w:val="00D20953"/>
    <w:rsid w:val="00D9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7EC30A-E036-4171-89B7-6D1E0E67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2023-12-11T15:56:00Z</dcterms:created>
  <dcterms:modified xsi:type="dcterms:W3CDTF">2023-12-11T15:56:00Z</dcterms:modified>
</cp:coreProperties>
</file>