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52"/>
        </w:rPr>
        <w:t>Đặc tả kỹ thuật</w:t>
      </w:r>
    </w:p>
    <w:p>
      <w:pPr>
        <w:pStyle w:val="Heading2"/>
      </w:pPr>
      <w:r>
        <w:rPr>
          <w:rFonts w:ascii="Arial" w:hAnsi="Arial"/>
          <w:b/>
          <w:color w:val="000000"/>
          <w:sz w:val="30"/>
        </w:rPr>
        <w:t>Hệ thống quản lý khám chữa bệnh</w:t>
      </w:r>
    </w:p>
    <w:p>
      <w:pPr>
        <w:spacing w:line="264" w:lineRule="auto" w:after="120"/>
      </w:pPr>
      <w:r>
        <w:rPr>
          <w:rFonts w:ascii="Arial" w:hAnsi="Arial"/>
          <w:color w:val="000000"/>
          <w:sz w:val="21"/>
        </w:rPr>
        <w:t>Phiên bản 3.1 • Ngày 25 tháng 09 năm 2026</w:t>
      </w:r>
    </w:p>
    <w:p>
      <w:pPr>
        <w:spacing w:line="264" w:lineRule="auto" w:after="120"/>
      </w:pPr>
      <w:r>
        <w:rPr>
          <w:rFonts w:ascii="Arial" w:hAnsi="Arial"/>
          <w:color w:val="000000"/>
          <w:sz w:val="21"/>
        </w:rPr>
        <w:t>Mã tài liệu HMS TSD 3.1 • Triển khai HMS BRD 2.0</w:t>
      </w:r>
    </w:p>
    <w:p>
      <w:pPr>
        <w:spacing w:line="264" w:lineRule="auto" w:after="120"/>
      </w:pPr>
      <w:r>
        <w:rPr>
          <w:rFonts w:ascii="Arial" w:hAnsi="Arial"/>
          <w:color w:val="000000"/>
          <w:sz w:val="21"/>
        </w:rPr>
        <w:t>Tài liệu quy định kiến trúc, mô hình lưu trữ, phân quyền, ranh giới giao dịch, API và kiểm thử cho hệ thống ngoại trú và nội trú. Thiết kế sử dụng một ứng dụng ASP.NET Core chia module, PostgreSQL làm nguồn dữ liệu nghiệp vụ và kho object storage riêng tư cho tệp bệnh án/cận lâm sàng.</w:t>
      </w:r>
    </w:p>
    <w:p>
      <w:pPr>
        <w:pStyle w:val="Heading3"/>
      </w:pPr>
      <w:r>
        <w:rPr>
          <w:rFonts w:ascii="Arial" w:hAnsi="Arial"/>
          <w:b/>
          <w:color w:val="000000"/>
          <w:sz w:val="23"/>
        </w:rPr>
        <w:t>Các quyết định kiến trúc</w:t>
      </w:r>
    </w:p>
    <w:p>
      <w:pPr>
        <w:pStyle w:val="ListBullet"/>
      </w:pPr>
      <w:r>
        <w:rPr>
          <w:rFonts w:ascii="Arial" w:hAnsi="Arial"/>
          <w:color w:val="000000"/>
          <w:sz w:val="21"/>
        </w:rPr>
        <w:t>Chỉ tiếp nhận và lấy số trực tiếp. Không có entity Appointment, API tạo lịch hoặc cơ chế giữ slot bác sĩ.</w:t>
      </w:r>
    </w:p>
    <w:p>
      <w:pPr>
        <w:pStyle w:val="ListBullet"/>
      </w:pPr>
      <w:r>
        <w:rPr>
          <w:rFonts w:ascii="Arial" w:hAnsi="Arial"/>
          <w:color w:val="000000"/>
          <w:sz w:val="21"/>
        </w:rPr>
        <w:t>Lượt khám, phiếu chờ, chỉ định, kết quả, hóa đơn và cấp phát có vòng đời riêng; liên kết bằng mã nội bộ.</w:t>
      </w:r>
    </w:p>
    <w:p>
      <w:pPr>
        <w:pStyle w:val="ListBullet"/>
      </w:pPr>
      <w:r>
        <w:rPr>
          <w:rFonts w:ascii="Arial" w:hAnsi="Arial"/>
          <w:color w:val="000000"/>
          <w:sz w:val="21"/>
        </w:rPr>
        <w:t>Giữ mô hình hóa đơn và tạm ứng hiện tại. Lịch sử giao dịch thuộc hóa đơn, không đưa vào phân hệ sổ cái hay phân bổ thanh toán độc lập.</w:t>
      </w:r>
    </w:p>
    <w:p>
      <w:pPr>
        <w:pStyle w:val="ListBullet"/>
      </w:pPr>
      <w:r>
        <w:rPr>
          <w:rFonts w:ascii="Arial" w:hAnsi="Arial"/>
          <w:color w:val="000000"/>
          <w:sz w:val="21"/>
        </w:rPr>
        <w:t>Quyền theo tài nguyên và phân công phải dùng ở cả Command, Query, tìm kiếm và tải tệp.</w:t>
      </w:r>
    </w:p>
    <w:p>
      <w:pPr>
        <w:pStyle w:val="ListBullet"/>
      </w:pPr>
      <w:r>
        <w:rPr>
          <w:rFonts w:ascii="Arial" w:hAnsi="Arial"/>
          <w:color w:val="000000"/>
          <w:sz w:val="21"/>
        </w:rPr>
        <w:t>Gán giường, thu tiền, gọi số và rotation refresh token có kiểm soát đồng thời ở PostgreSQL.</w:t>
      </w:r>
    </w:p>
    <w:p>
      <w:pPr>
        <w:pStyle w:val="ListBullet"/>
      </w:pPr>
      <w:r>
        <w:rPr>
          <w:rFonts w:ascii="Arial" w:hAnsi="Arial"/>
          <w:color w:val="000000"/>
          <w:sz w:val="21"/>
        </w:rPr>
        <w:t>Cloud lưu nội dung tệp; dữ liệu nghiệp vụ, quyền, metadata và phiên bản tệp được quản lý trong PostgreSQL.</w:t>
      </w:r>
    </w:p>
    <w:p>
      <w:pPr>
        <w:pStyle w:val="Heading3"/>
      </w:pPr>
      <w:r>
        <w:rPr>
          <w:rFonts w:ascii="Arial" w:hAnsi="Arial"/>
          <w:b/>
          <w:color w:val="000000"/>
          <w:sz w:val="23"/>
        </w:rPr>
        <w:t>Nội dung</w:t>
      </w:r>
    </w:p>
    <w:p>
      <w:pPr>
        <w:spacing w:line="264" w:lineRule="auto" w:after="120"/>
      </w:pPr>
      <w:r>
        <w:rPr>
          <w:rFonts w:ascii="Arial" w:hAnsi="Arial"/>
          <w:color w:val="000000"/>
          <w:sz w:val="21"/>
        </w:rPr>
        <w:t>1 Kiến trúc • 2 Dữ liệu và trạng thái • 3 Identity và quyền • 4 Phiên đăng nhập • 5 Tiếp nhận và hàng chờ • 6 Khám và kết quả • 7 Nội trú • 8 Viện phí • 9 Lưu trữ cloud • 10 Vòng đời tệp • 11 Giao dịch và Outbox • 12 API và frontend • 13 Vận hành • 14 Kiểm thử • 15 Cấu hình và nguồn</w:t>
      </w:r>
    </w:p>
    <w:p>
      <w:pPr>
        <w:spacing w:line="264" w:lineRule="auto" w:after="120"/>
      </w:pPr>
      <w:r>
        <w:rPr>
          <w:rFonts w:ascii="Arial" w:hAnsi="Arial"/>
          <w:color w:val="000000"/>
          <w:sz w:val="21"/>
        </w:rPr>
        <w:t>Tài liệu thay thế Đặc tả kỹ thuật 3.0 ngày 15 tháng 09 năm 2026. Bản 3.1 đổi hệ quản trị cơ sở dữ liệu từ SQL Server sang PostgreSQL và cập nhật các cơ chế phụ thuộc hệ quản trị (concurrency token, index, isolation, khóa hàng đợi, sao lưu); phạm vi nghiệp vụ không đổi. Mã NV, CFG và AT tham chiếu Đặc tả nghiệp vụ 2.0. Các giá trị vận hành chưa có số đo được ghi là mục tiêu/cấu hình ban đầu, không phải kết quả benchmark hay cam kết của nhà cung cấp.</w:t>
      </w:r>
    </w:p>
    <w:p>
      <w:pPr>
        <w:spacing w:line="264" w:lineRule="auto" w:after="120"/>
      </w:pPr>
      <w:r>
        <w:rPr>
          <w:rFonts w:ascii="Arial" w:hAnsi="Arial"/>
          <w:color w:val="000000"/>
          <w:sz w:val="21"/>
        </w:rPr>
        <w:br w:type="page"/>
      </w:r>
    </w:p>
    <w:p>
      <w:pPr>
        <w:pStyle w:val="Heading1"/>
      </w:pPr>
      <w:r>
        <w:rPr>
          <w:rFonts w:ascii="Arial" w:hAnsi="Arial"/>
          <w:b/>
          <w:color w:val="000000"/>
          <w:sz w:val="36"/>
        </w:rPr>
        <w:t>1 Kiến trúc và phụ thuộc</w:t>
      </w:r>
    </w:p>
    <w:p>
      <w:pPr>
        <w:pStyle w:val="Heading3"/>
      </w:pPr>
      <w:r>
        <w:rPr>
          <w:rFonts w:ascii="Arial" w:hAnsi="Arial"/>
          <w:b/>
          <w:color w:val="000000"/>
          <w:sz w:val="23"/>
        </w:rPr>
        <w:t>1 1 Thành phần triển khai</w:t>
      </w:r>
    </w:p>
    <w:p>
      <w:pPr>
        <w:spacing w:line="264" w:lineRule="auto" w:after="120"/>
      </w:pPr>
      <w:r>
        <w:rPr>
          <w:rFonts w:ascii="Arial" w:hAnsi="Arial"/>
          <w:color w:val="000000"/>
          <w:sz w:val="21"/>
        </w:rPr>
        <w:t>React → Gateway/reverse proxy → API ASP.NET Core → PostgreSQL. API và worker truy cập cloud object storage bằng danh tính dịch vụ. Worker xử lý Outbox, quét tệp, tác vụ hết hạn và đối soát. MVP dùng một API instance và một worker; worker có thể cùng host nhưng phải có vòng đời và health check rõ ràng.</w:t>
      </w:r>
    </w:p>
    <w:p>
      <w:pPr>
        <w:spacing w:line="264" w:lineRule="auto" w:after="120"/>
      </w:pPr>
      <w:r>
        <w:rPr>
          <w:rFonts w:ascii="Arial" w:hAnsi="Arial"/>
          <w:color w:val="000000"/>
          <w:sz w:val="21"/>
        </w:rPr>
        <w:t>Gateway định tuyến, xử lý giới hạn kích thước và forwarded headers theo cấu hình; API xác thực và quyết định quyền. Không tin header UserId/Role/BranchId do client gửi. Chỉ nhận forwarded headers từ proxy được cấu hình tin cậy; chặn truy cập trực tiếp API từ Internet khi mô hình dùng Gateway.</w:t>
      </w:r>
    </w:p>
    <w:p>
      <w:pPr>
        <w:pStyle w:val="Heading3"/>
      </w:pPr>
      <w:r>
        <w:rPr>
          <w:rFonts w:ascii="Arial" w:hAnsi="Arial"/>
          <w:b/>
          <w:color w:val="000000"/>
          <w:sz w:val="23"/>
        </w:rPr>
        <w:t>1 2 Công nghệ và layer</w:t>
      </w:r>
    </w:p>
    <w:p>
      <w:pPr>
        <w:spacing w:line="264" w:lineRule="auto" w:after="120"/>
      </w:pPr>
      <w:r>
        <w:rPr>
          <w:rFonts w:ascii="Arial" w:hAnsi="Arial"/>
          <w:color w:val="000000"/>
          <w:sz w:val="21"/>
        </w:rPr>
        <w:t>Baseline .NET 10 LTS, ASP.NET Core và EF Core 10 cùng patch tương thích đã kiểm thử. Khóa SDK và dependency trong kho mã; chọn patch còn hỗ trợ tại ngày build thay vì ghi cứng một patch dự đoán. PostgreSQL baseline bản major 17, truy cập qua Npgsql.EntityFrameworkCore.PostgreSQL cùng major với EF Core; bản major cuối cùng và việc tự vận hành hay dùng dịch vụ managed được chốt theo hạ tầng trước migration. React giữ tổ chức feature hiện có; không bắt buộc chuyển toàn bộ frontend sang công nghệ khác.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91"/>
        <w:gridCol w:w="7030"/>
      </w:tblGrid>
      <w:tr>
        <w:trPr>
          <w:cantSplit/>
          <w:tblHeader/>
        </w:trPr>
        <w:tc>
          <w:tcPr>
            <w:tcW w:type="dxa" w:w="2891"/>
            <w:vAlign w:val="center"/>
            <w:shd w:fill="24445C"/>
          </w:tcPr>
          <w:p>
            <w:pPr>
              <w:spacing w:after="0" w:before="0" w:line="250" w:lineRule="auto"/>
            </w:pPr>
            <w:r>
              <w:rPr>
                <w:rFonts w:ascii="Arial" w:hAnsi="Arial"/>
                <w:b/>
                <w:color w:val="FFFFFF"/>
                <w:sz w:val="18"/>
              </w:rPr>
              <w:t>Layer</w:t>
            </w:r>
          </w:p>
        </w:tc>
        <w:tc>
          <w:tcPr>
            <w:tcW w:type="dxa" w:w="7030"/>
            <w:vAlign w:val="center"/>
            <w:shd w:fill="24445C"/>
          </w:tcPr>
          <w:p>
            <w:pPr>
              <w:spacing w:after="0" w:before="0" w:line="250" w:lineRule="auto"/>
            </w:pPr>
            <w:r>
              <w:rPr>
                <w:rFonts w:ascii="Arial" w:hAnsi="Arial"/>
                <w:b/>
                <w:color w:val="FFFFFF"/>
                <w:sz w:val="18"/>
              </w:rPr>
              <w:t>Phụ thuộc và trách nhiệm</w:t>
            </w:r>
          </w:p>
        </w:tc>
      </w:tr>
      <w:tr>
        <w:trPr>
          <w:cantSplit/>
        </w:trPr>
        <w:tc>
          <w:tcPr>
            <w:tcW w:type="dxa" w:w="2891"/>
            <w:vAlign w:val="center"/>
          </w:tcPr>
          <w:p>
            <w:pPr>
              <w:spacing w:after="0" w:before="0" w:line="250" w:lineRule="auto"/>
            </w:pPr>
            <w:r>
              <w:rPr>
                <w:rFonts w:ascii="Arial" w:hAnsi="Arial"/>
                <w:sz w:val="18"/>
              </w:rPr>
              <w:t>Domain</w:t>
            </w:r>
          </w:p>
        </w:tc>
        <w:tc>
          <w:tcPr>
            <w:tcW w:type="dxa" w:w="7030"/>
            <w:vAlign w:val="center"/>
          </w:tcPr>
          <w:p>
            <w:pPr>
              <w:spacing w:after="0" w:before="0" w:line="250" w:lineRule="auto"/>
            </w:pPr>
            <w:r>
              <w:rPr>
                <w:rFonts w:ascii="Arial" w:hAnsi="Arial"/>
                <w:sz w:val="18"/>
              </w:rPr>
              <w:t>Entity, aggregate, quy tắc, IDomainEvent, repository command; không EF, HTTP hoặc MediatR</w:t>
            </w:r>
          </w:p>
        </w:tc>
      </w:tr>
      <w:tr>
        <w:trPr>
          <w:cantSplit/>
        </w:trPr>
        <w:tc>
          <w:tcPr>
            <w:tcW w:type="dxa" w:w="2891"/>
            <w:vAlign w:val="center"/>
            <w:shd w:fill="F2F5F7"/>
          </w:tcPr>
          <w:p>
            <w:pPr>
              <w:spacing w:after="0" w:before="0" w:line="250" w:lineRule="auto"/>
            </w:pPr>
            <w:r>
              <w:rPr>
                <w:rFonts w:ascii="Arial" w:hAnsi="Arial"/>
                <w:sz w:val="18"/>
              </w:rPr>
              <w:t>Application</w:t>
            </w:r>
          </w:p>
        </w:tc>
        <w:tc>
          <w:tcPr>
            <w:tcW w:type="dxa" w:w="7030"/>
            <w:vAlign w:val="center"/>
            <w:shd w:fill="F2F5F7"/>
          </w:tcPr>
          <w:p>
            <w:pPr>
              <w:spacing w:after="0" w:before="0" w:line="250" w:lineRule="auto"/>
            </w:pPr>
            <w:r>
              <w:rPr>
                <w:rFonts w:ascii="Arial" w:hAnsi="Arial"/>
                <w:sz w:val="18"/>
              </w:rPr>
              <w:t>Domain; Command/Query, validator, policy contract, IUnitOfWork, IFileStorage, ICurrentUser</w:t>
            </w:r>
          </w:p>
        </w:tc>
      </w:tr>
      <w:tr>
        <w:trPr>
          <w:cantSplit/>
        </w:trPr>
        <w:tc>
          <w:tcPr>
            <w:tcW w:type="dxa" w:w="2891"/>
            <w:vAlign w:val="center"/>
          </w:tcPr>
          <w:p>
            <w:pPr>
              <w:spacing w:after="0" w:before="0" w:line="250" w:lineRule="auto"/>
            </w:pPr>
            <w:r>
              <w:rPr>
                <w:rFonts w:ascii="Arial" w:hAnsi="Arial"/>
                <w:sz w:val="18"/>
              </w:rPr>
              <w:t>Infrastructure</w:t>
            </w:r>
          </w:p>
        </w:tc>
        <w:tc>
          <w:tcPr>
            <w:tcW w:type="dxa" w:w="7030"/>
            <w:vAlign w:val="center"/>
          </w:tcPr>
          <w:p>
            <w:pPr>
              <w:spacing w:after="0" w:before="0" w:line="250" w:lineRule="auto"/>
            </w:pPr>
            <w:r>
              <w:rPr>
                <w:rFonts w:ascii="Arial" w:hAnsi="Arial"/>
                <w:sz w:val="18"/>
              </w:rPr>
              <w:t>Application và Domain; EF, Dapper, storage SDK, mail/SMS, clock và hash implementation</w:t>
            </w:r>
          </w:p>
        </w:tc>
      </w:tr>
      <w:tr>
        <w:trPr>
          <w:cantSplit/>
        </w:trPr>
        <w:tc>
          <w:tcPr>
            <w:tcW w:type="dxa" w:w="2891"/>
            <w:vAlign w:val="center"/>
            <w:shd w:fill="F2F5F7"/>
          </w:tcPr>
          <w:p>
            <w:pPr>
              <w:spacing w:after="0" w:before="0" w:line="250" w:lineRule="auto"/>
            </w:pPr>
            <w:r>
              <w:rPr>
                <w:rFonts w:ascii="Arial" w:hAnsi="Arial"/>
                <w:sz w:val="18"/>
              </w:rPr>
              <w:t>API</w:t>
            </w:r>
          </w:p>
        </w:tc>
        <w:tc>
          <w:tcPr>
            <w:tcW w:type="dxa" w:w="7030"/>
            <w:vAlign w:val="center"/>
            <w:shd w:fill="F2F5F7"/>
          </w:tcPr>
          <w:p>
            <w:pPr>
              <w:spacing w:after="0" w:before="0" w:line="250" w:lineRule="auto"/>
            </w:pPr>
            <w:r>
              <w:rPr>
                <w:rFonts w:ascii="Arial" w:hAnsi="Arial"/>
                <w:sz w:val="18"/>
              </w:rPr>
              <w:t>Composition root đăng ký Infrastructure; controller gọi use case, không viết SQL/nghiệp vụ</w:t>
            </w:r>
          </w:p>
        </w:tc>
      </w:tr>
      <w:tr>
        <w:trPr>
          <w:cantSplit/>
        </w:trPr>
        <w:tc>
          <w:tcPr>
            <w:tcW w:type="dxa" w:w="2891"/>
            <w:vAlign w:val="center"/>
          </w:tcPr>
          <w:p>
            <w:pPr>
              <w:spacing w:after="0" w:before="0" w:line="250" w:lineRule="auto"/>
            </w:pPr>
            <w:r>
              <w:rPr>
                <w:rFonts w:ascii="Arial" w:hAnsi="Arial"/>
                <w:sz w:val="18"/>
              </w:rPr>
              <w:t>Worker</w:t>
            </w:r>
          </w:p>
        </w:tc>
        <w:tc>
          <w:tcPr>
            <w:tcW w:type="dxa" w:w="7030"/>
            <w:vAlign w:val="center"/>
          </w:tcPr>
          <w:p>
            <w:pPr>
              <w:spacing w:after="0" w:before="0" w:line="250" w:lineRule="auto"/>
            </w:pPr>
            <w:r>
              <w:rPr>
                <w:rFonts w:ascii="Arial" w:hAnsi="Arial"/>
                <w:sz w:val="18"/>
              </w:rPr>
              <w:t>Gọi các dịch vụ ứng dụng; dùng cùng policy dữ liệu và transaction contract</w:t>
            </w:r>
          </w:p>
        </w:tc>
      </w:tr>
    </w:tbl>
    <w:p>
      <w:pPr>
        <w:spacing w:after="0" w:before="0" w:line="264" w:lineRule="auto"/>
      </w:pPr>
      <w:r>
        <w:rPr>
          <w:rFonts w:ascii="Arial" w:hAnsi="Arial"/>
          <w:color w:val="000000"/>
          <w:sz w:val="6"/>
        </w:rPr>
      </w:r>
    </w:p>
    <w:p>
      <w:pPr>
        <w:pStyle w:val="Heading3"/>
      </w:pPr>
      <w:r>
        <w:rPr>
          <w:rFonts w:ascii="Arial" w:hAnsi="Arial"/>
          <w:b/>
          <w:color w:val="000000"/>
          <w:sz w:val="23"/>
        </w:rPr>
        <w:t>1 3 Ranh giới module</w:t>
      </w:r>
    </w:p>
    <w:p>
      <w:pPr>
        <w:spacing w:line="264" w:lineRule="auto" w:after="120"/>
      </w:pPr>
      <w:r>
        <w:rPr>
          <w:rFonts w:ascii="Arial" w:hAnsi="Arial"/>
          <w:color w:val="000000"/>
          <w:sz w:val="21"/>
        </w:rPr>
        <w:t>IdentityAccess; PatientRegistry; ReceptionQueue; Clinical; Inpatient; Billing; Catalog; Documents; AuditNotifications. Dùng feature folder trong từng layer. Không cho module ghi trực tiếp bảng do module khác sở hữu qua repository riêng của nó; use case phối hợp qua contract và chung UnitOfWork khi cần tính nguyên tử.</w:t>
      </w:r>
    </w:p>
    <w:p>
      <w:pPr>
        <w:spacing w:line="264" w:lineRule="auto" w:after="120"/>
      </w:pPr>
      <w:r>
        <w:rPr>
          <w:rFonts w:ascii="Arial" w:hAnsi="Arial"/>
          <w:color w:val="000000"/>
          <w:sz w:val="21"/>
        </w:rPr>
        <w:t>Command dùng aggregate và repository. Query dùng projection qua read service hoặc Dapper với IDbConnectionFactory; luôn parameterize SQL và áp phạm vi quyền. DTO không trả nguyên entity. Clean Architecture không bắt buộc một thư viện domain phải tuyệt đối không có package nếu sau này có quyết định có kiểm soát, nhưng baseline giữ Domain chỉ dùng BCL.</w:t>
      </w:r>
    </w:p>
    <w:p>
      <w:pPr>
        <w:spacing w:line="264" w:lineRule="auto" w:after="120"/>
      </w:pPr>
      <w:r>
        <w:rPr>
          <w:rFonts w:ascii="Arial" w:hAnsi="Arial"/>
          <w:color w:val="000000"/>
          <w:sz w:val="21"/>
        </w:rPr>
        <w:t>Tách microservice sau này cần thiết kế quyền sở hữu dữ liệu, hợp đồng và giao dịch phân tán. Đổi địa chỉ Gateway chỉ thay định tuyến, không tự hoàn tất việc tách service.</w:t>
      </w:r>
    </w:p>
    <w:p>
      <w:pPr>
        <w:spacing w:line="264" w:lineRule="auto" w:after="120"/>
      </w:pPr>
      <w:r>
        <w:rPr>
          <w:rFonts w:ascii="Arial" w:hAnsi="Arial"/>
          <w:color w:val="000000"/>
          <w:sz w:val="21"/>
        </w:rPr>
        <w:t>Quy ước mã: Entity&lt;TId&gt;/AggregateRoot&lt;TId&gt;, private setter và factory; cấu hình EF bằng Fluent API. Command/Query là record, handler và validator tách file theo feature. Async nhận CancellationToken; DI theo layer; domain event không kế thừa MediatR, dùng wrapper ở Application. Giữ một PagedResult&lt;T&gt; tại Application.</w:t>
      </w:r>
    </w:p>
    <w:p>
      <w:pPr>
        <w:spacing w:line="264" w:lineRule="auto" w:after="120"/>
      </w:pPr>
      <w:r>
        <w:rPr>
          <w:rFonts w:ascii="Arial" w:hAnsi="Arial"/>
          <w:color w:val="000000"/>
          <w:sz w:val="21"/>
        </w:rPr>
        <w:br w:type="page"/>
      </w:r>
    </w:p>
    <w:p>
      <w:pPr>
        <w:pStyle w:val="Heading1"/>
      </w:pPr>
      <w:r>
        <w:rPr>
          <w:rFonts w:ascii="Arial" w:hAnsi="Arial"/>
          <w:b/>
          <w:color w:val="000000"/>
          <w:sz w:val="36"/>
        </w:rPr>
        <w:t>2 Mô hình dữ liệu và trạng thái</w:t>
      </w:r>
    </w:p>
    <w:p>
      <w:pPr>
        <w:pStyle w:val="Heading3"/>
      </w:pPr>
      <w:r>
        <w:rPr>
          <w:rFonts w:ascii="Arial" w:hAnsi="Arial"/>
          <w:b/>
          <w:color w:val="000000"/>
          <w:sz w:val="23"/>
        </w:rPr>
        <w:t>2 1 Quy ước dữ liệu</w:t>
      </w:r>
    </w:p>
    <w:p>
      <w:pPr>
        <w:spacing w:line="264" w:lineRule="auto" w:after="120"/>
      </w:pPr>
      <w:r>
        <w:rPr>
          <w:rFonts w:ascii="Arial" w:hAnsi="Arial"/>
          <w:color w:val="000000"/>
          <w:sz w:val="21"/>
        </w:rPr>
        <w:t>Entity dùng Guid làm định danh logic, sinh bằng Guid.CreateVersion7() (tuần tự theo thời gian) để giảm phân tán khi chèn vào B-tree index; PostgreSQL không có clustered index nên chọn index theo truy vấn và benchmark. Không khẳng định Guid v7 loại bỏ phân mảnh. Các bảng log lớn có thể dùng bigint GENERATED ALWAYS AS IDENTITY. Trong tài liệu này, RowVersion là concurrency token ánh xạ cột hệ thống xmin (thuộc tính uint cấu hình IsRowVersion() với Npgsql); PostgreSQL tự đổi giá trị mỗi lần UPDATE, ứng dụng không tự gán. [S2] [S9]</w:t>
      </w:r>
    </w:p>
    <w:p>
      <w:pPr>
        <w:spacing w:line="264" w:lineRule="auto" w:after="120"/>
      </w:pPr>
      <w:r>
        <w:rPr>
          <w:rFonts w:ascii="Arial" w:hAnsi="Arial"/>
          <w:color w:val="000000"/>
          <w:sz w:val="21"/>
        </w:rPr>
        <w:t>Thời điểm dùng DateTimeOffset ở ứng dụng, lưu timestamp with time zone (timestamptz, độ chính xác micro giây) với offset +00:00; Npgsql từ chối DateTimeOffset có offset khác 0. Ngày sinh dùng date/DateOnly, cho phép chưa biết và metadata độ chính xác; không đổi UTC. Ngày làm việc lấy theo múi giờ cơ sở. Currency=VND; Amount numeric(19,2), tỷ lệ numeric(7,4), số lượng numeric(18,4); làm tròn số tiền dòng theo NV-34.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91"/>
        <w:gridCol w:w="7030"/>
      </w:tblGrid>
      <w:tr>
        <w:trPr>
          <w:cantSplit/>
          <w:tblHeader/>
        </w:trPr>
        <w:tc>
          <w:tcPr>
            <w:tcW w:type="dxa" w:w="2891"/>
            <w:vAlign w:val="center"/>
            <w:shd w:fill="24445C"/>
          </w:tcPr>
          <w:p>
            <w:pPr>
              <w:spacing w:after="0" w:before="0" w:line="250" w:lineRule="auto"/>
            </w:pPr>
            <w:r>
              <w:rPr>
                <w:rFonts w:ascii="Arial" w:hAnsi="Arial"/>
                <w:b/>
                <w:color w:val="FFFFFF"/>
                <w:sz w:val="18"/>
              </w:rPr>
              <w:t>Bảng hoặc aggregate</w:t>
            </w:r>
          </w:p>
        </w:tc>
        <w:tc>
          <w:tcPr>
            <w:tcW w:type="dxa" w:w="7030"/>
            <w:vAlign w:val="center"/>
            <w:shd w:fill="24445C"/>
          </w:tcPr>
          <w:p>
            <w:pPr>
              <w:spacing w:after="0" w:before="0" w:line="250" w:lineRule="auto"/>
            </w:pPr>
            <w:r>
              <w:rPr>
                <w:rFonts w:ascii="Arial" w:hAnsi="Arial"/>
                <w:b/>
                <w:color w:val="FFFFFF"/>
                <w:sz w:val="18"/>
              </w:rPr>
              <w:t>Liên kết và dữ liệu chính</w:t>
            </w:r>
          </w:p>
        </w:tc>
      </w:tr>
      <w:tr>
        <w:trPr>
          <w:cantSplit/>
        </w:trPr>
        <w:tc>
          <w:tcPr>
            <w:tcW w:type="dxa" w:w="2891"/>
            <w:vAlign w:val="center"/>
          </w:tcPr>
          <w:p>
            <w:pPr>
              <w:spacing w:after="0" w:before="0" w:line="250" w:lineRule="auto"/>
            </w:pPr>
            <w:r>
              <w:rPr>
                <w:rFonts w:ascii="Arial" w:hAnsi="Arial"/>
                <w:sz w:val="18"/>
              </w:rPr>
              <w:t>Organization, Branch, Department</w:t>
            </w:r>
          </w:p>
        </w:tc>
        <w:tc>
          <w:tcPr>
            <w:tcW w:type="dxa" w:w="7030"/>
            <w:vAlign w:val="center"/>
          </w:tcPr>
          <w:p>
            <w:pPr>
              <w:spacing w:after="0" w:before="0" w:line="250" w:lineRule="auto"/>
            </w:pPr>
            <w:r>
              <w:rPr>
                <w:rFonts w:ascii="Arial" w:hAnsi="Arial"/>
                <w:sz w:val="18"/>
              </w:rPr>
              <w:t>Cây tổ chức; khoa thuộc một cơ sở</w:t>
            </w:r>
          </w:p>
        </w:tc>
      </w:tr>
      <w:tr>
        <w:trPr>
          <w:cantSplit/>
        </w:trPr>
        <w:tc>
          <w:tcPr>
            <w:tcW w:type="dxa" w:w="2891"/>
            <w:vAlign w:val="center"/>
            <w:shd w:fill="F2F5F7"/>
          </w:tcPr>
          <w:p>
            <w:pPr>
              <w:spacing w:after="0" w:before="0" w:line="250" w:lineRule="auto"/>
            </w:pPr>
            <w:r>
              <w:rPr>
                <w:rFonts w:ascii="Arial" w:hAnsi="Arial"/>
                <w:sz w:val="18"/>
              </w:rPr>
              <w:t>Patient, PatientIdentifier</w:t>
            </w:r>
          </w:p>
        </w:tc>
        <w:tc>
          <w:tcPr>
            <w:tcW w:type="dxa" w:w="7030"/>
            <w:vAlign w:val="center"/>
            <w:shd w:fill="F2F5F7"/>
          </w:tcPr>
          <w:p>
            <w:pPr>
              <w:spacing w:after="0" w:before="0" w:line="250" w:lineRule="auto"/>
            </w:pPr>
            <w:r>
              <w:rPr>
                <w:rFonts w:ascii="Arial" w:hAnsi="Arial"/>
                <w:sz w:val="18"/>
              </w:rPr>
              <w:t>Hồ sơ chung tổ chức; định danh loại/quốc gia/số chuẩn hóa</w:t>
            </w:r>
          </w:p>
        </w:tc>
      </w:tr>
      <w:tr>
        <w:trPr>
          <w:cantSplit/>
        </w:trPr>
        <w:tc>
          <w:tcPr>
            <w:tcW w:type="dxa" w:w="2891"/>
            <w:vAlign w:val="center"/>
          </w:tcPr>
          <w:p>
            <w:pPr>
              <w:spacing w:after="0" w:before="0" w:line="250" w:lineRule="auto"/>
            </w:pPr>
            <w:r>
              <w:rPr>
                <w:rFonts w:ascii="Arial" w:hAnsi="Arial"/>
                <w:sz w:val="18"/>
              </w:rPr>
              <w:t>ClinicSession, Queue, QueueTicket</w:t>
            </w:r>
          </w:p>
        </w:tc>
        <w:tc>
          <w:tcPr>
            <w:tcW w:type="dxa" w:w="7030"/>
            <w:vAlign w:val="center"/>
          </w:tcPr>
          <w:p>
            <w:pPr>
              <w:spacing w:after="0" w:before="0" w:line="250" w:lineRule="auto"/>
            </w:pPr>
            <w:r>
              <w:rPr>
                <w:rFonts w:ascii="Arial" w:hAnsi="Arial"/>
                <w:sz w:val="18"/>
              </w:rPr>
              <w:t>Buổi/phòng, bộ đếm số, trạng thái phiếu và lịch sử gọi</w:t>
            </w:r>
          </w:p>
        </w:tc>
      </w:tr>
      <w:tr>
        <w:trPr>
          <w:cantSplit/>
        </w:trPr>
        <w:tc>
          <w:tcPr>
            <w:tcW w:type="dxa" w:w="2891"/>
            <w:vAlign w:val="center"/>
            <w:shd w:fill="F2F5F7"/>
          </w:tcPr>
          <w:p>
            <w:pPr>
              <w:spacing w:after="0" w:before="0" w:line="250" w:lineRule="auto"/>
            </w:pPr>
            <w:r>
              <w:rPr>
                <w:rFonts w:ascii="Arial" w:hAnsi="Arial"/>
                <w:sz w:val="18"/>
              </w:rPr>
              <w:t>OutpatientEncounter</w:t>
            </w:r>
          </w:p>
        </w:tc>
        <w:tc>
          <w:tcPr>
            <w:tcW w:type="dxa" w:w="7030"/>
            <w:vAlign w:val="center"/>
            <w:shd w:fill="F2F5F7"/>
          </w:tcPr>
          <w:p>
            <w:pPr>
              <w:spacing w:after="0" w:before="0" w:line="250" w:lineRule="auto"/>
            </w:pPr>
            <w:r>
              <w:rPr>
                <w:rFonts w:ascii="Arial" w:hAnsi="Arial"/>
                <w:sz w:val="18"/>
              </w:rPr>
              <w:t>PatientId, BranchId, DepartmentId, trạng thái chuyên môn</w:t>
            </w:r>
          </w:p>
        </w:tc>
      </w:tr>
      <w:tr>
        <w:trPr>
          <w:cantSplit/>
        </w:trPr>
        <w:tc>
          <w:tcPr>
            <w:tcW w:type="dxa" w:w="2891"/>
            <w:vAlign w:val="center"/>
          </w:tcPr>
          <w:p>
            <w:pPr>
              <w:spacing w:after="0" w:before="0" w:line="250" w:lineRule="auto"/>
            </w:pPr>
            <w:r>
              <w:rPr>
                <w:rFonts w:ascii="Arial" w:hAnsi="Arial"/>
                <w:sz w:val="18"/>
              </w:rPr>
              <w:t>ServiceOrder, DiagnosticResultVersion</w:t>
            </w:r>
          </w:p>
        </w:tc>
        <w:tc>
          <w:tcPr>
            <w:tcW w:type="dxa" w:w="7030"/>
            <w:vAlign w:val="center"/>
          </w:tcPr>
          <w:p>
            <w:pPr>
              <w:spacing w:after="0" w:before="0" w:line="250" w:lineRule="auto"/>
            </w:pPr>
            <w:r>
              <w:rPr>
                <w:rFonts w:ascii="Arial" w:hAnsi="Arial"/>
                <w:sz w:val="18"/>
              </w:rPr>
              <w:t>EncounterRef, ServiceId, thực hiện/thanh toán/kết quả độc lập</w:t>
            </w:r>
          </w:p>
        </w:tc>
      </w:tr>
      <w:tr>
        <w:trPr>
          <w:cantSplit/>
        </w:trPr>
        <w:tc>
          <w:tcPr>
            <w:tcW w:type="dxa" w:w="2891"/>
            <w:vAlign w:val="center"/>
            <w:shd w:fill="F2F5F7"/>
          </w:tcPr>
          <w:p>
            <w:pPr>
              <w:spacing w:after="0" w:before="0" w:line="250" w:lineRule="auto"/>
            </w:pPr>
            <w:r>
              <w:rPr>
                <w:rFonts w:ascii="Arial" w:hAnsi="Arial"/>
                <w:sz w:val="18"/>
              </w:rPr>
              <w:t>MedicalRecordVersion</w:t>
            </w:r>
          </w:p>
        </w:tc>
        <w:tc>
          <w:tcPr>
            <w:tcW w:type="dxa" w:w="7030"/>
            <w:vAlign w:val="center"/>
            <w:shd w:fill="F2F5F7"/>
          </w:tcPr>
          <w:p>
            <w:pPr>
              <w:spacing w:after="0" w:before="0" w:line="250" w:lineRule="auto"/>
            </w:pPr>
            <w:r>
              <w:rPr>
                <w:rFonts w:ascii="Arial" w:hAnsi="Arial"/>
                <w:sz w:val="18"/>
              </w:rPr>
              <w:t>EncounterRef, version, nội dung, người xác nhận, bản trước</w:t>
            </w:r>
          </w:p>
        </w:tc>
      </w:tr>
      <w:tr>
        <w:trPr>
          <w:cantSplit/>
        </w:trPr>
        <w:tc>
          <w:tcPr>
            <w:tcW w:type="dxa" w:w="2891"/>
            <w:vAlign w:val="center"/>
          </w:tcPr>
          <w:p>
            <w:pPr>
              <w:spacing w:after="0" w:before="0" w:line="250" w:lineRule="auto"/>
            </w:pPr>
            <w:r>
              <w:rPr>
                <w:rFonts w:ascii="Arial" w:hAnsi="Arial"/>
                <w:sz w:val="18"/>
              </w:rPr>
              <w:t>Prescription, PrescriptionLine</w:t>
            </w:r>
          </w:p>
        </w:tc>
        <w:tc>
          <w:tcPr>
            <w:tcW w:type="dxa" w:w="7030"/>
            <w:vAlign w:val="center"/>
          </w:tcPr>
          <w:p>
            <w:pPr>
              <w:spacing w:after="0" w:before="0" w:line="250" w:lineRule="auto"/>
            </w:pPr>
            <w:r>
              <w:rPr>
                <w:rFonts w:ascii="Arial" w:hAnsi="Arial"/>
                <w:sz w:val="18"/>
              </w:rPr>
              <w:t>Đơn và số lượng; DispenseHistory ghi từng lần cấp</w:t>
            </w:r>
          </w:p>
        </w:tc>
      </w:tr>
      <w:tr>
        <w:trPr>
          <w:cantSplit/>
        </w:trPr>
        <w:tc>
          <w:tcPr>
            <w:tcW w:type="dxa" w:w="2891"/>
            <w:vAlign w:val="center"/>
            <w:shd w:fill="F2F5F7"/>
          </w:tcPr>
          <w:p>
            <w:pPr>
              <w:spacing w:after="0" w:before="0" w:line="250" w:lineRule="auto"/>
            </w:pPr>
            <w:r>
              <w:rPr>
                <w:rFonts w:ascii="Arial" w:hAnsi="Arial"/>
                <w:sz w:val="18"/>
              </w:rPr>
              <w:t>InpatientEncounter, Bed, BedAssignment</w:t>
            </w:r>
          </w:p>
        </w:tc>
        <w:tc>
          <w:tcPr>
            <w:tcW w:type="dxa" w:w="7030"/>
            <w:vAlign w:val="center"/>
            <w:shd w:fill="F2F5F7"/>
          </w:tcPr>
          <w:p>
            <w:pPr>
              <w:spacing w:after="0" w:before="0" w:line="250" w:lineRule="auto"/>
            </w:pPr>
            <w:r>
              <w:rPr>
                <w:rFonts w:ascii="Arial" w:hAnsi="Arial"/>
                <w:sz w:val="18"/>
              </w:rPr>
              <w:t>Đợt, giường độc lập, lịch sử thời gian nằm</w:t>
            </w:r>
          </w:p>
        </w:tc>
      </w:tr>
      <w:tr>
        <w:trPr>
          <w:cantSplit/>
        </w:trPr>
        <w:tc>
          <w:tcPr>
            <w:tcW w:type="dxa" w:w="2891"/>
            <w:vAlign w:val="center"/>
          </w:tcPr>
          <w:p>
            <w:pPr>
              <w:spacing w:after="0" w:before="0" w:line="250" w:lineRule="auto"/>
            </w:pPr>
            <w:r>
              <w:rPr>
                <w:rFonts w:ascii="Arial" w:hAnsi="Arial"/>
                <w:sz w:val="18"/>
              </w:rPr>
              <w:t>CareOrder, CareExecution</w:t>
            </w:r>
          </w:p>
        </w:tc>
        <w:tc>
          <w:tcPr>
            <w:tcW w:type="dxa" w:w="7030"/>
            <w:vAlign w:val="center"/>
          </w:tcPr>
          <w:p>
            <w:pPr>
              <w:spacing w:after="0" w:before="0" w:line="250" w:lineRule="auto"/>
            </w:pPr>
            <w:r>
              <w:rPr>
                <w:rFonts w:ascii="Arial" w:hAnsi="Arial"/>
                <w:sz w:val="18"/>
              </w:rPr>
              <w:t>Y lệnh và lần thực hiện riêng</w:t>
            </w:r>
          </w:p>
        </w:tc>
      </w:tr>
      <w:tr>
        <w:trPr>
          <w:cantSplit/>
        </w:trPr>
        <w:tc>
          <w:tcPr>
            <w:tcW w:type="dxa" w:w="2891"/>
            <w:vAlign w:val="center"/>
            <w:shd w:fill="F2F5F7"/>
          </w:tcPr>
          <w:p>
            <w:pPr>
              <w:spacing w:after="0" w:before="0" w:line="250" w:lineRule="auto"/>
            </w:pPr>
            <w:r>
              <w:rPr>
                <w:rFonts w:ascii="Arial" w:hAnsi="Arial"/>
                <w:sz w:val="18"/>
              </w:rPr>
              <w:t>Invoice, InvoiceLine, InvoiceHistory</w:t>
            </w:r>
          </w:p>
        </w:tc>
        <w:tc>
          <w:tcPr>
            <w:tcW w:type="dxa" w:w="7030"/>
            <w:vAlign w:val="center"/>
            <w:shd w:fill="F2F5F7"/>
          </w:tcPr>
          <w:p>
            <w:pPr>
              <w:spacing w:after="0" w:before="0" w:line="250" w:lineRule="auto"/>
            </w:pPr>
            <w:r>
              <w:rPr>
                <w:rFonts w:ascii="Arial" w:hAnsi="Arial"/>
                <w:sz w:val="18"/>
              </w:rPr>
              <w:t>Mô hình viện phí cũ; lịch sử nằm trong phạm vi hóa đơn</w:t>
            </w:r>
          </w:p>
        </w:tc>
      </w:tr>
      <w:tr>
        <w:trPr>
          <w:cantSplit/>
        </w:trPr>
        <w:tc>
          <w:tcPr>
            <w:tcW w:type="dxa" w:w="2891"/>
            <w:vAlign w:val="center"/>
          </w:tcPr>
          <w:p>
            <w:pPr>
              <w:spacing w:after="0" w:before="0" w:line="250" w:lineRule="auto"/>
            </w:pPr>
            <w:r>
              <w:rPr>
                <w:rFonts w:ascii="Arial" w:hAnsi="Arial"/>
                <w:sz w:val="18"/>
              </w:rPr>
              <w:t>CareTeamAssignment, AccessGrant</w:t>
            </w:r>
          </w:p>
        </w:tc>
        <w:tc>
          <w:tcPr>
            <w:tcW w:type="dxa" w:w="7030"/>
            <w:vAlign w:val="center"/>
          </w:tcPr>
          <w:p>
            <w:pPr>
              <w:spacing w:after="0" w:before="0" w:line="250" w:lineRule="auto"/>
            </w:pPr>
            <w:r>
              <w:rPr>
                <w:rFonts w:ascii="Arial" w:hAnsi="Arial"/>
                <w:sz w:val="18"/>
              </w:rPr>
              <w:t>Phân công, phạm vi, quyền tạm thời và thời hạn</w:t>
            </w:r>
          </w:p>
        </w:tc>
      </w:tr>
      <w:tr>
        <w:trPr>
          <w:cantSplit/>
        </w:trPr>
        <w:tc>
          <w:tcPr>
            <w:tcW w:type="dxa" w:w="2891"/>
            <w:vAlign w:val="center"/>
            <w:shd w:fill="F2F5F7"/>
          </w:tcPr>
          <w:p>
            <w:pPr>
              <w:spacing w:after="0" w:before="0" w:line="250" w:lineRule="auto"/>
            </w:pPr>
            <w:r>
              <w:rPr>
                <w:rFonts w:ascii="Arial" w:hAnsi="Arial"/>
                <w:sz w:val="18"/>
              </w:rPr>
              <w:t>ClinicalDocument, UploadSession</w:t>
            </w:r>
          </w:p>
        </w:tc>
        <w:tc>
          <w:tcPr>
            <w:tcW w:type="dxa" w:w="7030"/>
            <w:vAlign w:val="center"/>
            <w:shd w:fill="F2F5F7"/>
          </w:tcPr>
          <w:p>
            <w:pPr>
              <w:spacing w:after="0" w:before="0" w:line="250" w:lineRule="auto"/>
            </w:pPr>
            <w:r>
              <w:rPr>
                <w:rFonts w:ascii="Arial" w:hAnsi="Arial"/>
                <w:sz w:val="18"/>
              </w:rPr>
              <w:t>Metadata/phiên bản tệp và vòng đời upload</w:t>
            </w:r>
          </w:p>
        </w:tc>
      </w:tr>
    </w:tbl>
    <w:p>
      <w:pPr>
        <w:spacing w:after="0" w:before="0" w:line="264" w:lineRule="auto"/>
      </w:pPr>
      <w:r>
        <w:rPr>
          <w:rFonts w:ascii="Arial" w:hAnsi="Arial"/>
          <w:color w:val="000000"/>
          <w:sz w:val="6"/>
        </w:rPr>
      </w:r>
    </w:p>
    <w:p>
      <w:pPr>
        <w:pStyle w:val="Heading3"/>
      </w:pPr>
      <w:r>
        <w:rPr>
          <w:rFonts w:ascii="Arial" w:hAnsi="Arial"/>
          <w:b/>
          <w:color w:val="000000"/>
          <w:sz w:val="23"/>
        </w:rPr>
        <w:t>2 2 Toàn vẹn và lưu lịch sử</w:t>
      </w:r>
    </w:p>
    <w:p>
      <w:pPr>
        <w:spacing w:line="264" w:lineRule="auto" w:after="120"/>
      </w:pPr>
      <w:r>
        <w:rPr>
          <w:rFonts w:ascii="Arial" w:hAnsi="Arial"/>
          <w:color w:val="000000"/>
          <w:sz w:val="21"/>
        </w:rPr>
        <w:t>EncounterRef dùng OutpatientEncounterId hoặc InpatientEncounterId: CHECK bắt buộc đúng một trường có giá trị, khóa ngoại đến bảng tương ứng. PatientId phải được suy ra/đối chiếu từ đợt, không tin client tự gán. Tất cả dịch vụ và tài liệu liên quan phải cùng tổ chức/người bệnh.</w:t>
      </w:r>
    </w:p>
    <w:p>
      <w:pPr>
        <w:spacing w:line="264" w:lineRule="auto" w:after="120"/>
      </w:pPr>
      <w:r>
        <w:rPr>
          <w:rFonts w:ascii="Arial" w:hAnsi="Arial"/>
          <w:color w:val="000000"/>
          <w:sz w:val="21"/>
        </w:rPr>
        <w:t>PatientIdentifier có unique index theo OrganizationId, IdentifierType, IssuingCountry và NormalizedValue khi định danh đang hiệu lực; giá trị rỗng không được lưu thành một định danh.</w:t>
      </w:r>
    </w:p>
    <w:p>
      <w:pPr>
        <w:spacing w:line="264" w:lineRule="auto" w:after="120"/>
      </w:pPr>
      <w:r>
        <w:rPr>
          <w:rFonts w:ascii="Arial" w:hAnsi="Arial"/>
          <w:color w:val="000000"/>
          <w:sz w:val="21"/>
        </w:rPr>
        <w:t>Không soft delete bệnh án/hóa đơn đã xác nhận để che lịch sử. Dùng trạng thái hủy, bản sửa hoặc bản thay thế có lý do. Danh mục ngừng dùng qua IsActive; tài khoản khóa qua IsActive. Patient chỉ đánh dấu ngừng sử dụng/nhập sai có kiểm soát, không xóa cascade các liên kết điều trị.</w:t>
      </w:r>
    </w:p>
    <w:p>
      <w:pPr>
        <w:spacing w:line="264" w:lineRule="auto" w:after="120"/>
      </w:pPr>
      <w:r>
        <w:rPr>
          <w:rFonts w:ascii="Arial" w:hAnsi="Arial"/>
          <w:color w:val="000000"/>
          <w:sz w:val="21"/>
        </w:rPr>
        <w:t>Enum trạng thái cố định bằng mã số và nhãn, không dùng chuỗi giao diện làm quy tắc. Trạng thái chuyên môn, tài chính, kết quả và tệp là các trường/bảng độc lập theo BRD 2.0; không tạo enum khổng lồ gồm mọi tổ hợp.</w:t>
      </w:r>
    </w:p>
    <w:p>
      <w:pPr>
        <w:spacing w:line="264" w:lineRule="auto" w:after="120"/>
      </w:pPr>
      <w:r>
        <w:rPr>
          <w:rFonts w:ascii="Arial" w:hAnsi="Arial"/>
          <w:color w:val="000000"/>
          <w:sz w:val="21"/>
        </w:rPr>
        <w:br w:type="page"/>
      </w:r>
    </w:p>
    <w:p>
      <w:pPr>
        <w:pStyle w:val="Heading1"/>
      </w:pPr>
      <w:r>
        <w:rPr>
          <w:rFonts w:ascii="Arial" w:hAnsi="Arial"/>
          <w:b/>
          <w:color w:val="000000"/>
          <w:sz w:val="36"/>
        </w:rPr>
        <w:t>3 Phân quyền và audit</w:t>
      </w:r>
    </w:p>
    <w:p>
      <w:pPr>
        <w:spacing w:line="264" w:lineRule="auto" w:after="120"/>
      </w:pPr>
      <w:r>
        <w:rPr>
          <w:rFonts w:ascii="Arial" w:hAnsi="Arial"/>
          <w:color w:val="000000"/>
          <w:sz w:val="21"/>
        </w:rPr>
        <w:t>Triển khai NV-03 đến NV-05. Users liên kết UserRoles; một vai trò chính được gán ban đầu, có thể thêm permission có phạm vi khi cần. DoctorId là định danh nhân sự, không mặc định bằng UserId; ánh xạ qua StaffProfile. JWT chỉ giữ định danh/claim ổn định, không dùng DepartmentId cũ trong token làm căn cứ duy nhất.</w:t>
      </w:r>
    </w:p>
    <w:p>
      <w:pPr>
        <w:pStyle w:val="Heading3"/>
      </w:pPr>
      <w:r>
        <w:rPr>
          <w:rFonts w:ascii="Arial" w:hAnsi="Arial"/>
          <w:b/>
          <w:color w:val="000000"/>
          <w:sz w:val="23"/>
        </w:rPr>
        <w:t>3 1 Quyết định truy cập</w:t>
      </w:r>
    </w:p>
    <w:p>
      <w:pPr>
        <w:spacing w:line="264" w:lineRule="auto" w:after="120"/>
      </w:pPr>
      <w:r>
        <w:rPr>
          <w:rFonts w:ascii="Arial" w:hAnsi="Arial"/>
          <w:color w:val="000000"/>
          <w:sz w:val="21"/>
        </w:rPr>
        <w:t>Authorize(actor, action, resource) kiểm tra theo thứ tự: tài khoản hoạt động → quyền hành động → tổ chức/cơ sở → phân công hoặc grant còn hiệu lực → phạm vi dữ liệu/phiên bản được phép. Từ chối mặc định. Dùng IAuthorizationService/handler tài nguyên cùng policy read-scope; [Authorize] chỉ là cửa kiểm tra tổng quát. [S3]</w:t>
      </w:r>
    </w:p>
    <w:p>
      <w:pPr>
        <w:spacing w:line="264" w:lineRule="auto" w:after="120"/>
      </w:pPr>
      <w:r>
        <w:rPr>
          <w:rFonts w:ascii="Arial" w:hAnsi="Arial"/>
          <w:color w:val="000000"/>
          <w:sz w:val="21"/>
        </w:rPr>
        <w:t>CareTeamAssignment gồm UserId, EncounterRef, DutyRole, ValidFromUtc, ValidToUtc, AllowedActions và phạm vi lịch sử. Truy cập lịch sử đọc qua người bệnh của đợt đang được phân công; chỉ bao gồm dữ liệu được policy cho phép. Sửa bệnh án cũ cần grant riêng. Cùng khoa hoặc Admin không tự được quyền đọc toàn bệnh viện.</w:t>
      </w:r>
    </w:p>
    <w:p>
      <w:pPr>
        <w:spacing w:line="264" w:lineRule="auto" w:after="120"/>
      </w:pPr>
      <w:r>
        <w:rPr>
          <w:rFonts w:ascii="Arial" w:hAnsi="Arial"/>
          <w:color w:val="000000"/>
          <w:sz w:val="21"/>
        </w:rPr>
        <w:t>AccessGrant ghi mục đích, tài nguyên, hành động, người cấp, người được cấp, thời hạn, lý do và trạng thái thu hồi. Grant cấp cứu mặc định 30 phút cho vai trò đã cấu hình, phát Outbox cảnh báo hậu kiểm. Quyền hoàn thiện hồ sơ sau xuất viện là grant hữu hạn riêng.</w:t>
      </w:r>
    </w:p>
    <w:p>
      <w:pPr>
        <w:pStyle w:val="Heading3"/>
      </w:pPr>
      <w:r>
        <w:rPr>
          <w:rFonts w:ascii="Arial" w:hAnsi="Arial"/>
          <w:b/>
          <w:color w:val="000000"/>
          <w:sz w:val="23"/>
        </w:rPr>
        <w:t>3 2 Áp dụng cho Query và tài liệu</w:t>
      </w:r>
    </w:p>
    <w:p>
      <w:pPr>
        <w:pStyle w:val="ListBullet"/>
      </w:pPr>
      <w:r>
        <w:rPr>
          <w:rFonts w:ascii="Arial" w:hAnsi="Arial"/>
          <w:color w:val="000000"/>
          <w:sz w:val="21"/>
        </w:rPr>
        <w:t>Query danh sách lọc phạm vi trước phân trang và COUNT. Không lấy toàn bộ rồi lọc trong bộ nhớ.</w:t>
      </w:r>
    </w:p>
    <w:p>
      <w:pPr>
        <w:pStyle w:val="ListBullet"/>
      </w:pPr>
      <w:r>
        <w:rPr>
          <w:rFonts w:ascii="Arial" w:hAnsi="Arial"/>
          <w:color w:val="000000"/>
          <w:sz w:val="21"/>
        </w:rPr>
        <w:t>Chi tiết, export và tải tệp kiểm tra cùng chính sách; object key hoặc Guid không phải bí mật thay cho quyền.</w:t>
      </w:r>
    </w:p>
    <w:p>
      <w:pPr>
        <w:pStyle w:val="ListBullet"/>
      </w:pPr>
      <w:r>
        <w:rPr>
          <w:rFonts w:ascii="Arial" w:hAnsi="Arial"/>
          <w:color w:val="000000"/>
          <w:sz w:val="21"/>
        </w:rPr>
        <w:t>Projection hành chính, viện phí và lâm sàng tách trường phù hợp; số định danh và liên hệ được che theo vai trò.</w:t>
      </w:r>
    </w:p>
    <w:p>
      <w:pPr>
        <w:pStyle w:val="ListBullet"/>
      </w:pPr>
      <w:r>
        <w:rPr>
          <w:rFonts w:ascii="Arial" w:hAnsi="Arial"/>
          <w:color w:val="000000"/>
          <w:sz w:val="21"/>
        </w:rPr>
        <w:t>Thay đổi phân công có hiệu lực với yêu cầu mới qua kiểm tra DB. Không cache quyền theo TTL dài ở MVP.</w:t>
      </w:r>
    </w:p>
    <w:p>
      <w:pPr>
        <w:pStyle w:val="ListBullet"/>
      </w:pPr>
      <w:r>
        <w:rPr>
          <w:rFonts w:ascii="Arial" w:hAnsi="Arial"/>
          <w:color w:val="000000"/>
          <w:sz w:val="21"/>
        </w:rPr>
        <w:t>Worker export ghi nhận người yêu cầu và kiểm tra lại quyền trước tạo/cung cấp sản phẩm.</w:t>
      </w:r>
    </w:p>
    <w:p>
      <w:pPr>
        <w:pStyle w:val="Heading3"/>
      </w:pPr>
      <w:r>
        <w:rPr>
          <w:rFonts w:ascii="Arial" w:hAnsi="Arial"/>
          <w:b/>
          <w:color w:val="000000"/>
          <w:sz w:val="23"/>
        </w:rPr>
        <w:t>3 3 Audit bắt buộc</w:t>
      </w:r>
    </w:p>
    <w:p>
      <w:pPr>
        <w:spacing w:line="264" w:lineRule="auto" w:after="120"/>
      </w:pPr>
      <w:r>
        <w:rPr>
          <w:rFonts w:ascii="Arial" w:hAnsi="Arial"/>
          <w:color w:val="000000"/>
          <w:sz w:val="21"/>
        </w:rPr>
        <w:t>AuditRecord có ActorId, Action, ResourceType/Id, EncounterRef hoặc manifest tham chiếu, Result, Reason, TimestampUtc, CorrelationId và địa chỉ nguồn đã chuẩn hóa. Log danh sách ghi bộ lọc/phạm vi và manifest hoặc tập ID thực trả; tránh lưu toàn bộ dữ liệu lâm sàng. Log thay đổi lưu metadata phiên bản và diff giới hạn theo chính sách.</w:t>
      </w:r>
    </w:p>
    <w:p>
      <w:pPr>
        <w:spacing w:line="264" w:lineRule="auto" w:after="120"/>
      </w:pPr>
      <w:r>
        <w:rPr>
          <w:rFonts w:ascii="Arial" w:hAnsi="Arial"/>
          <w:color w:val="000000"/>
          <w:sz w:val="21"/>
        </w:rPr>
        <w:t>Query có contract IAuditedRequest rõ ràng, không suy từ kiểu trả MedicalRecord. Ghi audit bền vững trước cung cấp dữ liệu nhạy cảm; nếu ghi thất bại, trả lỗi và không phát dữ liệu. Ghi Authorized/DeliveryStarted/Completed hoặc Failed khi có thể; việc stream thành công không chứng minh con người đã đọc. Mọi tải tệp mới kiểm tra lại quyền; stream đã bắt đầu có thể hoàn tất theo policy request.</w:t>
      </w:r>
    </w:p>
    <w:p>
      <w:pPr>
        <w:spacing w:line="264" w:lineRule="auto" w:after="120"/>
      </w:pPr>
      <w:r>
        <w:rPr>
          <w:rFonts w:ascii="Arial" w:hAnsi="Arial"/>
          <w:color w:val="000000"/>
          <w:sz w:val="21"/>
        </w:rPr>
        <w:br w:type="page"/>
      </w:r>
    </w:p>
    <w:p>
      <w:pPr>
        <w:pStyle w:val="Heading1"/>
      </w:pPr>
      <w:r>
        <w:rPr>
          <w:rFonts w:ascii="Arial" w:hAnsi="Arial"/>
          <w:b/>
          <w:color w:val="000000"/>
          <w:sz w:val="36"/>
        </w:rPr>
        <w:t>4 Đăng nhập và phiên làm việc</w:t>
      </w:r>
    </w:p>
    <w:p>
      <w:pPr>
        <w:pStyle w:val="Heading3"/>
      </w:pPr>
      <w:r>
        <w:rPr>
          <w:rFonts w:ascii="Arial" w:hAnsi="Arial"/>
          <w:b/>
          <w:color w:val="000000"/>
          <w:sz w:val="23"/>
        </w:rPr>
        <w:t>4 1 Token và cookie</w:t>
      </w:r>
    </w:p>
    <w:p>
      <w:pPr>
        <w:spacing w:line="264" w:lineRule="auto" w:after="120"/>
      </w:pPr>
      <w:r>
        <w:rPr>
          <w:rFonts w:ascii="Arial" w:hAnsi="Arial"/>
          <w:color w:val="000000"/>
          <w:sz w:val="21"/>
        </w:rPr>
        <w:t>Đăng nhập bằng email chuẩn hóa, password hash qua thành phần Identity đã kiểm thử; không tự thiết kế thuật toán mật khẩu. JWT HS256 với khóa ngẫu nhiên đủ mạnh từ secret store, validate algorithm, issuer, audience, signature, exp và nbf. Access token 15 phút, giữ trong bộ nhớ trình duyệt; refresh token random tối thiểu 256 bit, chỉ lưu hash SHA-256 trong DB.</w:t>
      </w:r>
    </w:p>
    <w:p>
      <w:pPr>
        <w:spacing w:line="264" w:lineRule="auto" w:after="120"/>
      </w:pPr>
      <w:r>
        <w:rPr>
          <w:rFonts w:ascii="Arial" w:hAnsi="Arial"/>
          <w:color w:val="000000"/>
          <w:sz w:val="21"/>
        </w:rPr>
        <w:t>Refresh cookie HttpOnly, Secure, SameSite=Strict, host-only; nếu dùng tiền tố __Host- thì Path=/ và không Domain. Phục vụ FE/API cùng origin ở MVP. Refresh/logout dùng POST và CSRF token có chữ ký gắn phiên; kiểm tra Origin, CORS allowlist và custom header. Không thay đổi dữ liệu bằng GET. Không dùng localStorage để lưu token hoặc dữ liệu bệnh án. [S4]</w:t>
      </w:r>
    </w:p>
    <w:p>
      <w:pPr>
        <w:pStyle w:val="Heading3"/>
      </w:pPr>
      <w:r>
        <w:rPr>
          <w:rFonts w:ascii="Arial" w:hAnsi="Arial"/>
          <w:b/>
          <w:color w:val="000000"/>
          <w:sz w:val="23"/>
        </w:rPr>
        <w:t>4 2 Rotation nguyên tử và reuse</w:t>
      </w:r>
    </w:p>
    <w:p>
      <w:pPr>
        <w:spacing w:line="264" w:lineRule="auto" w:after="120"/>
      </w:pPr>
      <w:r>
        <w:rPr>
          <w:rFonts w:ascii="Arial" w:hAnsi="Arial"/>
          <w:color w:val="000000"/>
          <w:sz w:val="21"/>
        </w:rPr>
        <w:t>SessionFamily có Id, UserId, Status, CreatedAtUtc, AbsoluteExpiresAtUtc và SecurityVersion. RefreshToken có TokenHash unique, FamilyId FK, ExpiresAtUtc, ConsumedAtUtc, RevokedAtUtc và ReplacedById. Mặc định phiên tuyệt đối 7 ngày; token mới không được kéo dài quá hạn family.</w:t>
      </w:r>
    </w:p>
    <w:p>
      <w:pPr>
        <w:spacing w:line="264" w:lineRule="auto" w:after="120"/>
      </w:pPr>
      <w:r>
        <w:rPr>
          <w:rFonts w:ascii="Arial" w:hAnsi="Arial"/>
          <w:color w:val="000000"/>
          <w:sz w:val="21"/>
        </w:rPr>
        <w:t>Trong transaction, khóa hàng SessionFamily rồi hàng token theo thứ tự thống nhất. Kiểm tra user/family còn hoạt động và chưa hết hạn. Token chưa dùng được đánh dấu consumed bằng cập nhật có điều kiện, chèn đúng một token thay thế, commit rồi mới trả token và cookie. Logout/khóa family cũng lấy cùng khóa để không có token mới lọt qua lúc thu hồi.</w:t>
      </w:r>
    </w:p>
    <w:p>
      <w:pPr>
        <w:spacing w:line="264" w:lineRule="auto" w:after="120"/>
      </w:pPr>
      <w:r>
        <w:rPr>
          <w:rFonts w:ascii="Arial" w:hAnsi="Arial"/>
          <w:color w:val="000000"/>
          <w:sz w:val="21"/>
        </w:rPr>
        <w:t>Token đã consumed/revoked được trình lại: ghi reuse, thu hồi cả family trong transaction riêng hoặc commit kết quả trước khi trả 401; không throw làm rollback việc thu hồi. JWT có FamilyId; validation kiểm tra family và SecurityVersion từ DB để family bị revoke không tiếp tục dùng access token cũ. MVP chấp nhận chi phí một tra cứu có index cho tính đúng đắn.</w:t>
      </w:r>
    </w:p>
    <w:p>
      <w:pPr>
        <w:pStyle w:val="Heading3"/>
      </w:pPr>
      <w:r>
        <w:rPr>
          <w:rFonts w:ascii="Arial" w:hAnsi="Arial"/>
          <w:b/>
          <w:color w:val="000000"/>
          <w:sz w:val="23"/>
        </w:rPr>
        <w:t>4 3 Đồng thời và mất response</w:t>
      </w:r>
    </w:p>
    <w:p>
      <w:pPr>
        <w:spacing w:line="264" w:lineRule="auto" w:after="120"/>
      </w:pPr>
      <w:r>
        <w:rPr>
          <w:rFonts w:ascii="Arial" w:hAnsi="Arial"/>
          <w:color w:val="000000"/>
          <w:sz w:val="21"/>
        </w:rPr>
        <w:t>FE dùng single-flight trong tab và cơ chế điều phối đa tab (Web Locks/BroadcastChannel khi hỗ trợ). Chính sách server mặc định strict reuse: không có khoảng ân hạn phát lại refresh token. Nếu response rotation bị mất hoặc browser không điều phối được và gửi token cũ, phiên bị thu hồi, người dùng đăng nhập lại. Giao diện nêu phiên đã hết hiệu lực, không tự lặp refresh vô hạn. Đây là đánh đổi an toàn có chủ ý.</w:t>
      </w:r>
    </w:p>
    <w:p>
      <w:pPr>
        <w:spacing w:line="264" w:lineRule="auto" w:after="120"/>
      </w:pPr>
      <w:r>
        <w:rPr>
          <w:rFonts w:ascii="Arial" w:hAnsi="Arial"/>
          <w:color w:val="000000"/>
          <w:sz w:val="21"/>
        </w:rPr>
        <w:t>Rate limit login theo IP và tài khoản chuẩn hóa; phản hồi chung tránh dò email. Bộ đếm in-memory chỉ đủ cho một instance. Khóa tài khoản/đổi mật khẩu tăng SecurityVersion và revoke family trong DB. MFA cho tài khoản đặc quyền là điều kiện vận hành dữ liệu thật khi policy yêu cầu; không suy rằng WAF thay thế bảo vệ đăng nhập.</w:t>
      </w:r>
    </w:p>
    <w:p>
      <w:pPr>
        <w:spacing w:line="264" w:lineRule="auto" w:after="120"/>
      </w:pPr>
      <w:r>
        <w:rPr>
          <w:rFonts w:ascii="Arial" w:hAnsi="Arial"/>
          <w:color w:val="000000"/>
          <w:sz w:val="21"/>
        </w:rPr>
        <w:br w:type="page"/>
      </w:r>
    </w:p>
    <w:p>
      <w:pPr>
        <w:pStyle w:val="Heading1"/>
      </w:pPr>
      <w:r>
        <w:rPr>
          <w:rFonts w:ascii="Arial" w:hAnsi="Arial"/>
          <w:b/>
          <w:color w:val="000000"/>
          <w:sz w:val="36"/>
        </w:rPr>
        <w:t>5 Tiếp nhận và hàng chờ</w:t>
      </w:r>
    </w:p>
    <w:p>
      <w:pPr>
        <w:spacing w:line="264" w:lineRule="auto" w:after="120"/>
      </w:pPr>
      <w:r>
        <w:rPr>
          <w:rFonts w:ascii="Arial" w:hAnsi="Arial"/>
          <w:color w:val="000000"/>
          <w:sz w:val="21"/>
        </w:rPr>
        <w:t>Triển khai NV-06 đến NV-12. API không có /appointments. ClinicSession lưu BranchId, DepartmentId, RoomId, ngày địa phương, giờ nhận, trạng thái và phân công nhân sự. Lịch làm việc nhân sự chỉ điều phối buổi, không nhận đặt chỗ người bệnh.</w:t>
      </w:r>
    </w:p>
    <w:p>
      <w:pPr>
        <w:pStyle w:val="Heading3"/>
      </w:pPr>
      <w:r>
        <w:rPr>
          <w:rFonts w:ascii="Arial" w:hAnsi="Arial"/>
          <w:b/>
          <w:color w:val="000000"/>
          <w:sz w:val="23"/>
        </w:rPr>
        <w:t>5 1 Cấp số và phiếu chờ</w:t>
      </w:r>
    </w:p>
    <w:p>
      <w:pPr>
        <w:spacing w:line="264" w:lineRule="auto" w:after="120"/>
      </w:pPr>
      <w:r>
        <w:rPr>
          <w:rFonts w:ascii="Arial" w:hAnsi="Arial"/>
          <w:color w:val="000000"/>
          <w:sz w:val="21"/>
        </w:rPr>
        <w:t>RegisterEncounterCommand nhận PatientId, ClinicSessionId, lý do, nhóm BHYT và Idempotency-Key. Trong một transaction: xác minh dữ liệu/phạm vi → nhận idempotency → tạo OutpatientEncounter → tăng bộ đếm Queue bằng UPDATE … RETURNING → tạo QueueTicket → ghi audit/outbox → lưu response → commit.</w:t>
      </w:r>
    </w:p>
    <w:p>
      <w:pPr>
        <w:spacing w:line="264" w:lineRule="auto" w:after="120"/>
      </w:pPr>
      <w:r>
        <w:rPr>
          <w:rFonts w:ascii="Arial" w:hAnsi="Arial"/>
          <w:color w:val="000000"/>
          <w:sz w:val="21"/>
        </w:rPr>
        <w:t>Unique index trên QueueId, BusinessDate, DisplayNumber; QueueId gắn đúng buổi và cơ sở. Mã in là giá trị hiển thị, không phải khóa liên kết. QueueTicket giữ EncounterRef, Stage, WorkItemId, Status, EffectivePriority, EnqueuedAtUtc, CallCount, RowVersion. Khóa logic công việc có unique partial index (CREATE UNIQUE INDEX … WHERE) cho phiếu đang hiệu lực.</w:t>
      </w:r>
    </w:p>
    <w:p>
      <w:pPr>
        <w:pStyle w:val="Heading3"/>
      </w:pPr>
      <w:r>
        <w:rPr>
          <w:rFonts w:ascii="Arial" w:hAnsi="Arial"/>
          <w:b/>
          <w:color w:val="000000"/>
          <w:sz w:val="23"/>
        </w:rPr>
        <w:t>5 2 Nhận và gọi lượt</w:t>
      </w:r>
    </w:p>
    <w:p>
      <w:pPr>
        <w:spacing w:line="264" w:lineRule="auto" w:after="120"/>
      </w:pPr>
      <w:r>
        <w:rPr>
          <w:rFonts w:ascii="Arial" w:hAnsi="Arial"/>
          <w:color w:val="000000"/>
          <w:sz w:val="21"/>
        </w:rPr>
        <w:t>Mỗi thao tác thay đổi thứ tự lấy khóa hàng Queue trong transaction ngắn. Chọn phiếu phù hợp, đổi Waiting sang Calling có điều kiện, tạo CallAttempt và commit. Sau commit phát sự kiện cập nhật màn hình; client nhận sự kiện phải nạp lại dữ liệu theo quyền, không coi sự kiện là nguồn dữ liệu chuẩn.</w:t>
      </w:r>
    </w:p>
    <w:p>
      <w:pPr>
        <w:spacing w:line="264" w:lineRule="auto" w:after="120"/>
      </w:pPr>
      <w:r>
        <w:rPr>
          <w:rFonts w:ascii="Arial" w:hAnsi="Arial"/>
          <w:color w:val="000000"/>
          <w:sz w:val="21"/>
        </w:rPr>
        <w:t>Quay lại từ CLS có priority cao nhất của hàng chính; nhóm ưu tiên tiếp theo rồi nhóm thường; FIFO bằng EnqueuedAtUtc, Id. Cấp cứu được nhận bằng use case riêng có audit. Phiếu trở lại từ hàng trễ đặt EffectivePriority=Regular và EnqueuedAtUtc hiện tại, mất ưu tiên cũ, đứng sau phiếu hiện có; giữ số. Tăng CallCycleNo, đặt CallCount=0 cho vòng mới và giữ toàn bộ CallAttempt của các vòng trước.</w:t>
      </w:r>
    </w:p>
    <w:p>
      <w:pPr>
        <w:spacing w:line="264" w:lineRule="auto" w:after="120"/>
      </w:pPr>
      <w:r>
        <w:rPr>
          <w:rFonts w:ascii="Arial" w:hAnsi="Arial"/>
          <w:color w:val="000000"/>
          <w:sz w:val="21"/>
        </w:rPr>
        <w:t>CallNextCommand nhận một phiếu; RecallTicketCommand thêm lần gọi sau khoảng CFG-02 (60 giây mặc định). Không tính lần retry cùng key. Sau lần gọi thứ ba, cần xác nhận vắng mặt hoặc sự kiện hết khoảng chờ hợp lệ mới chuyển Late; không chuyển ngay lúc phát tiếng gọi lần ba. ConfirmPresent đổi Calling sang Serving, CompleteStage kết thúc công đoạn.</w:t>
      </w:r>
    </w:p>
    <w:p>
      <w:pPr>
        <w:pStyle w:val="Heading3"/>
      </w:pPr>
      <w:r>
        <w:rPr>
          <w:rFonts w:ascii="Arial" w:hAnsi="Arial"/>
          <w:b/>
          <w:color w:val="000000"/>
          <w:sz w:val="23"/>
        </w:rPr>
        <w:t>5 3 Đóng buổi và chuyển phòng</w:t>
      </w:r>
    </w:p>
    <w:p>
      <w:pPr>
        <w:spacing w:line="264" w:lineRule="auto" w:after="120"/>
      </w:pPr>
      <w:r>
        <w:rPr>
          <w:rFonts w:ascii="Arial" w:hAnsi="Arial"/>
          <w:color w:val="000000"/>
          <w:sz w:val="21"/>
        </w:rPr>
        <w:t>CloseSession ngăn cấp mới. Worker xử lý phiếu Late hết hạn có điều kiện; không hủy Serving hoặc ServiceOrder đang thực hiện. Phiếu Waiting còn lại xuất danh sách điều phối để chuyển hoặc kết thúc có lý do. TransferQueueTicket khóa Queue nguồn/đích theo Id tăng dần, kết thúc phiếu nguồn thành Transferred, cấp số mới ở hàng đích và tạo phiếu kế tiếp cùng EncounterRef. Lưu PreviousTicketId, phân công và lịch sử trong cùng transaction; không đổi QueueId trên phiếu cũ làm trùng số ở hàng mới.</w:t>
      </w:r>
    </w:p>
    <w:p>
      <w:pPr>
        <w:spacing w:line="264" w:lineRule="auto" w:after="120"/>
      </w:pPr>
      <w:r>
        <w:rPr>
          <w:rFonts w:ascii="Arial" w:hAnsi="Arial"/>
          <w:color w:val="000000"/>
          <w:sz w:val="21"/>
        </w:rPr>
        <w:t>Polling có version hoặc sự kiện realtime đều được phép. Chọn polling mặc định 5 giây, cấu hình được; chỉ thêm SignalR khi cần. Khi dữ liệu cũ, UI hiển thị cần làm mới, không tự gọi lại command đã thành công.</w:t>
      </w:r>
    </w:p>
    <w:p>
      <w:pPr>
        <w:spacing w:line="264" w:lineRule="auto" w:after="120"/>
      </w:pPr>
      <w:r>
        <w:rPr>
          <w:rFonts w:ascii="Arial" w:hAnsi="Arial"/>
          <w:color w:val="000000"/>
          <w:sz w:val="21"/>
        </w:rPr>
        <w:br w:type="page"/>
      </w:r>
    </w:p>
    <w:p>
      <w:pPr>
        <w:pStyle w:val="Heading1"/>
      </w:pPr>
      <w:r>
        <w:rPr>
          <w:rFonts w:ascii="Arial" w:hAnsi="Arial"/>
          <w:b/>
          <w:color w:val="000000"/>
          <w:sz w:val="36"/>
        </w:rPr>
        <w:t>6 Khám và dữ liệu lâm sàng</w:t>
      </w:r>
    </w:p>
    <w:p>
      <w:pPr>
        <w:spacing w:line="264" w:lineRule="auto" w:after="120"/>
      </w:pPr>
      <w:r>
        <w:rPr>
          <w:rFonts w:ascii="Arial" w:hAnsi="Arial"/>
          <w:color w:val="000000"/>
          <w:sz w:val="21"/>
        </w:rPr>
        <w:t>Triển khai NV-13 đến NV-25. OutpatientEncounter chỉ quản lý tiến độ chuyên môn; ServiceOrder, DiagnosticResultVersion, Invoice và Prescription quản lý phần việc riêng. Bảng ánh xạ trạng thái trong BRD là nguồn chuẩn cho phép chuyển; aggregate từ chối mọi chuyển ngoài bảng.</w:t>
      </w:r>
    </w:p>
    <w:p>
      <w:pPr>
        <w:pStyle w:val="Heading3"/>
      </w:pPr>
      <w:r>
        <w:rPr>
          <w:rFonts w:ascii="Arial" w:hAnsi="Arial"/>
          <w:b/>
          <w:color w:val="000000"/>
          <w:sz w:val="23"/>
        </w:rPr>
        <w:t>6 1 Chỉ định và thanh toán</w:t>
      </w:r>
    </w:p>
    <w:p>
      <w:pPr>
        <w:spacing w:line="264" w:lineRule="auto" w:after="120"/>
      </w:pPr>
      <w:r>
        <w:rPr>
          <w:rFonts w:ascii="Arial" w:hAnsi="Arial"/>
          <w:color w:val="000000"/>
          <w:sz w:val="21"/>
        </w:rPr>
        <w:t>ServiceOrder lưu ExecutionStatus, FinancialClearanceStatus và ResultStatus độc lập. StartServiceOrderCommand kiểm tra user được giao, đúng người bệnh, điều kiện thanh toán hoặc grant cấp cứu/y lệnh nội trú. Không tin cờ Paid/Emergency do client gửi; đọc từ nguồn có thẩm quyền trong DB.</w:t>
      </w:r>
    </w:p>
    <w:p>
      <w:pPr>
        <w:spacing w:line="264" w:lineRule="auto" w:after="120"/>
      </w:pPr>
      <w:r>
        <w:rPr>
          <w:rFonts w:ascii="Arial" w:hAnsi="Arial"/>
          <w:color w:val="000000"/>
          <w:sz w:val="21"/>
        </w:rPr>
        <w:t>AutoCancelUnpaidOrder chỉ tác động chỉ định ngoại trú trước thực hiện, không có khoản thu hợp lệ và đã qua CutoffAtUtc của buổi. Thu tiền và hủy cùng lấy khóa trên ServiceOrder theo thứ tự Id tăng dần trước Invoice; cập nhật có điều kiện và commit nguyên tử. Đã thu thì worker không được tự hủy. Đã thực hiện thì chỉ ghi dừng/không hoàn tất có lý do.</w:t>
      </w:r>
    </w:p>
    <w:p>
      <w:pPr>
        <w:spacing w:line="264" w:lineRule="auto" w:after="120"/>
      </w:pPr>
      <w:r>
        <w:rPr>
          <w:rFonts w:ascii="Arial" w:hAnsi="Arial"/>
          <w:color w:val="000000"/>
          <w:sz w:val="21"/>
        </w:rPr>
        <w:t>Một phiếu đọc kết quả đang hiệu lực trên mỗi lượt khám được bảo vệ bằng unique partial index. Kết quả đến thêm cập nhật tín hiệu ReadyForReview, không tạo nhiều phiếu. Sau khi vòng khám trước kết thúc và có chỉ định mới, có thể tạo vòng đọc tiếp theo; bác sĩ quyết định đọc một phần hay chờ đủ.</w:t>
      </w:r>
    </w:p>
    <w:p>
      <w:pPr>
        <w:pStyle w:val="Heading3"/>
      </w:pPr>
      <w:r>
        <w:rPr>
          <w:rFonts w:ascii="Arial" w:hAnsi="Arial"/>
          <w:b/>
          <w:color w:val="000000"/>
          <w:sz w:val="23"/>
        </w:rPr>
        <w:t>6 2 Phiên bản kết quả và bệnh án</w:t>
      </w:r>
    </w:p>
    <w:p>
      <w:pPr>
        <w:spacing w:line="264" w:lineRule="auto" w:after="120"/>
      </w:pPr>
      <w:r>
        <w:rPr>
          <w:rFonts w:ascii="Arial" w:hAnsi="Arial"/>
          <w:color w:val="000000"/>
          <w:sz w:val="21"/>
        </w:rPr>
        <w:t>Version tables có DocumentGroupId/RecordId, VersionNo, Status, Content, PreviousVersionId, AuthorId, ConfirmedBy, ConfirmedAtUtc, ChangeReason và RowVersion. Unique (RecordId, VersionNo). Bản Confirmed bất biến ở cấp use case và quyền DB ứng dụng; bản sửa tạo hàng mới, giữ bản cũ và audit.</w:t>
      </w:r>
    </w:p>
    <w:p>
      <w:pPr>
        <w:spacing w:line="264" w:lineRule="auto" w:after="120"/>
      </w:pPr>
      <w:r>
        <w:rPr>
          <w:rFonts w:ascii="Arial" w:hAnsi="Arial"/>
          <w:color w:val="000000"/>
          <w:sz w:val="21"/>
        </w:rPr>
        <w:t>Draft dùng optimistic concurrency: FE gửi ETag/RowVersion (xmin); phiên bản không khớp trả 412 với hướng dẫn nạp lại, không tự merge nội dung lâm sàng. ConfirmResult kiểm tra các trường bắt buộc và tệp bắt buộc đã Available, sau đó ghi phiên bản xác nhận, audit và Outbox trong cùng transaction. PDF xuất phải ghi SourceVersionId và checksum; xuất lại cùng phiên bản không đổi nội dung nguồn.</w:t>
      </w:r>
    </w:p>
    <w:p>
      <w:pPr>
        <w:pStyle w:val="Heading3"/>
      </w:pPr>
      <w:r>
        <w:rPr>
          <w:rFonts w:ascii="Arial" w:hAnsi="Arial"/>
          <w:b/>
          <w:color w:val="000000"/>
          <w:sz w:val="23"/>
        </w:rPr>
        <w:t>6 3 Đơn thuốc và thực hiện</w:t>
      </w:r>
    </w:p>
    <w:p>
      <w:pPr>
        <w:spacing w:line="264" w:lineRule="auto" w:after="120"/>
      </w:pPr>
      <w:r>
        <w:rPr>
          <w:rFonts w:ascii="Arial" w:hAnsi="Arial"/>
          <w:color w:val="000000"/>
          <w:sz w:val="21"/>
        </w:rPr>
        <w:t>PrescriptionLine giữ prescribed quantity và bản chụp thông tin thuốc/liều. DispenseHistory là lịch sử của đơn, mỗi lần có OperationId unique, quantity, user, time, reason. Transaction kiểm tra tổng số đã cấp không vượt số được kê; hai lần cấp đồng thời khóa đơn và dòng theo thứ tự thống nhất. Cấp một phần không tự hoàn tất dòng.</w:t>
      </w:r>
    </w:p>
    <w:p>
      <w:pPr>
        <w:spacing w:line="264" w:lineRule="auto" w:after="120"/>
      </w:pPr>
      <w:r>
        <w:rPr>
          <w:rFonts w:ascii="Arial" w:hAnsi="Arial"/>
          <w:color w:val="000000"/>
          <w:sz w:val="21"/>
        </w:rPr>
        <w:t>CareExecution tham chiếu CareOrderVersionId và thời điểm/lần thực hiện. Bác sĩ đổi y lệnh không sửa lần đã thực hiện. Command thực hiện kiểm tra lại hiệu lực y lệnh trước commit. Phần mềm ghi nhận quy trình, không tự xác định liều điều trị hoặc suy ra thuốc đã được dùng chỉ từ thao tác kê đơn.</w:t>
      </w:r>
    </w:p>
    <w:p>
      <w:pPr>
        <w:spacing w:line="264" w:lineRule="auto" w:after="120"/>
      </w:pPr>
      <w:r>
        <w:rPr>
          <w:rFonts w:ascii="Arial" w:hAnsi="Arial"/>
          <w:color w:val="000000"/>
          <w:sz w:val="21"/>
        </w:rPr>
        <w:br w:type="page"/>
      </w:r>
    </w:p>
    <w:p>
      <w:pPr>
        <w:pStyle w:val="Heading1"/>
      </w:pPr>
      <w:r>
        <w:rPr>
          <w:rFonts w:ascii="Arial" w:hAnsi="Arial"/>
          <w:b/>
          <w:color w:val="000000"/>
          <w:sz w:val="36"/>
        </w:rPr>
        <w:t>7 Nội trú và giao dịch giường</w:t>
      </w:r>
    </w:p>
    <w:p>
      <w:pPr>
        <w:spacing w:line="264" w:lineRule="auto" w:after="120"/>
      </w:pPr>
      <w:r>
        <w:rPr>
          <w:rFonts w:ascii="Arial" w:hAnsi="Arial"/>
          <w:color w:val="000000"/>
          <w:sz w:val="21"/>
        </w:rPr>
        <w:t>Triển khai NV-26 đến NV-30. Bed và InpatientEncounter là aggregate root độc lập, nhưng use case phân giường có thể cập nhật cả hai trong cùng transaction PostgreSQL qua UnitOfWork. Không suy rằng mỗi aggregate bắt buộc nằm trong một transaction tách rời.</w:t>
      </w:r>
    </w:p>
    <w:p>
      <w:pPr>
        <w:pStyle w:val="Heading3"/>
      </w:pPr>
      <w:r>
        <w:rPr>
          <w:rFonts w:ascii="Arial" w:hAnsi="Arial"/>
          <w:b/>
          <w:color w:val="000000"/>
          <w:sz w:val="23"/>
        </w:rPr>
        <w:t>7 1 Dữ liệu và ràng buộc</w:t>
      </w:r>
    </w:p>
    <w:p>
      <w:pPr>
        <w:spacing w:line="264" w:lineRule="auto" w:after="120"/>
      </w:pPr>
      <w:r>
        <w:rPr>
          <w:rFonts w:ascii="Arial" w:hAnsi="Arial"/>
          <w:color w:val="000000"/>
          <w:sz w:val="21"/>
        </w:rPr>
        <w:t>Bed có DepartmentId, Code, Status, RowVersion. BedAssignment có BedId, InpatientEncounterId, StartedAtUtc, EndedAtUtc, AssignedBy và lý do. Nguồn xác định người đang nằm là phân công đang hiệu lực; tránh thêm PatientId trên Bed làm nguồn sự thật thứ 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91"/>
        <w:gridCol w:w="7030"/>
      </w:tblGrid>
      <w:tr>
        <w:trPr>
          <w:cantSplit/>
          <w:tblHeader/>
        </w:trPr>
        <w:tc>
          <w:tcPr>
            <w:tcW w:type="dxa" w:w="2891"/>
            <w:vAlign w:val="center"/>
            <w:shd w:fill="24445C"/>
          </w:tcPr>
          <w:p>
            <w:pPr>
              <w:spacing w:after="0" w:before="0" w:line="250" w:lineRule="auto"/>
            </w:pPr>
            <w:r>
              <w:rPr>
                <w:rFonts w:ascii="Arial" w:hAnsi="Arial"/>
                <w:b/>
                <w:color w:val="FFFFFF"/>
                <w:sz w:val="18"/>
              </w:rPr>
              <w:t>Ràng buộc</w:t>
            </w:r>
          </w:p>
        </w:tc>
        <w:tc>
          <w:tcPr>
            <w:tcW w:type="dxa" w:w="7030"/>
            <w:vAlign w:val="center"/>
            <w:shd w:fill="24445C"/>
          </w:tcPr>
          <w:p>
            <w:pPr>
              <w:spacing w:after="0" w:before="0" w:line="250" w:lineRule="auto"/>
            </w:pPr>
            <w:r>
              <w:rPr>
                <w:rFonts w:ascii="Arial" w:hAnsi="Arial"/>
                <w:b/>
                <w:color w:val="FFFFFF"/>
                <w:sz w:val="18"/>
              </w:rPr>
              <w:t>Cách bảo vệ</w:t>
            </w:r>
          </w:p>
        </w:tc>
      </w:tr>
      <w:tr>
        <w:trPr>
          <w:cantSplit/>
        </w:trPr>
        <w:tc>
          <w:tcPr>
            <w:tcW w:type="dxa" w:w="2891"/>
            <w:vAlign w:val="center"/>
          </w:tcPr>
          <w:p>
            <w:pPr>
              <w:spacing w:after="0" w:before="0" w:line="250" w:lineRule="auto"/>
            </w:pPr>
            <w:r>
              <w:rPr>
                <w:rFonts w:ascii="Arial" w:hAnsi="Arial"/>
                <w:sz w:val="18"/>
              </w:rPr>
              <w:t>Một giường có một phân công hoạt động</w:t>
            </w:r>
          </w:p>
        </w:tc>
        <w:tc>
          <w:tcPr>
            <w:tcW w:type="dxa" w:w="7030"/>
            <w:vAlign w:val="center"/>
          </w:tcPr>
          <w:p>
            <w:pPr>
              <w:spacing w:after="0" w:before="0" w:line="250" w:lineRule="auto"/>
            </w:pPr>
            <w:r>
              <w:rPr>
                <w:rFonts w:ascii="Arial" w:hAnsi="Arial"/>
                <w:sz w:val="18"/>
              </w:rPr>
              <w:t>Unique partial index BedId WHERE EndedAtUtc IS NULL</w:t>
            </w:r>
          </w:p>
        </w:tc>
      </w:tr>
      <w:tr>
        <w:trPr>
          <w:cantSplit/>
        </w:trPr>
        <w:tc>
          <w:tcPr>
            <w:tcW w:type="dxa" w:w="2891"/>
            <w:vAlign w:val="center"/>
            <w:shd w:fill="F2F5F7"/>
          </w:tcPr>
          <w:p>
            <w:pPr>
              <w:spacing w:after="0" w:before="0" w:line="250" w:lineRule="auto"/>
            </w:pPr>
            <w:r>
              <w:rPr>
                <w:rFonts w:ascii="Arial" w:hAnsi="Arial"/>
                <w:sz w:val="18"/>
              </w:rPr>
              <w:t>Một đợt có một giường hoạt động</w:t>
            </w:r>
          </w:p>
        </w:tc>
        <w:tc>
          <w:tcPr>
            <w:tcW w:type="dxa" w:w="7030"/>
            <w:vAlign w:val="center"/>
            <w:shd w:fill="F2F5F7"/>
          </w:tcPr>
          <w:p>
            <w:pPr>
              <w:spacing w:after="0" w:before="0" w:line="250" w:lineRule="auto"/>
            </w:pPr>
            <w:r>
              <w:rPr>
                <w:rFonts w:ascii="Arial" w:hAnsi="Arial"/>
                <w:sz w:val="18"/>
              </w:rPr>
              <w:t>Unique partial index InpatientEncounterId WHERE EndedAtUtc IS NULL</w:t>
            </w:r>
          </w:p>
        </w:tc>
      </w:tr>
      <w:tr>
        <w:trPr>
          <w:cantSplit/>
        </w:trPr>
        <w:tc>
          <w:tcPr>
            <w:tcW w:type="dxa" w:w="2891"/>
            <w:vAlign w:val="center"/>
          </w:tcPr>
          <w:p>
            <w:pPr>
              <w:spacing w:after="0" w:before="0" w:line="250" w:lineRule="auto"/>
            </w:pPr>
            <w:r>
              <w:rPr>
                <w:rFonts w:ascii="Arial" w:hAnsi="Arial"/>
                <w:sz w:val="18"/>
              </w:rPr>
              <w:t>Khoảng thời gian hợp lệ</w:t>
            </w:r>
          </w:p>
        </w:tc>
        <w:tc>
          <w:tcPr>
            <w:tcW w:type="dxa" w:w="7030"/>
            <w:vAlign w:val="center"/>
          </w:tcPr>
          <w:p>
            <w:pPr>
              <w:spacing w:after="0" w:before="0" w:line="250" w:lineRule="auto"/>
            </w:pPr>
            <w:r>
              <w:rPr>
                <w:rFonts w:ascii="Arial" w:hAnsi="Arial"/>
                <w:sz w:val="18"/>
              </w:rPr>
              <w:t>CHECK EndedAtUtc IS NULL OR EndedAtUtc &gt;= StartedAtUtc</w:t>
            </w:r>
          </w:p>
        </w:tc>
      </w:tr>
      <w:tr>
        <w:trPr>
          <w:cantSplit/>
        </w:trPr>
        <w:tc>
          <w:tcPr>
            <w:tcW w:type="dxa" w:w="2891"/>
            <w:vAlign w:val="center"/>
            <w:shd w:fill="F2F5F7"/>
          </w:tcPr>
          <w:p>
            <w:pPr>
              <w:spacing w:after="0" w:before="0" w:line="250" w:lineRule="auto"/>
            </w:pPr>
            <w:r>
              <w:rPr>
                <w:rFonts w:ascii="Arial" w:hAnsi="Arial"/>
                <w:sz w:val="18"/>
              </w:rPr>
              <w:t>Chỉ gán giường sẵn sàng</w:t>
            </w:r>
          </w:p>
        </w:tc>
        <w:tc>
          <w:tcPr>
            <w:tcW w:type="dxa" w:w="7030"/>
            <w:vAlign w:val="center"/>
            <w:shd w:fill="F2F5F7"/>
          </w:tcPr>
          <w:p>
            <w:pPr>
              <w:spacing w:after="0" w:before="0" w:line="250" w:lineRule="auto"/>
            </w:pPr>
            <w:r>
              <w:rPr>
                <w:rFonts w:ascii="Arial" w:hAnsi="Arial"/>
                <w:sz w:val="18"/>
              </w:rPr>
              <w:t>Conditional UPDATE Status=Ready sang Occupied; affected rows phải bằng 1</w:t>
            </w:r>
          </w:p>
        </w:tc>
      </w:tr>
      <w:tr>
        <w:trPr>
          <w:cantSplit/>
        </w:trPr>
        <w:tc>
          <w:tcPr>
            <w:tcW w:type="dxa" w:w="2891"/>
            <w:vAlign w:val="center"/>
          </w:tcPr>
          <w:p>
            <w:pPr>
              <w:spacing w:after="0" w:before="0" w:line="250" w:lineRule="auto"/>
            </w:pPr>
            <w:r>
              <w:rPr>
                <w:rFonts w:ascii="Arial" w:hAnsi="Arial"/>
                <w:sz w:val="18"/>
              </w:rPr>
              <w:t>Đợt đúng cơ sở/khoa</w:t>
            </w:r>
          </w:p>
        </w:tc>
        <w:tc>
          <w:tcPr>
            <w:tcW w:type="dxa" w:w="7030"/>
            <w:vAlign w:val="center"/>
          </w:tcPr>
          <w:p>
            <w:pPr>
              <w:spacing w:after="0" w:before="0" w:line="250" w:lineRule="auto"/>
            </w:pPr>
            <w:r>
              <w:rPr>
                <w:rFonts w:ascii="Arial" w:hAnsi="Arial"/>
                <w:sz w:val="18"/>
              </w:rPr>
              <w:t>FK và kiểm tra use case trong transaction</w:t>
            </w:r>
          </w:p>
        </w:tc>
      </w:tr>
    </w:tbl>
    <w:p>
      <w:pPr>
        <w:spacing w:after="0" w:before="0" w:line="264" w:lineRule="auto"/>
      </w:pPr>
      <w:r>
        <w:rPr>
          <w:rFonts w:ascii="Arial" w:hAnsi="Arial"/>
          <w:color w:val="000000"/>
          <w:sz w:val="6"/>
        </w:rPr>
      </w:r>
    </w:p>
    <w:p>
      <w:pPr>
        <w:pStyle w:val="Heading3"/>
      </w:pPr>
      <w:r>
        <w:rPr>
          <w:rFonts w:ascii="Arial" w:hAnsi="Arial"/>
          <w:b/>
          <w:color w:val="000000"/>
          <w:sz w:val="23"/>
        </w:rPr>
        <w:t>7 2 Thứ tự giao dịch</w:t>
      </w:r>
    </w:p>
    <w:p>
      <w:pPr>
        <w:spacing w:line="264" w:lineRule="auto" w:after="120"/>
      </w:pPr>
      <w:r>
        <w:rPr>
          <w:rFonts w:ascii="Arial" w:hAnsi="Arial"/>
          <w:color w:val="000000"/>
          <w:sz w:val="21"/>
        </w:rPr>
        <w:t>AssignBed: nhận idempotency → khóa InpatientEncounter → kiểm tra chưa có giường và đủ điều kiện → cập nhật Bed Ready thành Occupied có điều kiện → tạo BedAssignment → cập nhật trạng thái đợt/phân công nhân sự → audit/outbox/response → commit. Bất kỳ bước nào lỗi đều rollback.</w:t>
      </w:r>
    </w:p>
    <w:p>
      <w:pPr>
        <w:spacing w:line="264" w:lineRule="auto" w:after="120"/>
      </w:pPr>
      <w:r>
        <w:rPr>
          <w:rFonts w:ascii="Arial" w:hAnsi="Arial"/>
          <w:color w:val="000000"/>
          <w:sz w:val="21"/>
        </w:rPr>
        <w:t>TransferBed: khóa đợt → khóa giường cũ và mới theo Id tăng dần → kiểm tra đích Ready và nguồn đúng phân công → kết thúc assignment cũ → tạo assignment mới → đích Occupied, nguồn Cleaning → cập nhật khoa/assignment nhân sự → audit/outbox → commit. Bàn giao y lệnh giữ nguyên ID; cấp quyền ê-kíp mới và kết thúc quyền cũ theo hiệu lực bàn giao.</w:t>
      </w:r>
    </w:p>
    <w:p>
      <w:pPr>
        <w:spacing w:line="264" w:lineRule="auto" w:after="120"/>
      </w:pPr>
      <w:r>
        <w:rPr>
          <w:rFonts w:ascii="Arial" w:hAnsi="Arial"/>
          <w:color w:val="000000"/>
          <w:sz w:val="21"/>
        </w:rPr>
        <w:t>Discharge: kiểm tra tổng kết và công việc bàn giao → xác nhận thời điểm rời giường → đóng assignment, Bed=Cleaning và Encounter=Discharged trong cùng transaction. Invoice không tự chuyển Settled. CleanBedCommand chỉ nhận Cleaning và chuyển Ready có audit; sau commit phát thông báo chờ giường.</w:t>
      </w:r>
    </w:p>
    <w:p>
      <w:pPr>
        <w:pStyle w:val="Heading3"/>
      </w:pPr>
      <w:r>
        <w:rPr>
          <w:rFonts w:ascii="Arial" w:hAnsi="Arial"/>
          <w:b/>
          <w:color w:val="000000"/>
          <w:sz w:val="23"/>
        </w:rPr>
        <w:t>7 3 Nhập viện và các nhánh kết thúc</w:t>
      </w:r>
    </w:p>
    <w:p>
      <w:pPr>
        <w:spacing w:line="264" w:lineRule="auto" w:after="120"/>
      </w:pPr>
      <w:r>
        <w:rPr>
          <w:rFonts w:ascii="Arial" w:hAnsi="Arial"/>
          <w:color w:val="000000"/>
          <w:sz w:val="21"/>
        </w:rPr>
        <w:t>AdmissionRequest hoặc InpatientEncounter giai đoạn Pending chứa chỉ định nguồn, khoa yêu cầu và trạng thái thủ tục. Cấp cứu ghi EmergencyGrant/Reason và việc cần bổ sung, không cho client tự bỏ kiểm tra tạm ứng. BedWaitEntry unique theo đợt đang chờ; thông báo không giữ giường.</w:t>
      </w:r>
    </w:p>
    <w:p>
      <w:pPr>
        <w:spacing w:line="264" w:lineRule="auto" w:after="120"/>
      </w:pPr>
      <w:r>
        <w:rPr>
          <w:rFonts w:ascii="Arial" w:hAnsi="Arial"/>
          <w:color w:val="000000"/>
          <w:sz w:val="21"/>
        </w:rPr>
        <w:t>Hủy khi chưa nhận giường phải xử lý tạm ứng nếu có; chuyển viện/tử vong/tự rời viện giữ loại kết thúc, thời điểm và người xác nhận. Không dùng IsDeleted để kết thúc đợt. Các thao tác cạnh tranh trả 409 có mã lỗi nghiệp vụ, không retry vô hạn khi thực tế giường đã bị lấy.</w:t>
      </w:r>
    </w:p>
    <w:p>
      <w:pPr>
        <w:spacing w:line="264" w:lineRule="auto" w:after="120"/>
      </w:pPr>
      <w:r>
        <w:rPr>
          <w:rFonts w:ascii="Arial" w:hAnsi="Arial"/>
          <w:color w:val="000000"/>
          <w:sz w:val="21"/>
        </w:rPr>
        <w:br w:type="page"/>
      </w:r>
    </w:p>
    <w:p>
      <w:pPr>
        <w:pStyle w:val="Heading1"/>
      </w:pPr>
      <w:r>
        <w:rPr>
          <w:rFonts w:ascii="Arial" w:hAnsi="Arial"/>
          <w:b/>
          <w:color w:val="000000"/>
          <w:sz w:val="36"/>
        </w:rPr>
        <w:t>8 Hóa đơn và viện phí</w:t>
      </w:r>
    </w:p>
    <w:p>
      <w:pPr>
        <w:spacing w:line="264" w:lineRule="auto" w:after="120"/>
      </w:pPr>
      <w:r>
        <w:rPr>
          <w:rFonts w:ascii="Arial" w:hAnsi="Arial"/>
          <w:color w:val="000000"/>
          <w:sz w:val="21"/>
        </w:rPr>
        <w:t>Triển khai NV-31 đến NV-36. Giữ Invoice aggregate gồm InvoiceLine và InvoiceHistory. InvoiceHistory ghi sự kiện thu, tạm ứng, bổ sung, điều chỉnh, hoàn và mở lại/chốt; đây là lịch sử thuộc hóa đơn, không phải phân hệ kế toán hay PaymentAllocation độc lập.</w:t>
      </w:r>
    </w:p>
    <w:p>
      <w:pPr>
        <w:pStyle w:val="Heading3"/>
      </w:pPr>
      <w:r>
        <w:rPr>
          <w:rFonts w:ascii="Arial" w:hAnsi="Arial"/>
          <w:b/>
          <w:color w:val="000000"/>
          <w:sz w:val="23"/>
        </w:rPr>
        <w:t>8 1 Schema và số tiền</w:t>
      </w:r>
    </w:p>
    <w:p>
      <w:pPr>
        <w:spacing w:line="264" w:lineRule="auto" w:after="120"/>
      </w:pPr>
      <w:r>
        <w:rPr>
          <w:rFonts w:ascii="Arial" w:hAnsi="Arial"/>
          <w:color w:val="000000"/>
          <w:sz w:val="21"/>
        </w:rPr>
        <w:t>Invoice: EncounterRef, Status, Currency, PatientPayableTotal, NetCollectedTotal, PricingPolicyVersion, RowVersion. InvoiceLine: ServiceOrderId hoặc SourceType/SourceId, Quantity, UnitPriceSnapshot, CoverageRateSnapshot, PatientAmount, Status, PriceVersionId. InvoiceHistory: OperationId unique, Type, Amount, Method, ActorId, TimestampUtc, Reason, ApprovedBy, ReferenceEventId và kết quả đối soát thủ công.</w:t>
      </w:r>
    </w:p>
    <w:p>
      <w:pPr>
        <w:spacing w:line="264" w:lineRule="auto" w:after="120"/>
      </w:pPr>
      <w:r>
        <w:rPr>
          <w:rFonts w:ascii="Arial" w:hAnsi="Arial"/>
          <w:color w:val="000000"/>
          <w:sz w:val="21"/>
        </w:rPr>
        <w:t>Unique ràng buộc nguồn phí đang hiệu lực tránh thu lại CLS. Với giường/thuốc có nhiều lần phát sinh, SourceId là lần tính phí/lần cấp cụ thể; không dùng chung một SourceId cho mọi ngày. Hóa đơn phát sinh sau phải loại phần dịch vụ đã thuộc hóa đơn khác, trừ giao dịch điều chỉnh liên kết rõ ràng.</w:t>
      </w:r>
    </w:p>
    <w:p>
      <w:pPr>
        <w:spacing w:line="264" w:lineRule="auto" w:after="120"/>
      </w:pPr>
      <w:r>
        <w:rPr>
          <w:rFonts w:ascii="Arial" w:hAnsi="Arial"/>
          <w:color w:val="000000"/>
          <w:sz w:val="21"/>
        </w:rPr>
        <w:t>C = tổng PatientAmount của dòng hợp lệ; T = tổng thu trừ hoàn và điều chỉnh tiền có hiệu lực. Outstanding=max(C−T,0); Excess=max(T−C,0). Tiền dòng làm tròn VND bằng MidpointRounding.AwayFromZero đến 0 chữ số thập phân, sau đó cộng. Không dùng float/double. Cache tổng trong Invoice chỉ cập nhật cùng transaction và có job đối soát từ lịch sử.</w:t>
      </w:r>
    </w:p>
    <w:p>
      <w:pPr>
        <w:pStyle w:val="Heading3"/>
      </w:pPr>
      <w:r>
        <w:rPr>
          <w:rFonts w:ascii="Arial" w:hAnsi="Arial"/>
          <w:b/>
          <w:color w:val="000000"/>
          <w:sz w:val="23"/>
        </w:rPr>
        <w:t>8 2 Thu tiền và quyết toán</w:t>
      </w:r>
    </w:p>
    <w:p>
      <w:pPr>
        <w:spacing w:line="264" w:lineRule="auto" w:after="120"/>
      </w:pPr>
      <w:r>
        <w:rPr>
          <w:rFonts w:ascii="Arial" w:hAnsi="Arial"/>
          <w:color w:val="000000"/>
          <w:sz w:val="21"/>
        </w:rPr>
        <w:t>RecordPaymentCommand yêu cầu Idempotency-Key, số tiền thực thu, phương thức và xác nhận giao dịch vật lý. Lock ServiceOrder liên quan theo Id rồi Invoice; kiểm tra invoice chưa khóa/hủy, không thu trùng OperationId, ghi lịch sử và cập nhật totals/status/financial clearance cùng transaction. Không gọi ngân hàng. Không tự thử lại bước thu tiền vật lý khi retry API.</w:t>
      </w:r>
    </w:p>
    <w:p>
      <w:pPr>
        <w:spacing w:line="264" w:lineRule="auto" w:after="120"/>
      </w:pPr>
      <w:r>
        <w:rPr>
          <w:rFonts w:ascii="Arial" w:hAnsi="Arial"/>
          <w:color w:val="000000"/>
          <w:sz w:val="21"/>
        </w:rPr>
        <w:t>Tạm ứng bổ sung là sự kiện có thể lặp, trạng thái hiển thị giữ Deposit/AdditionalDeposit như nghiệp vụ. Đã thanh toán khi phần phải trả được đáp ứng; chỉ Settled khi đối chiếu xong và xử lý tiền dư. Discharged không đồng nghĩa Paid/Settled. Invoice thiếu tiền không chặn use case xuất viện chuyên môn.</w:t>
      </w:r>
    </w:p>
    <w:p>
      <w:pPr>
        <w:pStyle w:val="Heading3"/>
      </w:pPr>
      <w:r>
        <w:rPr>
          <w:rFonts w:ascii="Arial" w:hAnsi="Arial"/>
          <w:b/>
          <w:color w:val="000000"/>
          <w:sz w:val="23"/>
        </w:rPr>
        <w:t>8 3 Giá và điều chỉnh</w:t>
      </w:r>
    </w:p>
    <w:p>
      <w:pPr>
        <w:spacing w:line="264" w:lineRule="auto" w:after="120"/>
      </w:pPr>
      <w:r>
        <w:rPr>
          <w:rFonts w:ascii="Arial" w:hAnsi="Arial"/>
          <w:color w:val="000000"/>
          <w:sz w:val="21"/>
        </w:rPr>
        <w:t>Chụp giá và % BHYT theo phiên bản tại thời điểm ghi dòng phí; không join bảng giá hiện tại để tính lại hóa đơn cũ. BHYT là cấu hình mô phỏng, không gọi giám định. Không tính dòng thuế trong phạm vi hiện tại; không gọi giá trị không tính thuế là thuế suất 0% có ý nghĩa pháp lý.</w:t>
      </w:r>
    </w:p>
    <w:p>
      <w:pPr>
        <w:spacing w:line="264" w:lineRule="auto" w:after="120"/>
      </w:pPr>
      <w:r>
        <w:rPr>
          <w:rFonts w:ascii="Arial" w:hAnsi="Arial"/>
          <w:color w:val="000000"/>
          <w:sz w:val="21"/>
        </w:rPr>
        <w:t>CHECK tỷ lệ từ 0 đến 100, giá không âm, số lượng dương. Sự kiện thu/hoàn lưu Amount dương và phân biệt hướng tiền bằng Type; không dùng số âm tùy ý.</w:t>
      </w:r>
    </w:p>
    <w:p>
      <w:pPr>
        <w:spacing w:line="264" w:lineRule="auto" w:after="120"/>
      </w:pPr>
      <w:r>
        <w:rPr>
          <w:rFonts w:ascii="Arial" w:hAnsi="Arial"/>
          <w:color w:val="000000"/>
          <w:sz w:val="21"/>
        </w:rPr>
        <w:t>Sửa tiền đã xác nhận dùng InvoiceHistory tham chiếu sự kiện cũ, lý do và quyền; không UPDATE hoặc DELETE sự kiện tiền. Hoàn không vượt phần có thể hoàn sau đối soát. Mở quyết toán có quyền riêng; phát sinh sau chốt phải mở lại có audit. Quy tắc ngày giường và khoản phí thuốc phải được cấu hình OPEN-03 trước phát hành, chưa có cấu hình thì không âm thầm chọn công thức.</w:t>
      </w:r>
    </w:p>
    <w:p>
      <w:pPr>
        <w:spacing w:line="264" w:lineRule="auto" w:after="120"/>
      </w:pPr>
      <w:r>
        <w:rPr>
          <w:rFonts w:ascii="Arial" w:hAnsi="Arial"/>
          <w:color w:val="000000"/>
          <w:sz w:val="21"/>
        </w:rPr>
        <w:br w:type="page"/>
      </w:r>
    </w:p>
    <w:p>
      <w:pPr>
        <w:pStyle w:val="Heading1"/>
      </w:pPr>
      <w:r>
        <w:rPr>
          <w:rFonts w:ascii="Arial" w:hAnsi="Arial"/>
          <w:b/>
          <w:color w:val="000000"/>
          <w:sz w:val="36"/>
        </w:rPr>
        <w:t>9 Kiến trúc lưu trữ cloud</w:t>
      </w:r>
    </w:p>
    <w:p>
      <w:pPr>
        <w:spacing w:line="264" w:lineRule="auto" w:after="120"/>
      </w:pPr>
      <w:r>
        <w:rPr>
          <w:rFonts w:ascii="Arial" w:hAnsi="Arial"/>
          <w:color w:val="000000"/>
          <w:sz w:val="21"/>
        </w:rPr>
        <w:t>Triển khai NV-37 đến NV-41. Dữ liệu có cấu trúc và metadata ở PostgreSQL; tệp ở object storage. Không lưu base64 tệp trong bảng bệnh án hoặc body log. MVP không xây PACS/DICOM viewer. Azure Blob là adapter tham chiếu; nhà cung cấp/vùng cuối cùng thuộc OPEN-01.</w:t>
      </w:r>
    </w:p>
    <w:p>
      <w:pPr>
        <w:pStyle w:val="Heading3"/>
      </w:pPr>
      <w:r>
        <w:rPr>
          <w:rFonts w:ascii="Arial" w:hAnsi="Arial"/>
          <w:b/>
          <w:color w:val="000000"/>
          <w:sz w:val="23"/>
        </w:rPr>
        <w:t>9 1 Contract và quyền</w:t>
      </w:r>
    </w:p>
    <w:p>
      <w:pPr>
        <w:spacing w:line="264" w:lineRule="auto" w:after="120"/>
      </w:pPr>
      <w:r>
        <w:rPr>
          <w:rFonts w:ascii="Arial" w:hAnsi="Arial"/>
          <w:color w:val="000000"/>
          <w:sz w:val="21"/>
        </w:rPr>
        <w:t>IFileStorage trong Application cung cấp PutQuarantinedAsync, OpenReadAsync, GetPropertiesAsync, PromoteVersionAsync và DeleteTemporaryAsync. Contract dùng object key, version, checksum và stream; không lộ SDK nhà cung cấp lên Domain. Infrastructure dùng managed identity/credential dịch vụ có quyền tối thiểu từ secret store. [S5]</w:t>
      </w:r>
    </w:p>
    <w:p>
      <w:pPr>
        <w:spacing w:line="264" w:lineRule="auto" w:after="120"/>
      </w:pPr>
      <w:r>
        <w:rPr>
          <w:rFonts w:ascii="Arial" w:hAnsi="Arial"/>
          <w:color w:val="000000"/>
          <w:sz w:val="21"/>
        </w:rPr>
        <w:t>Kho quarantine và kho clinical-private tách quyền. Tắt anonymous/public access; HTTPS bắt buộc. API upload/tải qua backend ở MVP để kiểm tra quyền và hạn chế tải. Không ghi tệp lên thư mục phục vụ static web. Mạng private endpoint tùy topology; nếu API ngoài cloud, phải có kết nối/allowlist phù hợp và TLS, không hứa private endpoint hoạt động từ mọi máy.</w:t>
      </w:r>
    </w:p>
    <w:p>
      <w:pPr>
        <w:pStyle w:val="Heading3"/>
      </w:pPr>
      <w:r>
        <w:rPr>
          <w:rFonts w:ascii="Arial" w:hAnsi="Arial"/>
          <w:b/>
          <w:color w:val="000000"/>
          <w:sz w:val="23"/>
        </w:rPr>
        <w:t>9 2 Metadata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91"/>
        <w:gridCol w:w="7030"/>
      </w:tblGrid>
      <w:tr>
        <w:trPr>
          <w:cantSplit/>
          <w:tblHeader/>
        </w:trPr>
        <w:tc>
          <w:tcPr>
            <w:tcW w:type="dxa" w:w="2891"/>
            <w:vAlign w:val="center"/>
            <w:shd w:fill="24445C"/>
          </w:tcPr>
          <w:p>
            <w:pPr>
              <w:spacing w:after="0" w:before="0" w:line="250" w:lineRule="auto"/>
            </w:pPr>
            <w:r>
              <w:rPr>
                <w:rFonts w:ascii="Arial" w:hAnsi="Arial"/>
                <w:b/>
                <w:color w:val="FFFFFF"/>
                <w:sz w:val="18"/>
              </w:rPr>
              <w:t>Bảng</w:t>
            </w:r>
          </w:p>
        </w:tc>
        <w:tc>
          <w:tcPr>
            <w:tcW w:type="dxa" w:w="7030"/>
            <w:vAlign w:val="center"/>
            <w:shd w:fill="24445C"/>
          </w:tcPr>
          <w:p>
            <w:pPr>
              <w:spacing w:after="0" w:before="0" w:line="250" w:lineRule="auto"/>
            </w:pPr>
            <w:r>
              <w:rPr>
                <w:rFonts w:ascii="Arial" w:hAnsi="Arial"/>
                <w:b/>
                <w:color w:val="FFFFFF"/>
                <w:sz w:val="18"/>
              </w:rPr>
              <w:t>Trường bắt buộc</w:t>
            </w:r>
          </w:p>
        </w:tc>
      </w:tr>
      <w:tr>
        <w:trPr>
          <w:cantSplit/>
        </w:trPr>
        <w:tc>
          <w:tcPr>
            <w:tcW w:type="dxa" w:w="2891"/>
            <w:vAlign w:val="center"/>
          </w:tcPr>
          <w:p>
            <w:pPr>
              <w:spacing w:after="0" w:before="0" w:line="250" w:lineRule="auto"/>
            </w:pPr>
            <w:r>
              <w:rPr>
                <w:rFonts w:ascii="Arial" w:hAnsi="Arial"/>
                <w:sz w:val="18"/>
              </w:rPr>
              <w:t>ClinicalDocument</w:t>
            </w:r>
          </w:p>
        </w:tc>
        <w:tc>
          <w:tcPr>
            <w:tcW w:type="dxa" w:w="7030"/>
            <w:vAlign w:val="center"/>
          </w:tcPr>
          <w:p>
            <w:pPr>
              <w:spacing w:after="0" w:before="0" w:line="250" w:lineRule="auto"/>
            </w:pPr>
            <w:r>
              <w:rPr>
                <w:rFonts w:ascii="Arial" w:hAnsi="Arial"/>
                <w:sz w:val="18"/>
              </w:rPr>
              <w:t>Id, EncounterRef, DocumentType, RecordVersionId hoặc ResultVersionId khi liên quan, Status</w:t>
            </w:r>
          </w:p>
        </w:tc>
      </w:tr>
      <w:tr>
        <w:trPr>
          <w:cantSplit/>
        </w:trPr>
        <w:tc>
          <w:tcPr>
            <w:tcW w:type="dxa" w:w="2891"/>
            <w:vAlign w:val="center"/>
            <w:shd w:fill="F2F5F7"/>
          </w:tcPr>
          <w:p>
            <w:pPr>
              <w:spacing w:after="0" w:before="0" w:line="250" w:lineRule="auto"/>
            </w:pPr>
            <w:r>
              <w:rPr>
                <w:rFonts w:ascii="Arial" w:hAnsi="Arial"/>
                <w:sz w:val="18"/>
              </w:rPr>
              <w:t>Vị trí và integrity</w:t>
            </w:r>
          </w:p>
        </w:tc>
        <w:tc>
          <w:tcPr>
            <w:tcW w:type="dxa" w:w="7030"/>
            <w:vAlign w:val="center"/>
            <w:shd w:fill="F2F5F7"/>
          </w:tcPr>
          <w:p>
            <w:pPr>
              <w:spacing w:after="0" w:before="0" w:line="250" w:lineRule="auto"/>
            </w:pPr>
            <w:r>
              <w:rPr>
                <w:rFonts w:ascii="Arial" w:hAnsi="Arial"/>
                <w:sz w:val="18"/>
              </w:rPr>
              <w:t>StorageProvider, Container, ObjectKey, ObjectVersionId, SizeBytes, Sha256</w:t>
            </w:r>
          </w:p>
        </w:tc>
      </w:tr>
      <w:tr>
        <w:trPr>
          <w:cantSplit/>
        </w:trPr>
        <w:tc>
          <w:tcPr>
            <w:tcW w:type="dxa" w:w="2891"/>
            <w:vAlign w:val="center"/>
          </w:tcPr>
          <w:p>
            <w:pPr>
              <w:spacing w:after="0" w:before="0" w:line="250" w:lineRule="auto"/>
            </w:pPr>
            <w:r>
              <w:rPr>
                <w:rFonts w:ascii="Arial" w:hAnsi="Arial"/>
                <w:sz w:val="18"/>
              </w:rPr>
              <w:t>Phiên bản</w:t>
            </w:r>
          </w:p>
        </w:tc>
        <w:tc>
          <w:tcPr>
            <w:tcW w:type="dxa" w:w="7030"/>
            <w:vAlign w:val="center"/>
          </w:tcPr>
          <w:p>
            <w:pPr>
              <w:spacing w:after="0" w:before="0" w:line="250" w:lineRule="auto"/>
            </w:pPr>
            <w:r>
              <w:rPr>
                <w:rFonts w:ascii="Arial" w:hAnsi="Arial"/>
                <w:sz w:val="18"/>
              </w:rPr>
              <w:t>LogicalDocumentId, VersionNo, SupersedesDocumentId, ConfirmedAtUtc</w:t>
            </w:r>
          </w:p>
        </w:tc>
      </w:tr>
      <w:tr>
        <w:trPr>
          <w:cantSplit/>
        </w:trPr>
        <w:tc>
          <w:tcPr>
            <w:tcW w:type="dxa" w:w="2891"/>
            <w:vAlign w:val="center"/>
            <w:shd w:fill="F2F5F7"/>
          </w:tcPr>
          <w:p>
            <w:pPr>
              <w:spacing w:after="0" w:before="0" w:line="250" w:lineRule="auto"/>
            </w:pPr>
            <w:r>
              <w:rPr>
                <w:rFonts w:ascii="Arial" w:hAnsi="Arial"/>
                <w:sz w:val="18"/>
              </w:rPr>
              <w:t>Dấu vết</w:t>
            </w:r>
          </w:p>
        </w:tc>
        <w:tc>
          <w:tcPr>
            <w:tcW w:type="dxa" w:w="7030"/>
            <w:vAlign w:val="center"/>
            <w:shd w:fill="F2F5F7"/>
          </w:tcPr>
          <w:p>
            <w:pPr>
              <w:spacing w:after="0" w:before="0" w:line="250" w:lineRule="auto"/>
            </w:pPr>
            <w:r>
              <w:rPr>
                <w:rFonts w:ascii="Arial" w:hAnsi="Arial"/>
                <w:sz w:val="18"/>
              </w:rPr>
              <w:t>OriginalFileName, DetectedContentType, UploadedBy, UploadedAtUtc, ChangeReason</w:t>
            </w:r>
          </w:p>
        </w:tc>
      </w:tr>
      <w:tr>
        <w:trPr>
          <w:cantSplit/>
        </w:trPr>
        <w:tc>
          <w:tcPr>
            <w:tcW w:type="dxa" w:w="2891"/>
            <w:vAlign w:val="center"/>
          </w:tcPr>
          <w:p>
            <w:pPr>
              <w:spacing w:after="0" w:before="0" w:line="250" w:lineRule="auto"/>
            </w:pPr>
            <w:r>
              <w:rPr>
                <w:rFonts w:ascii="Arial" w:hAnsi="Arial"/>
                <w:sz w:val="18"/>
              </w:rPr>
              <w:t>UploadSession</w:t>
            </w:r>
          </w:p>
        </w:tc>
        <w:tc>
          <w:tcPr>
            <w:tcW w:type="dxa" w:w="7030"/>
            <w:vAlign w:val="center"/>
          </w:tcPr>
          <w:p>
            <w:pPr>
              <w:spacing w:after="0" w:before="0" w:line="250" w:lineRule="auto"/>
            </w:pPr>
            <w:r>
              <w:rPr>
                <w:rFonts w:ascii="Arial" w:hAnsi="Arial"/>
                <w:sz w:val="18"/>
              </w:rPr>
              <w:t>Id, DocumentId, ActorId, ExpectedSize, ExpiresAtUtc, State, ClaimToken, ErrorCode</w:t>
            </w:r>
          </w:p>
        </w:tc>
      </w:tr>
    </w:tbl>
    <w:p>
      <w:pPr>
        <w:spacing w:after="0" w:before="0" w:line="264" w:lineRule="auto"/>
      </w:pPr>
      <w:r>
        <w:rPr>
          <w:rFonts w:ascii="Arial" w:hAnsi="Arial"/>
          <w:color w:val="000000"/>
          <w:sz w:val="6"/>
        </w:rPr>
      </w:r>
    </w:p>
    <w:p>
      <w:pPr>
        <w:spacing w:line="264" w:lineRule="auto" w:after="120"/>
      </w:pPr>
      <w:r>
        <w:rPr>
          <w:rFonts w:ascii="Arial" w:hAnsi="Arial"/>
          <w:color w:val="000000"/>
          <w:sz w:val="21"/>
        </w:rPr>
        <w:t>Object key chứa UUID/mã nội bộ, không chứa PHI. Tên tệp gốc chỉ để hiển thị sau xử lý an toàn, không dùng ghép đường dẫn. Unique (LogicalDocumentId, VersionNo); object của bản chính thức không bị ghi đè. Mỗi reference đến ResultVersion/RecordVersion phải cùng EncounterRef; kiểm tra backend và test toàn vẹn.</w:t>
      </w:r>
    </w:p>
    <w:p>
      <w:pPr>
        <w:pStyle w:val="Heading3"/>
      </w:pPr>
      <w:r>
        <w:rPr>
          <w:rFonts w:ascii="Arial" w:hAnsi="Arial"/>
          <w:b/>
          <w:color w:val="000000"/>
          <w:sz w:val="23"/>
        </w:rPr>
        <w:t>9 3 Tải xuống</w:t>
      </w:r>
    </w:p>
    <w:p>
      <w:pPr>
        <w:spacing w:line="264" w:lineRule="auto" w:after="120"/>
      </w:pPr>
      <w:r>
        <w:rPr>
          <w:rFonts w:ascii="Arial" w:hAnsi="Arial"/>
          <w:color w:val="000000"/>
          <w:sz w:val="21"/>
        </w:rPr>
        <w:t>GET document/{id}/content kiểm tra quyền tài nguyên gốc, trạng thái Available hoặc phiên bản cũ được phép, ghi audit bền vững rồi stream. Đặt Cache-Control: no-store, X-Content-Type-Options: nosniff, Content-Disposition an toàn. Hỗ trợ range nếu cần nhưng từng request phải kiểm tra quyền và gắn correlation tải; không log payload.</w:t>
      </w:r>
    </w:p>
    <w:p>
      <w:pPr>
        <w:spacing w:line="264" w:lineRule="auto" w:after="120"/>
      </w:pPr>
      <w:r>
        <w:rPr>
          <w:rFonts w:ascii="Arial" w:hAnsi="Arial"/>
          <w:color w:val="000000"/>
          <w:sz w:val="21"/>
        </w:rPr>
        <w:t>Signed URL trực tiếp là phương án mở rộng, không mặc định MVP. Nếu bật: hạn ngắn, đúng object/version, read-only và không ghi URL vào log. Người cầm URL có thể dùng đến hết hạn nên việc revoke phân công không bảo đảm chặn ngay URL cũ. Không dùng URL có thời hạn làm địa chỉ lưu chính. [S5]</w:t>
      </w:r>
    </w:p>
    <w:p>
      <w:pPr>
        <w:spacing w:line="264" w:lineRule="auto" w:after="120"/>
      </w:pPr>
      <w:r>
        <w:rPr>
          <w:rFonts w:ascii="Arial" w:hAnsi="Arial"/>
          <w:color w:val="000000"/>
          <w:sz w:val="21"/>
        </w:rPr>
        <w:br w:type="page"/>
      </w:r>
    </w:p>
    <w:p>
      <w:pPr>
        <w:pStyle w:val="Heading1"/>
      </w:pPr>
      <w:r>
        <w:rPr>
          <w:rFonts w:ascii="Arial" w:hAnsi="Arial"/>
          <w:b/>
          <w:color w:val="000000"/>
          <w:sz w:val="36"/>
        </w:rPr>
        <w:t>10 Vòng đời upload và phục hồi tệp</w:t>
      </w:r>
    </w:p>
    <w:p>
      <w:pPr>
        <w:pStyle w:val="Heading3"/>
      </w:pPr>
      <w:r>
        <w:rPr>
          <w:rFonts w:ascii="Arial" w:hAnsi="Arial"/>
          <w:b/>
          <w:color w:val="000000"/>
          <w:sz w:val="23"/>
        </w:rPr>
        <w:t>10 1 Quy trình nhất quán</w:t>
      </w:r>
    </w:p>
    <w:p>
      <w:pPr>
        <w:spacing w:line="264" w:lineRule="auto" w:after="120"/>
      </w:pPr>
      <w:r>
        <w:rPr>
          <w:rFonts w:ascii="Arial" w:hAnsi="Arial"/>
          <w:color w:val="000000"/>
          <w:sz w:val="21"/>
        </w:rPr>
        <w:t>PostgreSQL và cloud không có transaction chung. Dùng UploadSession và các bước có thể lặp an toàn; không đánh dấu Available chỉ vì browser báo upload thành công.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75"/>
        <w:gridCol w:w="4365"/>
      </w:tblGrid>
      <w:tr>
        <w:trPr>
          <w:cantSplit/>
          <w:tblHeader/>
        </w:trPr>
        <w:tc>
          <w:tcPr>
            <w:tcW w:type="dxa" w:w="2381"/>
            <w:vAlign w:val="center"/>
            <w:shd w:fill="24445C"/>
          </w:tcPr>
          <w:p>
            <w:pPr>
              <w:spacing w:after="0" w:before="0" w:line="250" w:lineRule="auto"/>
            </w:pPr>
            <w:r>
              <w:rPr>
                <w:rFonts w:ascii="Arial" w:hAnsi="Arial"/>
                <w:b/>
                <w:color w:val="FFFFFF"/>
                <w:sz w:val="18"/>
              </w:rPr>
              <w:t>Bước</w:t>
            </w:r>
          </w:p>
        </w:tc>
        <w:tc>
          <w:tcPr>
            <w:tcW w:type="dxa" w:w="3175"/>
            <w:vAlign w:val="center"/>
            <w:shd w:fill="24445C"/>
          </w:tcPr>
          <w:p>
            <w:pPr>
              <w:spacing w:after="0" w:before="0" w:line="250" w:lineRule="auto"/>
            </w:pPr>
            <w:r>
              <w:rPr>
                <w:rFonts w:ascii="Arial" w:hAnsi="Arial"/>
                <w:b/>
                <w:color w:val="FFFFFF"/>
                <w:sz w:val="18"/>
              </w:rPr>
              <w:t>Xử lý</w:t>
            </w:r>
          </w:p>
        </w:tc>
        <w:tc>
          <w:tcPr>
            <w:tcW w:type="dxa" w:w="4365"/>
            <w:vAlign w:val="center"/>
            <w:shd w:fill="24445C"/>
          </w:tcPr>
          <w:p>
            <w:pPr>
              <w:spacing w:after="0" w:before="0" w:line="250" w:lineRule="auto"/>
            </w:pPr>
            <w:r>
              <w:rPr>
                <w:rFonts w:ascii="Arial" w:hAnsi="Arial"/>
                <w:b/>
                <w:color w:val="FFFFFF"/>
                <w:sz w:val="18"/>
              </w:rPr>
              <w:t>Khi lỗi</w:t>
            </w:r>
          </w:p>
        </w:tc>
      </w:tr>
      <w:tr>
        <w:trPr>
          <w:cantSplit/>
        </w:trPr>
        <w:tc>
          <w:tcPr>
            <w:tcW w:type="dxa" w:w="2381"/>
            <w:vAlign w:val="center"/>
          </w:tcPr>
          <w:p>
            <w:pPr>
              <w:spacing w:after="0" w:before="0" w:line="250" w:lineRule="auto"/>
            </w:pPr>
            <w:r>
              <w:rPr>
                <w:rFonts w:ascii="Arial" w:hAnsi="Arial"/>
                <w:sz w:val="18"/>
              </w:rPr>
              <w:t>Khởi tạo</w:t>
            </w:r>
          </w:p>
        </w:tc>
        <w:tc>
          <w:tcPr>
            <w:tcW w:type="dxa" w:w="3175"/>
            <w:vAlign w:val="center"/>
          </w:tcPr>
          <w:p>
            <w:pPr>
              <w:spacing w:after="0" w:before="0" w:line="250" w:lineRule="auto"/>
            </w:pPr>
            <w:r>
              <w:rPr>
                <w:rFonts w:ascii="Arial" w:hAnsi="Arial"/>
                <w:sz w:val="18"/>
              </w:rPr>
              <w:t>Kiểm tra quyền; tạo Document PendingUpload và UploadSession trong PostgreSQL</w:t>
            </w:r>
          </w:p>
        </w:tc>
        <w:tc>
          <w:tcPr>
            <w:tcW w:type="dxa" w:w="4365"/>
            <w:vAlign w:val="center"/>
          </w:tcPr>
          <w:p>
            <w:pPr>
              <w:spacing w:after="0" w:before="0" w:line="250" w:lineRule="auto"/>
            </w:pPr>
            <w:r>
              <w:rPr>
                <w:rFonts w:ascii="Arial" w:hAnsi="Arial"/>
                <w:sz w:val="18"/>
              </w:rPr>
              <w:t>Trả lỗi, chưa nhận tệp</w:t>
            </w:r>
          </w:p>
        </w:tc>
      </w:tr>
      <w:tr>
        <w:trPr>
          <w:cantSplit/>
        </w:trPr>
        <w:tc>
          <w:tcPr>
            <w:tcW w:type="dxa" w:w="2381"/>
            <w:vAlign w:val="center"/>
            <w:shd w:fill="F2F5F7"/>
          </w:tcPr>
          <w:p>
            <w:pPr>
              <w:spacing w:after="0" w:before="0" w:line="250" w:lineRule="auto"/>
            </w:pPr>
            <w:r>
              <w:rPr>
                <w:rFonts w:ascii="Arial" w:hAnsi="Arial"/>
                <w:sz w:val="18"/>
              </w:rPr>
              <w:t>Nhận nội dung</w:t>
            </w:r>
          </w:p>
        </w:tc>
        <w:tc>
          <w:tcPr>
            <w:tcW w:type="dxa" w:w="3175"/>
            <w:vAlign w:val="center"/>
            <w:shd w:fill="F2F5F7"/>
          </w:tcPr>
          <w:p>
            <w:pPr>
              <w:spacing w:after="0" w:before="0" w:line="250" w:lineRule="auto"/>
            </w:pPr>
            <w:r>
              <w:rPr>
                <w:rFonts w:ascii="Arial" w:hAnsi="Arial"/>
                <w:sz w:val="18"/>
              </w:rPr>
              <w:t>Stream có giới hạn vào quarantine với key duy nhất</w:t>
            </w:r>
          </w:p>
        </w:tc>
        <w:tc>
          <w:tcPr>
            <w:tcW w:type="dxa" w:w="4365"/>
            <w:vAlign w:val="center"/>
            <w:shd w:fill="F2F5F7"/>
          </w:tcPr>
          <w:p>
            <w:pPr>
              <w:spacing w:after="0" w:before="0" w:line="250" w:lineRule="auto"/>
            </w:pPr>
            <w:r>
              <w:rPr>
                <w:rFonts w:ascii="Arial" w:hAnsi="Arial"/>
                <w:sz w:val="18"/>
              </w:rPr>
              <w:t>Giữ trạng thái chưa hoàn tất; xóa phần tạm theo TTL</w:t>
            </w:r>
          </w:p>
        </w:tc>
      </w:tr>
      <w:tr>
        <w:trPr>
          <w:cantSplit/>
        </w:trPr>
        <w:tc>
          <w:tcPr>
            <w:tcW w:type="dxa" w:w="2381"/>
            <w:vAlign w:val="center"/>
          </w:tcPr>
          <w:p>
            <w:pPr>
              <w:spacing w:after="0" w:before="0" w:line="250" w:lineRule="auto"/>
            </w:pPr>
            <w:r>
              <w:rPr>
                <w:rFonts w:ascii="Arial" w:hAnsi="Arial"/>
                <w:sz w:val="18"/>
              </w:rPr>
              <w:t>Xác minh upload</w:t>
            </w:r>
          </w:p>
        </w:tc>
        <w:tc>
          <w:tcPr>
            <w:tcW w:type="dxa" w:w="3175"/>
            <w:vAlign w:val="center"/>
          </w:tcPr>
          <w:p>
            <w:pPr>
              <w:spacing w:after="0" w:before="0" w:line="250" w:lineRule="auto"/>
            </w:pPr>
            <w:r>
              <w:rPr>
                <w:rFonts w:ascii="Arial" w:hAnsi="Arial"/>
                <w:sz w:val="18"/>
              </w:rPr>
              <w:t>Server đọc properties, size, checksum thực; chuyển Scanning</w:t>
            </w:r>
          </w:p>
        </w:tc>
        <w:tc>
          <w:tcPr>
            <w:tcW w:type="dxa" w:w="4365"/>
            <w:vAlign w:val="center"/>
          </w:tcPr>
          <w:p>
            <w:pPr>
              <w:spacing w:after="0" w:before="0" w:line="250" w:lineRule="auto"/>
            </w:pPr>
            <w:r>
              <w:rPr>
                <w:rFonts w:ascii="Arial" w:hAnsi="Arial"/>
                <w:sz w:val="18"/>
              </w:rPr>
              <w:t>Sai checksum/kích thước thì Reject</w:t>
            </w:r>
          </w:p>
        </w:tc>
      </w:tr>
      <w:tr>
        <w:trPr>
          <w:cantSplit/>
        </w:trPr>
        <w:tc>
          <w:tcPr>
            <w:tcW w:type="dxa" w:w="2381"/>
            <w:vAlign w:val="center"/>
            <w:shd w:fill="F2F5F7"/>
          </w:tcPr>
          <w:p>
            <w:pPr>
              <w:spacing w:after="0" w:before="0" w:line="250" w:lineRule="auto"/>
            </w:pPr>
            <w:r>
              <w:rPr>
                <w:rFonts w:ascii="Arial" w:hAnsi="Arial"/>
                <w:sz w:val="18"/>
              </w:rPr>
              <w:t>Kiểm tra an toàn</w:t>
            </w:r>
          </w:p>
        </w:tc>
        <w:tc>
          <w:tcPr>
            <w:tcW w:type="dxa" w:w="3175"/>
            <w:vAlign w:val="center"/>
            <w:shd w:fill="F2F5F7"/>
          </w:tcPr>
          <w:p>
            <w:pPr>
              <w:spacing w:after="0" w:before="0" w:line="250" w:lineRule="auto"/>
            </w:pPr>
            <w:r>
              <w:rPr>
                <w:rFonts w:ascii="Arial" w:hAnsi="Arial"/>
                <w:sz w:val="18"/>
              </w:rPr>
              <w:t>Worker nhận lease; kiểm tra loại nội dung và quét mã độc</w:t>
            </w:r>
          </w:p>
        </w:tc>
        <w:tc>
          <w:tcPr>
            <w:tcW w:type="dxa" w:w="4365"/>
            <w:vAlign w:val="center"/>
            <w:shd w:fill="F2F5F7"/>
          </w:tcPr>
          <w:p>
            <w:pPr>
              <w:spacing w:after="0" w:before="0" w:line="250" w:lineRule="auto"/>
            </w:pPr>
            <w:r>
              <w:rPr>
                <w:rFonts w:ascii="Arial" w:hAnsi="Arial"/>
                <w:sz w:val="18"/>
              </w:rPr>
              <w:t>Scanner lỗi thì giữ chờ/retry, không coi là sạch</w:t>
            </w:r>
          </w:p>
        </w:tc>
      </w:tr>
      <w:tr>
        <w:trPr>
          <w:cantSplit/>
        </w:trPr>
        <w:tc>
          <w:tcPr>
            <w:tcW w:type="dxa" w:w="2381"/>
            <w:vAlign w:val="center"/>
          </w:tcPr>
          <w:p>
            <w:pPr>
              <w:spacing w:after="0" w:before="0" w:line="250" w:lineRule="auto"/>
            </w:pPr>
            <w:r>
              <w:rPr>
                <w:rFonts w:ascii="Arial" w:hAnsi="Arial"/>
                <w:sz w:val="18"/>
              </w:rPr>
              <w:t>Đưa vào kho chính</w:t>
            </w:r>
          </w:p>
        </w:tc>
        <w:tc>
          <w:tcPr>
            <w:tcW w:type="dxa" w:w="3175"/>
            <w:vAlign w:val="center"/>
          </w:tcPr>
          <w:p>
            <w:pPr>
              <w:spacing w:after="0" w:before="0" w:line="250" w:lineRule="auto"/>
            </w:pPr>
            <w:r>
              <w:rPr>
                <w:rFonts w:ascii="Arial" w:hAnsi="Arial"/>
                <w:sz w:val="18"/>
              </w:rPr>
              <w:t>Copy/promote đúng phiên bản đã quét, kiểm tra lại checksum</w:t>
            </w:r>
          </w:p>
        </w:tc>
        <w:tc>
          <w:tcPr>
            <w:tcW w:type="dxa" w:w="4365"/>
            <w:vAlign w:val="center"/>
          </w:tcPr>
          <w:p>
            <w:pPr>
              <w:spacing w:after="0" w:before="0" w:line="250" w:lineRule="auto"/>
            </w:pPr>
            <w:r>
              <w:rPr>
                <w:rFonts w:ascii="Arial" w:hAnsi="Arial"/>
                <w:sz w:val="18"/>
              </w:rPr>
              <w:t>Retry bằng key/version ổn định</w:t>
            </w:r>
          </w:p>
        </w:tc>
      </w:tr>
      <w:tr>
        <w:trPr>
          <w:cantSplit/>
        </w:trPr>
        <w:tc>
          <w:tcPr>
            <w:tcW w:type="dxa" w:w="2381"/>
            <w:vAlign w:val="center"/>
            <w:shd w:fill="F2F5F7"/>
          </w:tcPr>
          <w:p>
            <w:pPr>
              <w:spacing w:after="0" w:before="0" w:line="250" w:lineRule="auto"/>
            </w:pPr>
            <w:r>
              <w:rPr>
                <w:rFonts w:ascii="Arial" w:hAnsi="Arial"/>
                <w:sz w:val="18"/>
              </w:rPr>
              <w:t>Hoàn tất</w:t>
            </w:r>
          </w:p>
        </w:tc>
        <w:tc>
          <w:tcPr>
            <w:tcW w:type="dxa" w:w="3175"/>
            <w:vAlign w:val="center"/>
            <w:shd w:fill="F2F5F7"/>
          </w:tcPr>
          <w:p>
            <w:pPr>
              <w:spacing w:after="0" w:before="0" w:line="250" w:lineRule="auto"/>
            </w:pPr>
            <w:r>
              <w:rPr>
                <w:rFonts w:ascii="Arial" w:hAnsi="Arial"/>
                <w:sz w:val="18"/>
              </w:rPr>
              <w:t>PostgreSQL xác nhận key/version/checksum và Available; audit/outbox</w:t>
            </w:r>
          </w:p>
        </w:tc>
        <w:tc>
          <w:tcPr>
            <w:tcW w:type="dxa" w:w="4365"/>
            <w:vAlign w:val="center"/>
            <w:shd w:fill="F2F5F7"/>
          </w:tcPr>
          <w:p>
            <w:pPr>
              <w:spacing w:after="0" w:before="0" w:line="250" w:lineRule="auto"/>
            </w:pPr>
            <w:r>
              <w:rPr>
                <w:rFonts w:ascii="Arial" w:hAnsi="Arial"/>
                <w:sz w:val="18"/>
              </w:rPr>
              <w:t>Nếu ghi PostgreSQL lỗi sau copy, retry finalize; chưa công bố</w:t>
            </w:r>
          </w:p>
        </w:tc>
      </w:tr>
    </w:tbl>
    <w:p>
      <w:pPr>
        <w:spacing w:after="0" w:before="0" w:line="264" w:lineRule="auto"/>
      </w:pPr>
      <w:r>
        <w:rPr>
          <w:rFonts w:ascii="Arial" w:hAnsi="Arial"/>
          <w:color w:val="000000"/>
          <w:sz w:val="6"/>
        </w:rPr>
      </w:r>
    </w:p>
    <w:p>
      <w:pPr>
        <w:spacing w:line="264" w:lineRule="auto" w:after="120"/>
      </w:pPr>
      <w:r>
        <w:rPr>
          <w:rFonts w:ascii="Arial" w:hAnsi="Arial"/>
          <w:color w:val="000000"/>
          <w:sz w:val="21"/>
        </w:rPr>
        <w:t>NV-39 và CFG-04: allowlist PDF/JPEG/PNG; 20 MiB/tệp mặc định; giới hạn số tệp/request và quota mỗi đợt có cấu hình. Từ chối archive, file thực thi và loại không hỗ trợ. Kiểm tra magic bytes, parser và decoded image size; không tin Content-Type hoặc đuôi tệp do client khai. Không gửi bệnh án lên dịch vụ quét công khai. [S6]</w:t>
      </w:r>
    </w:p>
    <w:p>
      <w:pPr>
        <w:pStyle w:val="Heading3"/>
      </w:pPr>
      <w:r>
        <w:rPr>
          <w:rFonts w:ascii="Arial" w:hAnsi="Arial"/>
          <w:b/>
          <w:color w:val="000000"/>
          <w:sz w:val="23"/>
        </w:rPr>
        <w:t>10 2 Lease và tránh thay nội dung sau quét</w:t>
      </w:r>
    </w:p>
    <w:p>
      <w:pPr>
        <w:spacing w:line="264" w:lineRule="auto" w:after="120"/>
      </w:pPr>
      <w:r>
        <w:rPr>
          <w:rFonts w:ascii="Arial" w:hAnsi="Arial"/>
          <w:color w:val="000000"/>
          <w:sz w:val="21"/>
        </w:rPr>
        <w:t>Worker claim bằng token có hạn, renew nếu cần. Quét và promote cùng object version hoặc cùng checksum; nếu nguồn đổi thì hủy kết quả quét và kiểm tra lại. Chỉ worker được ghi kho chính. Finalize dùng conditional state + claim token; worker mất lease không được ghi đè kết quả của worker mới.</w:t>
      </w:r>
    </w:p>
    <w:p>
      <w:pPr>
        <w:spacing w:line="264" w:lineRule="auto" w:after="120"/>
      </w:pPr>
      <w:r>
        <w:rPr>
          <w:rFonts w:ascii="Arial" w:hAnsi="Arial"/>
          <w:color w:val="000000"/>
          <w:sz w:val="21"/>
        </w:rPr>
        <w:t>UploadSession mặc định hết hạn 24 giờ. Retry trước hết hạn dùng cùng session khi trạng thái cho phép; session Failed/Expired cần tạo phiên mới có liên kết. API không cho người khác claim session. Available không quay lại Pending; thay tệp tạo DocumentVersion mới.</w:t>
      </w:r>
    </w:p>
    <w:p>
      <w:pPr>
        <w:pStyle w:val="Heading3"/>
      </w:pPr>
      <w:r>
        <w:rPr>
          <w:rFonts w:ascii="Arial" w:hAnsi="Arial"/>
          <w:b/>
          <w:color w:val="000000"/>
          <w:sz w:val="23"/>
        </w:rPr>
        <w:t>10 3 Đối soát và giữ dữ liệu</w:t>
      </w:r>
    </w:p>
    <w:p>
      <w:pPr>
        <w:spacing w:line="264" w:lineRule="auto" w:after="120"/>
      </w:pPr>
      <w:r>
        <w:rPr>
          <w:rFonts w:ascii="Arial" w:hAnsi="Arial"/>
          <w:color w:val="000000"/>
          <w:sz w:val="21"/>
        </w:rPr>
        <w:t>Worker định kỳ tìm metadata Pending quá hạn, object tạm mồ côi, bản copy chưa finalize và metadata Available mất object. Chỉ dọn vùng tạm sau thời gian an toàn và đối chiếu; không xóa file chính thức vì một lần đọc DB thất bại. File chính thiếu phải cảnh báo, giữ metadata và chuyển cờ integrity issue để phục hồi.</w:t>
      </w:r>
    </w:p>
    <w:p>
      <w:pPr>
        <w:spacing w:line="264" w:lineRule="auto" w:after="120"/>
      </w:pPr>
      <w:r>
        <w:rPr>
          <w:rFonts w:ascii="Arial" w:hAnsi="Arial"/>
          <w:color w:val="000000"/>
          <w:sz w:val="21"/>
        </w:rPr>
        <w:t>Backup/recovery phải phục hồi đúng object version mà PostgreSQL tham chiếu. Versioning/soft delete của nhà cung cấp là lớp bảo vệ, không thay toàn bộ chiến lược backup. Chính sách lifecycle không được xóa phiên bản chính đang được hồ sơ tham chiếu hoặc trong thời gian lưu giữ. Chưa tự động archival/xóa bệnh án ở MVP.</w:t>
      </w:r>
    </w:p>
    <w:p>
      <w:pPr>
        <w:spacing w:line="264" w:lineRule="auto" w:after="120"/>
      </w:pPr>
      <w:r>
        <w:rPr>
          <w:rFonts w:ascii="Arial" w:hAnsi="Arial"/>
          <w:color w:val="000000"/>
          <w:sz w:val="21"/>
        </w:rPr>
        <w:br w:type="page"/>
      </w:r>
    </w:p>
    <w:p>
      <w:pPr>
        <w:pStyle w:val="Heading1"/>
      </w:pPr>
      <w:r>
        <w:rPr>
          <w:rFonts w:ascii="Arial" w:hAnsi="Arial"/>
          <w:b/>
          <w:color w:val="000000"/>
          <w:sz w:val="36"/>
        </w:rPr>
        <w:t>11 Giao dịch và xử lý bất đồng bộ</w:t>
      </w:r>
    </w:p>
    <w:p>
      <w:pPr>
        <w:pStyle w:val="Heading3"/>
      </w:pPr>
      <w:r>
        <w:rPr>
          <w:rFonts w:ascii="Arial" w:hAnsi="Arial"/>
          <w:b/>
          <w:color w:val="000000"/>
          <w:sz w:val="23"/>
        </w:rPr>
        <w:t>11 1 Idempotency</w:t>
      </w:r>
    </w:p>
    <w:p>
      <w:pPr>
        <w:spacing w:line="264" w:lineRule="auto" w:after="120"/>
      </w:pPr>
      <w:r>
        <w:rPr>
          <w:rFonts w:ascii="Arial" w:hAnsi="Arial"/>
          <w:color w:val="000000"/>
          <w:sz w:val="21"/>
        </w:rPr>
        <w:t>Áp dụng cho đăng ký/cấp số, gọi lượt, nhập viện, gán/chuyển giường, ghi nhận tiền, cấp phát và xác nhận kết quả. Khóa gồm OrganizationId, ActorId, OperationType, IdempotencyKey; lưu canonical request hash, status, response code/body tối thiểu, resource ID và timestamps. Không lưu token hoặc tệp trong response cache.</w:t>
      </w:r>
    </w:p>
    <w:p>
      <w:pPr>
        <w:spacing w:line="264" w:lineRule="auto" w:after="120"/>
      </w:pPr>
      <w:r>
        <w:rPr>
          <w:rFonts w:ascii="Arial" w:hAnsi="Arial"/>
          <w:color w:val="000000"/>
          <w:sz w:val="21"/>
        </w:rPr>
        <w:t>Use case ngắn: INSERT key bằng unique constraint trong cùng transaction với business writes, audit/outbox và response Completed. Request cạnh tranh không chỉ SELECT rồi quyết định; unique constraint là điểm nhận quyền. Khi chờ khóa vượt timeout, trả 409 operation_in_progress và Retry-After. Request sau commit trả response gốc nếu hash khớp và actor còn quyền; khác hash trả 409 idempotency_key_reused. Rollback xóa cả key mới và business writes.</w:t>
      </w:r>
    </w:p>
    <w:p>
      <w:pPr>
        <w:spacing w:line="264" w:lineRule="auto" w:after="120"/>
      </w:pPr>
      <w:r>
        <w:rPr>
          <w:rFonts w:ascii="Arial" w:hAnsi="Arial"/>
          <w:color w:val="000000"/>
          <w:sz w:val="21"/>
        </w:rPr>
        <w:t>Response có PHI được tối thiểu hóa và kiểm tra quyền lại trước replay. Cache mặc định 24 giờ; retry sau thời hạn không được bảo đảm replay. Ràng buộc nguồn nghiệp vụ/OperationId của tiền, cấp phát và phân công vẫn tồn tại lâu dài để không nhân đôi khi key hết hạn. Upload/export dài dùng bảng job/session có trạng thái riêng, không giữ transaction PostgreSQL suốt quá trình.</w:t>
      </w:r>
    </w:p>
    <w:p>
      <w:pPr>
        <w:pStyle w:val="Heading3"/>
      </w:pPr>
      <w:r>
        <w:rPr>
          <w:rFonts w:ascii="Arial" w:hAnsi="Arial"/>
          <w:b/>
          <w:color w:val="000000"/>
          <w:sz w:val="23"/>
        </w:rPr>
        <w:t>11 2 Isolation và retry</w:t>
      </w:r>
    </w:p>
    <w:p>
      <w:pPr>
        <w:spacing w:line="264" w:lineRule="auto" w:after="120"/>
      </w:pPr>
      <w:r>
        <w:rPr>
          <w:rFonts w:ascii="Arial" w:hAnsi="Arial"/>
          <w:color w:val="000000"/>
          <w:sz w:val="21"/>
        </w:rPr>
        <w:t>Baseline PostgreSQL READ COMMITTED (mặc định): MVCC, đọc không chặn ghi, mỗi câu lệnh thấy snapshot tại lúc câu lệnh bắt đầu. Khóa hàng bằng SELECT … FOR UPDATE (hoặc FOR NO KEY UPDATE khi không đổi khóa) theo thứ tự thống nhất; khóa logic không gắn với một hàng dùng pg_advisory_xact_lock trong transaction. Truy vấn cần một snapshot nhất quán qua nhiều câu lệnh dùng REPEATABLE READ; SERIALIZABLE chỉ dùng khi use case chứng minh cần và chấp nhận retry. Giữ transaction ngắn, không gọi cloud/SMS/email bên trong; cấu hình lock_timeout và idle_in_transaction_session_timeout để không giữ khóa vô hạn.</w:t>
      </w:r>
    </w:p>
    <w:p>
      <w:pPr>
        <w:spacing w:line="264" w:lineRule="auto" w:after="120"/>
      </w:pPr>
      <w:r>
        <w:rPr>
          <w:rFonts w:ascii="Arial" w:hAnsi="Arial"/>
          <w:color w:val="000000"/>
          <w:sz w:val="21"/>
        </w:rPr>
        <w:t>Retry toàn transaction với DbContext mới tối đa ba lần thử tổng cộng, backoff có jitter, cho deadlock (SQLSTATE 40P01) và lỗi tuần tự hóa (40001) khi use case cho phép. Không bật EnableRetryOnFailure cho use case tự mở transaction nếu chưa bọc bằng execution strategy. Hết lock_timeout (55P03) trả 409 operation_in_progress theo policy của use case. Vi phạm unique (23505) hoặc xung đột concurrency do người khác đã lấy giường trả 409/412, không retry mù. [S7]</w:t>
      </w:r>
    </w:p>
    <w:p>
      <w:pPr>
        <w:pStyle w:val="Heading3"/>
      </w:pPr>
      <w:r>
        <w:rPr>
          <w:rFonts w:ascii="Arial" w:hAnsi="Arial"/>
          <w:b/>
          <w:color w:val="000000"/>
          <w:sz w:val="23"/>
        </w:rPr>
        <w:t>11 3 Outbox</w:t>
      </w:r>
    </w:p>
    <w:p>
      <w:pPr>
        <w:spacing w:line="264" w:lineRule="auto" w:after="120"/>
      </w:pPr>
      <w:r>
        <w:rPr>
          <w:rFonts w:ascii="Arial" w:hAnsi="Arial"/>
          <w:color w:val="000000"/>
          <w:sz w:val="21"/>
        </w:rPr>
        <w:t>OutboxMessage được INSERT cùng transaction business: Id, EventType, Payload tối thiểu, Status, NextAttemptAtUtc, AttemptCount, LeaseUntilUtc, ClaimToken và CompletedAtUtc. Worker chọn batch theo NextAttemptAtUtc, Id qua CTE SELECT … ORDER BY … LIMIT n FOR UPDATE SKIP LOCKED; UPDATE … RETURNING đặt claim token/lease rồi commit trước gửi. SKIP LOCKED bỏ qua hàng đang bị khóa nên chỉ dùng cho hàng đợi, không dùng cho truy vấn cần kết quả nhất quán; có partial index (NextAttemptAtUtc, Id) theo trạng thái chờ và batch nhỏ. [S8]</w:t>
      </w:r>
    </w:p>
    <w:p>
      <w:pPr>
        <w:spacing w:line="264" w:lineRule="auto" w:after="120"/>
      </w:pPr>
      <w:r>
        <w:rPr>
          <w:rFonts w:ascii="Arial" w:hAnsi="Arial"/>
          <w:color w:val="000000"/>
          <w:sz w:val="21"/>
        </w:rPr>
        <w:t>Hoàn tất chỉ UPDATE khi Id và ClaimToken khớp. Gia hạn lease khi xử lý lâu; retry lỗi tạm theo backoff, quá ngưỡng chuyển DeadLetter và cảnh báo. Giao hàng ít nhất một lần: crash sau gửi trước đánh dấu có thể gửi lặp. Dùng MessageId làm dedupe/provider idempotency nếu hỗ trợ; không tuyên bố SMS/email exactly-once. Payload tham chiếu resource, không chứa cả bệnh án hoặc URL bí mật.</w:t>
      </w:r>
    </w:p>
    <w:p>
      <w:pPr>
        <w:spacing w:line="264" w:lineRule="auto" w:after="120"/>
      </w:pPr>
      <w:r>
        <w:rPr>
          <w:rFonts w:ascii="Arial" w:hAnsi="Arial"/>
          <w:color w:val="000000"/>
          <w:sz w:val="21"/>
        </w:rPr>
        <w:br w:type="page"/>
      </w:r>
    </w:p>
    <w:p>
      <w:pPr>
        <w:pStyle w:val="Heading1"/>
      </w:pPr>
      <w:r>
        <w:rPr>
          <w:rFonts w:ascii="Arial" w:hAnsi="Arial"/>
          <w:b/>
          <w:color w:val="000000"/>
          <w:sz w:val="36"/>
        </w:rPr>
        <w:t>12 API và frontend</w:t>
      </w:r>
    </w:p>
    <w:p>
      <w:pPr>
        <w:pStyle w:val="Heading3"/>
      </w:pPr>
      <w:r>
        <w:rPr>
          <w:rFonts w:ascii="Arial" w:hAnsi="Arial"/>
          <w:b/>
          <w:color w:val="000000"/>
          <w:sz w:val="23"/>
        </w:rPr>
        <w:t>12 1 Hợp đồng API</w:t>
      </w:r>
    </w:p>
    <w:p>
      <w:pPr>
        <w:spacing w:line="264" w:lineRule="auto" w:after="120"/>
      </w:pPr>
      <w:r>
        <w:rPr>
          <w:rFonts w:ascii="Arial" w:hAnsi="Arial"/>
          <w:color w:val="000000"/>
          <w:sz w:val="21"/>
        </w:rPr>
        <w:t>Routes dùng tiền tố /api/v1, kebab-case, động từ nghiệp vụ cho command. OpenAPI là hợp đồng kiểm thử; response DTO tách theo vai trò. Không expose route đặt lịch. Auth có login, refresh, logout và logout-all.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91"/>
        <w:gridCol w:w="7030"/>
      </w:tblGrid>
      <w:tr>
        <w:trPr>
          <w:cantSplit/>
          <w:tblHeader/>
        </w:trPr>
        <w:tc>
          <w:tcPr>
            <w:tcW w:type="dxa" w:w="2891"/>
            <w:vAlign w:val="center"/>
            <w:shd w:fill="24445C"/>
          </w:tcPr>
          <w:p>
            <w:pPr>
              <w:spacing w:after="0" w:before="0" w:line="250" w:lineRule="auto"/>
            </w:pPr>
            <w:r>
              <w:rPr>
                <w:rFonts w:ascii="Arial" w:hAnsi="Arial"/>
                <w:b/>
                <w:color w:val="FFFFFF"/>
                <w:sz w:val="18"/>
              </w:rPr>
              <w:t>Route tiêu biểu</w:t>
            </w:r>
          </w:p>
        </w:tc>
        <w:tc>
          <w:tcPr>
            <w:tcW w:type="dxa" w:w="7030"/>
            <w:vAlign w:val="center"/>
            <w:shd w:fill="24445C"/>
          </w:tcPr>
          <w:p>
            <w:pPr>
              <w:spacing w:after="0" w:before="0" w:line="250" w:lineRule="auto"/>
            </w:pPr>
            <w:r>
              <w:rPr>
                <w:rFonts w:ascii="Arial" w:hAnsi="Arial"/>
                <w:b/>
                <w:color w:val="FFFFFF"/>
                <w:sz w:val="18"/>
              </w:rPr>
              <w:t>Use case và bảo vệ</w:t>
            </w:r>
          </w:p>
        </w:tc>
      </w:tr>
      <w:tr>
        <w:trPr>
          <w:cantSplit/>
        </w:trPr>
        <w:tc>
          <w:tcPr>
            <w:tcW w:type="dxa" w:w="2891"/>
            <w:vAlign w:val="center"/>
          </w:tcPr>
          <w:p>
            <w:pPr>
              <w:spacing w:after="0" w:before="0" w:line="250" w:lineRule="auto"/>
            </w:pPr>
            <w:r>
              <w:rPr>
                <w:rFonts w:ascii="Arial" w:hAnsi="Arial"/>
                <w:sz w:val="18"/>
              </w:rPr>
              <w:t>POST /patients và /patients/{id}/identifiers</w:t>
            </w:r>
          </w:p>
        </w:tc>
        <w:tc>
          <w:tcPr>
            <w:tcW w:type="dxa" w:w="7030"/>
            <w:vAlign w:val="center"/>
          </w:tcPr>
          <w:p>
            <w:pPr>
              <w:spacing w:after="0" w:before="0" w:line="250" w:lineRule="auto"/>
            </w:pPr>
            <w:r>
              <w:rPr>
                <w:rFonts w:ascii="Arial" w:hAnsi="Arial"/>
                <w:sz w:val="18"/>
              </w:rPr>
              <w:t>Tạo hành chính, kiểm tra định danh/cảnh báo trùng</w:t>
            </w:r>
          </w:p>
        </w:tc>
      </w:tr>
      <w:tr>
        <w:trPr>
          <w:cantSplit/>
        </w:trPr>
        <w:tc>
          <w:tcPr>
            <w:tcW w:type="dxa" w:w="2891"/>
            <w:vAlign w:val="center"/>
            <w:shd w:fill="F2F5F7"/>
          </w:tcPr>
          <w:p>
            <w:pPr>
              <w:spacing w:after="0" w:before="0" w:line="250" w:lineRule="auto"/>
            </w:pPr>
            <w:r>
              <w:rPr>
                <w:rFonts w:ascii="Arial" w:hAnsi="Arial"/>
                <w:sz w:val="18"/>
              </w:rPr>
              <w:t>POST /outpatient-encounters</w:t>
            </w:r>
          </w:p>
        </w:tc>
        <w:tc>
          <w:tcPr>
            <w:tcW w:type="dxa" w:w="7030"/>
            <w:vAlign w:val="center"/>
            <w:shd w:fill="F2F5F7"/>
          </w:tcPr>
          <w:p>
            <w:pPr>
              <w:spacing w:after="0" w:before="0" w:line="250" w:lineRule="auto"/>
            </w:pPr>
            <w:r>
              <w:rPr>
                <w:rFonts w:ascii="Arial" w:hAnsi="Arial"/>
                <w:sz w:val="18"/>
              </w:rPr>
              <w:t>Lấy số trực tiếp; Idempotency-Key</w:t>
            </w:r>
          </w:p>
        </w:tc>
      </w:tr>
      <w:tr>
        <w:trPr>
          <w:cantSplit/>
        </w:trPr>
        <w:tc>
          <w:tcPr>
            <w:tcW w:type="dxa" w:w="2891"/>
            <w:vAlign w:val="center"/>
          </w:tcPr>
          <w:p>
            <w:pPr>
              <w:spacing w:after="0" w:before="0" w:line="250" w:lineRule="auto"/>
            </w:pPr>
            <w:r>
              <w:rPr>
                <w:rFonts w:ascii="Arial" w:hAnsi="Arial"/>
                <w:sz w:val="18"/>
              </w:rPr>
              <w:t>POST /queues/{id}/call-next</w:t>
            </w:r>
          </w:p>
        </w:tc>
        <w:tc>
          <w:tcPr>
            <w:tcW w:type="dxa" w:w="7030"/>
            <w:vAlign w:val="center"/>
          </w:tcPr>
          <w:p>
            <w:pPr>
              <w:spacing w:after="0" w:before="0" w:line="250" w:lineRule="auto"/>
            </w:pPr>
            <w:r>
              <w:rPr>
                <w:rFonts w:ascii="Arial" w:hAnsi="Arial"/>
                <w:sz w:val="18"/>
              </w:rPr>
              <w:t>Claim một phiếu; quyền buổi, khóa Queue</w:t>
            </w:r>
          </w:p>
        </w:tc>
      </w:tr>
      <w:tr>
        <w:trPr>
          <w:cantSplit/>
        </w:trPr>
        <w:tc>
          <w:tcPr>
            <w:tcW w:type="dxa" w:w="2891"/>
            <w:vAlign w:val="center"/>
            <w:shd w:fill="F2F5F7"/>
          </w:tcPr>
          <w:p>
            <w:pPr>
              <w:spacing w:after="0" w:before="0" w:line="250" w:lineRule="auto"/>
            </w:pPr>
            <w:r>
              <w:rPr>
                <w:rFonts w:ascii="Arial" w:hAnsi="Arial"/>
                <w:sz w:val="18"/>
              </w:rPr>
              <w:t>POST /queue-tickets/{id}/recall hoặc /confirm-present</w:t>
            </w:r>
          </w:p>
        </w:tc>
        <w:tc>
          <w:tcPr>
            <w:tcW w:type="dxa" w:w="7030"/>
            <w:vAlign w:val="center"/>
            <w:shd w:fill="F2F5F7"/>
          </w:tcPr>
          <w:p>
            <w:pPr>
              <w:spacing w:after="0" w:before="0" w:line="250" w:lineRule="auto"/>
            </w:pPr>
            <w:r>
              <w:rPr>
                <w:rFonts w:ascii="Arial" w:hAnsi="Arial"/>
                <w:sz w:val="18"/>
              </w:rPr>
              <w:t>Lịch sử gọi, có mặt, RowVersion</w:t>
            </w:r>
          </w:p>
        </w:tc>
      </w:tr>
      <w:tr>
        <w:trPr>
          <w:cantSplit/>
        </w:trPr>
        <w:tc>
          <w:tcPr>
            <w:tcW w:type="dxa" w:w="2891"/>
            <w:vAlign w:val="center"/>
          </w:tcPr>
          <w:p>
            <w:pPr>
              <w:spacing w:after="0" w:before="0" w:line="250" w:lineRule="auto"/>
            </w:pPr>
            <w:r>
              <w:rPr>
                <w:rFonts w:ascii="Arial" w:hAnsi="Arial"/>
                <w:sz w:val="18"/>
              </w:rPr>
              <w:t>POST /service-orders/{id}/start hoặc /cancel</w:t>
            </w:r>
          </w:p>
        </w:tc>
        <w:tc>
          <w:tcPr>
            <w:tcW w:type="dxa" w:w="7030"/>
            <w:vAlign w:val="center"/>
          </w:tcPr>
          <w:p>
            <w:pPr>
              <w:spacing w:after="0" w:before="0" w:line="250" w:lineRule="auto"/>
            </w:pPr>
            <w:r>
              <w:rPr>
                <w:rFonts w:ascii="Arial" w:hAnsi="Arial"/>
                <w:sz w:val="18"/>
              </w:rPr>
              <w:t>Điều kiện thực hiện/tài chính và policy</w:t>
            </w:r>
          </w:p>
        </w:tc>
      </w:tr>
      <w:tr>
        <w:trPr>
          <w:cantSplit/>
        </w:trPr>
        <w:tc>
          <w:tcPr>
            <w:tcW w:type="dxa" w:w="2891"/>
            <w:vAlign w:val="center"/>
            <w:shd w:fill="F2F5F7"/>
          </w:tcPr>
          <w:p>
            <w:pPr>
              <w:spacing w:after="0" w:before="0" w:line="250" w:lineRule="auto"/>
            </w:pPr>
            <w:r>
              <w:rPr>
                <w:rFonts w:ascii="Arial" w:hAnsi="Arial"/>
                <w:sz w:val="18"/>
              </w:rPr>
              <w:t>POST /results/{id}/confirm hoặc /amend</w:t>
            </w:r>
          </w:p>
        </w:tc>
        <w:tc>
          <w:tcPr>
            <w:tcW w:type="dxa" w:w="7030"/>
            <w:vAlign w:val="center"/>
            <w:shd w:fill="F2F5F7"/>
          </w:tcPr>
          <w:p>
            <w:pPr>
              <w:spacing w:after="0" w:before="0" w:line="250" w:lineRule="auto"/>
            </w:pPr>
            <w:r>
              <w:rPr>
                <w:rFonts w:ascii="Arial" w:hAnsi="Arial"/>
                <w:sz w:val="18"/>
              </w:rPr>
              <w:t>Phiên bản kết quả, tệp, phân công</w:t>
            </w:r>
          </w:p>
        </w:tc>
      </w:tr>
      <w:tr>
        <w:trPr>
          <w:cantSplit/>
        </w:trPr>
        <w:tc>
          <w:tcPr>
            <w:tcW w:type="dxa" w:w="2891"/>
            <w:vAlign w:val="center"/>
          </w:tcPr>
          <w:p>
            <w:pPr>
              <w:spacing w:after="0" w:before="0" w:line="250" w:lineRule="auto"/>
            </w:pPr>
            <w:r>
              <w:rPr>
                <w:rFonts w:ascii="Arial" w:hAnsi="Arial"/>
                <w:sz w:val="18"/>
              </w:rPr>
              <w:t>POST /inpatient-encounters/{id}/assign-bed hoặc /transfer-bed</w:t>
            </w:r>
          </w:p>
        </w:tc>
        <w:tc>
          <w:tcPr>
            <w:tcW w:type="dxa" w:w="7030"/>
            <w:vAlign w:val="center"/>
          </w:tcPr>
          <w:p>
            <w:pPr>
              <w:spacing w:after="0" w:before="0" w:line="250" w:lineRule="auto"/>
            </w:pPr>
            <w:r>
              <w:rPr>
                <w:rFonts w:ascii="Arial" w:hAnsi="Arial"/>
                <w:sz w:val="18"/>
              </w:rPr>
              <w:t>Transaction đợt/giường, idempotency</w:t>
            </w:r>
          </w:p>
        </w:tc>
      </w:tr>
      <w:tr>
        <w:trPr>
          <w:cantSplit/>
        </w:trPr>
        <w:tc>
          <w:tcPr>
            <w:tcW w:type="dxa" w:w="2891"/>
            <w:vAlign w:val="center"/>
            <w:shd w:fill="F2F5F7"/>
          </w:tcPr>
          <w:p>
            <w:pPr>
              <w:spacing w:after="0" w:before="0" w:line="250" w:lineRule="auto"/>
            </w:pPr>
            <w:r>
              <w:rPr>
                <w:rFonts w:ascii="Arial" w:hAnsi="Arial"/>
                <w:sz w:val="18"/>
              </w:rPr>
              <w:t>POST /inpatient-encounters/{id}/discharge</w:t>
            </w:r>
          </w:p>
        </w:tc>
        <w:tc>
          <w:tcPr>
            <w:tcW w:type="dxa" w:w="7030"/>
            <w:vAlign w:val="center"/>
            <w:shd w:fill="F2F5F7"/>
          </w:tcPr>
          <w:p>
            <w:pPr>
              <w:spacing w:after="0" w:before="0" w:line="250" w:lineRule="auto"/>
            </w:pPr>
            <w:r>
              <w:rPr>
                <w:rFonts w:ascii="Arial" w:hAnsi="Arial"/>
                <w:sz w:val="18"/>
              </w:rPr>
              <w:t>Tổng kết, đóng assignment, giữ tài chính riêng</w:t>
            </w:r>
          </w:p>
        </w:tc>
      </w:tr>
      <w:tr>
        <w:trPr>
          <w:cantSplit/>
        </w:trPr>
        <w:tc>
          <w:tcPr>
            <w:tcW w:type="dxa" w:w="2891"/>
            <w:vAlign w:val="center"/>
          </w:tcPr>
          <w:p>
            <w:pPr>
              <w:spacing w:after="0" w:before="0" w:line="250" w:lineRule="auto"/>
            </w:pPr>
            <w:r>
              <w:rPr>
                <w:rFonts w:ascii="Arial" w:hAnsi="Arial"/>
                <w:sz w:val="18"/>
              </w:rPr>
              <w:t>POST /invoices/{id}/record-payment hoặc /settle</w:t>
            </w:r>
          </w:p>
        </w:tc>
        <w:tc>
          <w:tcPr>
            <w:tcW w:type="dxa" w:w="7030"/>
            <w:vAlign w:val="center"/>
          </w:tcPr>
          <w:p>
            <w:pPr>
              <w:spacing w:after="0" w:before="0" w:line="250" w:lineRule="auto"/>
            </w:pPr>
            <w:r>
              <w:rPr>
                <w:rFonts w:ascii="Arial" w:hAnsi="Arial"/>
                <w:sz w:val="18"/>
              </w:rPr>
              <w:t>Quyền thu/chốt, idempotency, lịch sử</w:t>
            </w:r>
          </w:p>
        </w:tc>
      </w:tr>
      <w:tr>
        <w:trPr>
          <w:cantSplit/>
        </w:trPr>
        <w:tc>
          <w:tcPr>
            <w:tcW w:type="dxa" w:w="2891"/>
            <w:vAlign w:val="center"/>
            <w:shd w:fill="F2F5F7"/>
          </w:tcPr>
          <w:p>
            <w:pPr>
              <w:spacing w:after="0" w:before="0" w:line="250" w:lineRule="auto"/>
            </w:pPr>
            <w:r>
              <w:rPr>
                <w:rFonts w:ascii="Arial" w:hAnsi="Arial"/>
                <w:sz w:val="18"/>
              </w:rPr>
              <w:t>POST /prescriptions/{id}/dispense</w:t>
            </w:r>
          </w:p>
        </w:tc>
        <w:tc>
          <w:tcPr>
            <w:tcW w:type="dxa" w:w="7030"/>
            <w:vAlign w:val="center"/>
            <w:shd w:fill="F2F5F7"/>
          </w:tcPr>
          <w:p>
            <w:pPr>
              <w:spacing w:after="0" w:before="0" w:line="250" w:lineRule="auto"/>
            </w:pPr>
            <w:r>
              <w:rPr>
                <w:rFonts w:ascii="Arial" w:hAnsi="Arial"/>
                <w:sz w:val="18"/>
              </w:rPr>
              <w:t>Giới hạn số lượng còn lại, chống lặp</w:t>
            </w:r>
          </w:p>
        </w:tc>
      </w:tr>
      <w:tr>
        <w:trPr>
          <w:cantSplit/>
        </w:trPr>
        <w:tc>
          <w:tcPr>
            <w:tcW w:type="dxa" w:w="2891"/>
            <w:vAlign w:val="center"/>
          </w:tcPr>
          <w:p>
            <w:pPr>
              <w:spacing w:after="0" w:before="0" w:line="250" w:lineRule="auto"/>
            </w:pPr>
            <w:r>
              <w:rPr>
                <w:rFonts w:ascii="Arial" w:hAnsi="Arial"/>
                <w:sz w:val="18"/>
              </w:rPr>
              <w:t>POST /documents/upload-sessions</w:t>
            </w:r>
          </w:p>
        </w:tc>
        <w:tc>
          <w:tcPr>
            <w:tcW w:type="dxa" w:w="7030"/>
            <w:vAlign w:val="center"/>
          </w:tcPr>
          <w:p>
            <w:pPr>
              <w:spacing w:after="0" w:before="0" w:line="250" w:lineRule="auto"/>
            </w:pPr>
            <w:r>
              <w:rPr>
                <w:rFonts w:ascii="Arial" w:hAnsi="Arial"/>
                <w:sz w:val="18"/>
              </w:rPr>
              <w:t>Kiểm tra quyền và tạo session</w:t>
            </w:r>
          </w:p>
        </w:tc>
      </w:tr>
      <w:tr>
        <w:trPr>
          <w:cantSplit/>
        </w:trPr>
        <w:tc>
          <w:tcPr>
            <w:tcW w:type="dxa" w:w="2891"/>
            <w:vAlign w:val="center"/>
            <w:shd w:fill="F2F5F7"/>
          </w:tcPr>
          <w:p>
            <w:pPr>
              <w:spacing w:after="0" w:before="0" w:line="250" w:lineRule="auto"/>
            </w:pPr>
            <w:r>
              <w:rPr>
                <w:rFonts w:ascii="Arial" w:hAnsi="Arial"/>
                <w:sz w:val="18"/>
              </w:rPr>
              <w:t>PUT /upload-sessions/{id}/content</w:t>
            </w:r>
          </w:p>
        </w:tc>
        <w:tc>
          <w:tcPr>
            <w:tcW w:type="dxa" w:w="7030"/>
            <w:vAlign w:val="center"/>
            <w:shd w:fill="F2F5F7"/>
          </w:tcPr>
          <w:p>
            <w:pPr>
              <w:spacing w:after="0" w:before="0" w:line="250" w:lineRule="auto"/>
            </w:pPr>
            <w:r>
              <w:rPr>
                <w:rFonts w:ascii="Arial" w:hAnsi="Arial"/>
                <w:sz w:val="18"/>
              </w:rPr>
              <w:t>Upload qua API vào quarantine</w:t>
            </w:r>
          </w:p>
        </w:tc>
      </w:tr>
      <w:tr>
        <w:trPr>
          <w:cantSplit/>
        </w:trPr>
        <w:tc>
          <w:tcPr>
            <w:tcW w:type="dxa" w:w="2891"/>
            <w:vAlign w:val="center"/>
          </w:tcPr>
          <w:p>
            <w:pPr>
              <w:spacing w:after="0" w:before="0" w:line="250" w:lineRule="auto"/>
            </w:pPr>
            <w:r>
              <w:rPr>
                <w:rFonts w:ascii="Arial" w:hAnsi="Arial"/>
                <w:sz w:val="18"/>
              </w:rPr>
              <w:t>GET /documents/{id}/content</w:t>
            </w:r>
          </w:p>
        </w:tc>
        <w:tc>
          <w:tcPr>
            <w:tcW w:type="dxa" w:w="7030"/>
            <w:vAlign w:val="center"/>
          </w:tcPr>
          <w:p>
            <w:pPr>
              <w:spacing w:after="0" w:before="0" w:line="250" w:lineRule="auto"/>
            </w:pPr>
            <w:r>
              <w:rPr>
                <w:rFonts w:ascii="Arial" w:hAnsi="Arial"/>
                <w:sz w:val="18"/>
              </w:rPr>
              <w:t>Kiểm tra lại quyền, audit, stream</w:t>
            </w:r>
          </w:p>
        </w:tc>
      </w:tr>
    </w:tbl>
    <w:p>
      <w:pPr>
        <w:spacing w:after="0" w:before="0" w:line="264" w:lineRule="auto"/>
      </w:pPr>
      <w:r>
        <w:rPr>
          <w:rFonts w:ascii="Arial" w:hAnsi="Arial"/>
          <w:color w:val="000000"/>
          <w:sz w:val="6"/>
        </w:rPr>
      </w:r>
    </w:p>
    <w:p>
      <w:pPr>
        <w:pStyle w:val="Heading3"/>
      </w:pPr>
      <w:r>
        <w:rPr>
          <w:rFonts w:ascii="Arial" w:hAnsi="Arial"/>
          <w:b/>
          <w:color w:val="000000"/>
          <w:sz w:val="23"/>
        </w:rPr>
        <w:t>12 2 Lỗi và phân trang</w:t>
      </w:r>
    </w:p>
    <w:p>
      <w:pPr>
        <w:spacing w:line="264" w:lineRule="auto" w:after="120"/>
      </w:pPr>
      <w:r>
        <w:rPr>
          <w:rFonts w:ascii="Arial" w:hAnsi="Arial"/>
          <w:color w:val="000000"/>
          <w:sz w:val="21"/>
        </w:rPr>
        <w:t>Problem Details theo RFC 9457, gồm status, title, code, traceId và errors cho validation. 400 dữ liệu sai; 401 chưa/không còn đăng nhập; 403 thiếu quyền hành động; 404 cho tài nguyên không tồn tại hoặc được che để tránh dò ID; 409 tranh chấp nghiệp vụ/idempotency; 412 version cũ; 413 quá dung lượng; 415 loại tệp không hỗ trợ; 429 vượt hạn; 503 phụ thuộc tạm lỗi. Không trả stack trace hoặc SQL ra client.</w:t>
      </w:r>
    </w:p>
    <w:p>
      <w:pPr>
        <w:spacing w:line="264" w:lineRule="auto" w:after="120"/>
      </w:pPr>
      <w:r>
        <w:rPr>
          <w:rFonts w:ascii="Arial" w:hAnsi="Arial"/>
          <w:color w:val="000000"/>
          <w:sz w:val="21"/>
        </w:rPr>
        <w:t>PagedQuery dùng pageNumber&gt;=1, pageSize 1..100, searchTerm; ORDER BY có Id làm khóa phân xử. Không bắt buộc COUNT OVER cho mọi query. Nếu cần tổng và trang cùng snapshot, dùng hai SELECT trong cùng transaction REPEATABLE READ READ ONLY và có thể cùng round trip; trang rỗng vẫn trả tổng. Query đều lọc quyền trước count; màn hình hàng chờ có thể dùng cursor/version, không bắt buộc tổng.</w:t>
      </w:r>
    </w:p>
    <w:p>
      <w:pPr>
        <w:pStyle w:val="Heading3"/>
      </w:pPr>
      <w:r>
        <w:rPr>
          <w:rFonts w:ascii="Arial" w:hAnsi="Arial"/>
          <w:b/>
          <w:color w:val="000000"/>
          <w:sz w:val="23"/>
        </w:rPr>
        <w:t>12 3 Trạng thái giao diện</w:t>
      </w:r>
    </w:p>
    <w:p>
      <w:pPr>
        <w:spacing w:line="264" w:lineRule="auto" w:after="120"/>
      </w:pPr>
      <w:r>
        <w:rPr>
          <w:rFonts w:ascii="Arial" w:hAnsi="Arial"/>
          <w:color w:val="000000"/>
          <w:sz w:val="21"/>
        </w:rPr>
        <w:t>Giữ feature folder hiện có; dùng alias cấu hình bundler thay vì coi NODE_PATH là chuẩn mọi môi trường. Không tự động retry command không có idempotency. Hiển thị trạng thái chuyên môn/tài chính/kết quả/tệp riêng; 412 yêu cầu nạp lại và đối chiếu. Không lưu bệnh án vào cache trình duyệt bền vững; đăng xuất xóa state/query cache và cookie theo server.</w:t>
      </w:r>
    </w:p>
    <w:p>
      <w:pPr>
        <w:spacing w:line="264" w:lineRule="auto" w:after="120"/>
      </w:pPr>
      <w:r>
        <w:rPr>
          <w:rFonts w:ascii="Arial" w:hAnsi="Arial"/>
          <w:color w:val="000000"/>
          <w:sz w:val="21"/>
        </w:rPr>
        <w:br w:type="page"/>
      </w:r>
    </w:p>
    <w:p>
      <w:pPr>
        <w:pStyle w:val="Heading1"/>
      </w:pPr>
      <w:r>
        <w:rPr>
          <w:rFonts w:ascii="Arial" w:hAnsi="Arial"/>
          <w:b/>
          <w:color w:val="000000"/>
          <w:sz w:val="36"/>
        </w:rPr>
        <w:t>13 Bảo mật và vận hành</w:t>
      </w:r>
    </w:p>
    <w:p>
      <w:pPr>
        <w:pStyle w:val="Heading3"/>
      </w:pPr>
      <w:r>
        <w:rPr>
          <w:rFonts w:ascii="Arial" w:hAnsi="Arial"/>
          <w:b/>
          <w:color w:val="000000"/>
          <w:sz w:val="23"/>
        </w:rPr>
        <w:t>13 1 Baseline bảo mật</w:t>
      </w:r>
    </w:p>
    <w:p>
      <w:pPr>
        <w:spacing w:line="264" w:lineRule="auto" w:after="120"/>
      </w:pPr>
      <w:r>
        <w:rPr>
          <w:rFonts w:ascii="Arial" w:hAnsi="Arial"/>
          <w:color w:val="000000"/>
          <w:sz w:val="21"/>
        </w:rPr>
        <w:t>HTTPS toàn luồng; secret không commit; User Secrets chỉ cho dev, production dùng secret store hoặc biến môi trường được bảo vệ. API không tin BranchId để tự cấp quyền. Parameterize Dapper, allowlist sort, không bind entity trực tiếp. CSP, output encoding, sanitize nội dung được phép và không dùng dangerouslySetInnerHTML cho dữ liệu chưa xử lý.</w:t>
      </w:r>
    </w:p>
    <w:p>
      <w:pPr>
        <w:spacing w:line="264" w:lineRule="auto" w:after="120"/>
      </w:pPr>
      <w:r>
        <w:rPr>
          <w:rFonts w:ascii="Arial" w:hAnsi="Arial"/>
          <w:color w:val="000000"/>
          <w:sz w:val="21"/>
        </w:rPr>
        <w:t>PostgreSQL bản community không có TDE: mã hóa at rest ở tầng đĩa/volume hoặc qua dịch vụ managed theo chính sách hạ tầng; base backup, WAL archive và khóa giải mã phải được mã hóa và phục hồi thử cùng dữ liệu. Kết nối cơ sở dữ liệu bắt buộc TLS (sslmode=verify-full ở production). Cloud mã hóa at rest và TLS; không coi mã hóa thay thế quyền truy cập. WAF được cấu hình theo môi trường công khai và ngân sách, không bảo đảm phát hiện mọi XSS/SQLi. Quét dependency, secret và file trước dùng dữ liệu thật.</w:t>
      </w:r>
    </w:p>
    <w:p>
      <w:pPr>
        <w:pStyle w:val="Heading3"/>
      </w:pPr>
      <w:r>
        <w:rPr>
          <w:rFonts w:ascii="Arial" w:hAnsi="Arial"/>
          <w:b/>
          <w:color w:val="000000"/>
          <w:sz w:val="23"/>
        </w:rPr>
        <w:t>13 2 Mất kết nối và sức khỏe hệ thống</w:t>
      </w:r>
    </w:p>
    <w:p>
      <w:pPr>
        <w:spacing w:line="264" w:lineRule="auto" w:after="120"/>
      </w:pPr>
      <w:r>
        <w:rPr>
          <w:rFonts w:ascii="Arial" w:hAnsi="Arial"/>
          <w:color w:val="000000"/>
          <w:sz w:val="21"/>
        </w:rPr>
        <w:t>Health check tách liveness, readiness PostgreSQL và tình trạng phụ thuộc cloud/scanner. Cloud lỗi có thể làm upload/download 503 nhưng không bắt buộc dừng tiếp nhận nếu API/PostgreSQL còn hoạt động; kết quả cần tệp bắt buộc vẫn không được xác nhận. Nếu API/PostgreSQL ở cloud, mất Internet phía bệnh viện làm gián đoạn toàn hệ thống. Không triển khai offline ghi bệnh án vào browser trong MVP.</w:t>
      </w:r>
    </w:p>
    <w:p>
      <w:pPr>
        <w:spacing w:line="264" w:lineRule="auto" w:after="120"/>
      </w:pPr>
      <w:r>
        <w:rPr>
          <w:rFonts w:ascii="Arial" w:hAnsi="Arial"/>
          <w:color w:val="000000"/>
          <w:sz w:val="21"/>
        </w:rPr>
        <w:t>Nếu chọn API/PostgreSQL tại bệnh viện, lưu tạm file trên máy chủ chỉ khi có thiết kế riêng: mã hóa, quota, quyền thư mục, TTL và sync; chưa tự bật trong baseline. Cấu hình triển khai phải thể hiện kết nối cần thiết đến cloud và hành vi khi mất đường truyền.</w:t>
      </w:r>
    </w:p>
    <w:p>
      <w:pPr>
        <w:pStyle w:val="Heading3"/>
      </w:pPr>
      <w:r>
        <w:rPr>
          <w:rFonts w:ascii="Arial" w:hAnsi="Arial"/>
          <w:b/>
          <w:color w:val="000000"/>
          <w:sz w:val="23"/>
        </w:rPr>
        <w:t>13 3 Backup và khôi phục</w:t>
      </w:r>
    </w:p>
    <w:p>
      <w:pPr>
        <w:spacing w:line="264" w:lineRule="auto" w:after="120"/>
      </w:pPr>
      <w:r>
        <w:rPr>
          <w:rFonts w:ascii="Arial" w:hAnsi="Arial"/>
          <w:color w:val="000000"/>
          <w:sz w:val="21"/>
        </w:rPr>
        <w:t>Mục tiêu ban đầu RPO PostgreSQL tối đa 15 phút; dùng base backup định kỳ cùng WAL archiving liên tục (archive_mode=on, archive_timeout không vượt mục tiêu RPO) cho phép khôi phục theo thời điểm (PITR), có giám sát độ trễ đẩy WAL đến kho lưu an toàn; có thể dùng công cụ như pgBackRest hoặc Barman. WAL archiving không tự bảo đảm RPO nếu việc đẩy WAL thất bại. [S10] RTO mục tiêu ban đầu 4 giờ cho diễn tập, phải được OPEN-05 duyệt và đo; không phải SLA đã đạt.</w:t>
      </w:r>
    </w:p>
    <w:p>
      <w:pPr>
        <w:spacing w:line="264" w:lineRule="auto" w:after="120"/>
      </w:pPr>
      <w:r>
        <w:rPr>
          <w:rFonts w:ascii="Arial" w:hAnsi="Arial"/>
          <w:color w:val="000000"/>
          <w:sz w:val="21"/>
        </w:rPr>
        <w:t>Kế hoạch tệp phải bảo vệ mọi phiên bản được PostgreSQL tham chiếu tại mốc khôi phục, gồm metadata, object version và khóa. Chốt RPO tệp theo khả năng backup/replication và ngân sách của nhà cung cấp; chưa nhận là bằng RPO PostgreSQL. Diễn tập restore có manifest kiểm tra tệp thiếu, checksum, quyền truy cập và cảnh báo integrity.</w:t>
      </w:r>
    </w:p>
    <w:p>
      <w:pPr>
        <w:pStyle w:val="Heading3"/>
      </w:pPr>
      <w:r>
        <w:rPr>
          <w:rFonts w:ascii="Arial" w:hAnsi="Arial"/>
          <w:b/>
          <w:color w:val="000000"/>
          <w:sz w:val="23"/>
        </w:rPr>
        <w:t>13 4 Phát hành và quan sát</w:t>
      </w:r>
    </w:p>
    <w:p>
      <w:pPr>
        <w:spacing w:line="264" w:lineRule="auto" w:after="120"/>
      </w:pPr>
      <w:r>
        <w:rPr>
          <w:rFonts w:ascii="Arial" w:hAnsi="Arial"/>
          <w:color w:val="000000"/>
          <w:sz w:val="21"/>
        </w:rPr>
        <w:t>Build một artifact qua các môi trường; migration bằng tài khoản/tác vụ riêng, ứng dụng không tự sửa schema khi khởi động. Expand/contract cho thay đổi schema; diễn tập migration trên bản sao đã khử định danh. Kiểm tra tương thích API/FE và rollback ứng dụng trước go-live.</w:t>
      </w:r>
    </w:p>
    <w:p>
      <w:pPr>
        <w:spacing w:line="264" w:lineRule="auto" w:after="120"/>
      </w:pPr>
      <w:r>
        <w:rPr>
          <w:rFonts w:ascii="Arial" w:hAnsi="Arial"/>
          <w:color w:val="000000"/>
          <w:sz w:val="21"/>
        </w:rPr>
        <w:t>Structured logs và trace chứa correlation, không PHI/token. Theo dõi p95/p99, lỗi, lock/deadlock, hàng chờ, scanner backlog, Outbox age, upload lỗi, object thiếu và backup age. Cảnh báo phải có chủ sở hữu/runbook. Redis chỉ bổ sung khi có nhu cầu cache/rate limit phân tán thực tế; đổi IDistributedCache không tự đổi RateLimiter thành bộ đếm phân tán.</w:t>
      </w:r>
    </w:p>
    <w:p>
      <w:pPr>
        <w:spacing w:line="264" w:lineRule="auto" w:after="120"/>
      </w:pPr>
      <w:r>
        <w:rPr>
          <w:rFonts w:ascii="Arial" w:hAnsi="Arial"/>
          <w:color w:val="000000"/>
          <w:sz w:val="21"/>
        </w:rPr>
        <w:br w:type="page"/>
      </w:r>
    </w:p>
    <w:p>
      <w:pPr>
        <w:pStyle w:val="Heading1"/>
      </w:pPr>
      <w:r>
        <w:rPr>
          <w:rFonts w:ascii="Arial" w:hAnsi="Arial"/>
          <w:b/>
          <w:color w:val="000000"/>
          <w:sz w:val="36"/>
        </w:rPr>
        <w:t>14 Kiểm thử và truy vết yêu cầu</w:t>
      </w:r>
    </w:p>
    <w:p>
      <w:pPr>
        <w:pStyle w:val="Heading3"/>
      </w:pPr>
      <w:r>
        <w:rPr>
          <w:rFonts w:ascii="Arial" w:hAnsi="Arial"/>
          <w:b/>
          <w:color w:val="000000"/>
          <w:sz w:val="23"/>
        </w:rPr>
        <w:t>14 1 Kiểm thử nền tảng</w:t>
      </w:r>
    </w:p>
    <w:p>
      <w:pPr>
        <w:spacing w:line="264" w:lineRule="auto" w:after="120"/>
      </w:pPr>
      <w:r>
        <w:rPr>
          <w:rFonts w:ascii="Arial" w:hAnsi="Arial"/>
          <w:color w:val="000000"/>
          <w:sz w:val="21"/>
        </w:rPr>
        <w:t>Unit test quy tắc chuyển trạng thái, tính tiền, quyền và thời hạn. Integration test trên PostgreSQL thật (Testcontainers) để kiểm tra partial unique index, concurrency token xmin, isolation, khóa hàng, FK, tranh chấp và rollback. Không dùng EF InMemory hoặc SQLite làm bằng chứng các đặc tính PostgreSQL. Storage test dùng môi trường riêng của adapter, dữ liệu giả và không chia sẻ bucket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75"/>
        <w:gridCol w:w="4365"/>
      </w:tblGrid>
      <w:tr>
        <w:trPr>
          <w:cantSplit/>
          <w:tblHeader/>
        </w:trPr>
        <w:tc>
          <w:tcPr>
            <w:tcW w:type="dxa" w:w="2381"/>
            <w:vAlign w:val="center"/>
            <w:shd w:fill="24445C"/>
          </w:tcPr>
          <w:p>
            <w:pPr>
              <w:spacing w:after="0" w:before="0" w:line="250" w:lineRule="auto"/>
            </w:pPr>
            <w:r>
              <w:rPr>
                <w:rFonts w:ascii="Arial" w:hAnsi="Arial"/>
                <w:b/>
                <w:color w:val="FFFFFF"/>
                <w:sz w:val="18"/>
              </w:rPr>
              <w:t>Nhóm kỹ thuật</w:t>
            </w:r>
          </w:p>
        </w:tc>
        <w:tc>
          <w:tcPr>
            <w:tcW w:type="dxa" w:w="3175"/>
            <w:vAlign w:val="center"/>
            <w:shd w:fill="24445C"/>
          </w:tcPr>
          <w:p>
            <w:pPr>
              <w:spacing w:after="0" w:before="0" w:line="250" w:lineRule="auto"/>
            </w:pPr>
            <w:r>
              <w:rPr>
                <w:rFonts w:ascii="Arial" w:hAnsi="Arial"/>
                <w:b/>
                <w:color w:val="FFFFFF"/>
                <w:sz w:val="18"/>
              </w:rPr>
              <w:t>Yêu cầu nghiệp vụ</w:t>
            </w:r>
          </w:p>
        </w:tc>
        <w:tc>
          <w:tcPr>
            <w:tcW w:type="dxa" w:w="4365"/>
            <w:vAlign w:val="center"/>
            <w:shd w:fill="24445C"/>
          </w:tcPr>
          <w:p>
            <w:pPr>
              <w:spacing w:after="0" w:before="0" w:line="250" w:lineRule="auto"/>
            </w:pPr>
            <w:r>
              <w:rPr>
                <w:rFonts w:ascii="Arial" w:hAnsi="Arial"/>
                <w:b/>
                <w:color w:val="FFFFFF"/>
                <w:sz w:val="18"/>
              </w:rPr>
              <w:t>Kiểm thử nghiệm thu</w:t>
            </w:r>
          </w:p>
        </w:tc>
      </w:tr>
      <w:tr>
        <w:trPr>
          <w:cantSplit/>
        </w:trPr>
        <w:tc>
          <w:tcPr>
            <w:tcW w:type="dxa" w:w="2381"/>
            <w:vAlign w:val="center"/>
          </w:tcPr>
          <w:p>
            <w:pPr>
              <w:spacing w:after="0" w:before="0" w:line="250" w:lineRule="auto"/>
            </w:pPr>
            <w:r>
              <w:rPr>
                <w:rFonts w:ascii="Arial" w:hAnsi="Arial"/>
                <w:sz w:val="18"/>
              </w:rPr>
              <w:t>Scope và tổ chức</w:t>
            </w:r>
          </w:p>
        </w:tc>
        <w:tc>
          <w:tcPr>
            <w:tcW w:type="dxa" w:w="3175"/>
            <w:vAlign w:val="center"/>
          </w:tcPr>
          <w:p>
            <w:pPr>
              <w:spacing w:after="0" w:before="0" w:line="250" w:lineRule="auto"/>
            </w:pPr>
            <w:r>
              <w:rPr>
                <w:rFonts w:ascii="Arial" w:hAnsi="Arial"/>
                <w:sz w:val="18"/>
              </w:rPr>
              <w:t>NV-01..02</w:t>
            </w:r>
          </w:p>
        </w:tc>
        <w:tc>
          <w:tcPr>
            <w:tcW w:type="dxa" w:w="4365"/>
            <w:vAlign w:val="center"/>
          </w:tcPr>
          <w:p>
            <w:pPr>
              <w:spacing w:after="0" w:before="0" w:line="250" w:lineRule="auto"/>
            </w:pPr>
            <w:r>
              <w:rPr>
                <w:rFonts w:ascii="Arial" w:hAnsi="Arial"/>
                <w:sz w:val="18"/>
              </w:rPr>
              <w:t>Không tồn tại chức năng đặt lịch; tách cơ sở đúng</w:t>
            </w:r>
          </w:p>
        </w:tc>
      </w:tr>
      <w:tr>
        <w:trPr>
          <w:cantSplit/>
        </w:trPr>
        <w:tc>
          <w:tcPr>
            <w:tcW w:type="dxa" w:w="2381"/>
            <w:vAlign w:val="center"/>
            <w:shd w:fill="F2F5F7"/>
          </w:tcPr>
          <w:p>
            <w:pPr>
              <w:spacing w:after="0" w:before="0" w:line="250" w:lineRule="auto"/>
            </w:pPr>
            <w:r>
              <w:rPr>
                <w:rFonts w:ascii="Arial" w:hAnsi="Arial"/>
                <w:sz w:val="18"/>
              </w:rPr>
              <w:t>Identity và audit</w:t>
            </w:r>
          </w:p>
        </w:tc>
        <w:tc>
          <w:tcPr>
            <w:tcW w:type="dxa" w:w="3175"/>
            <w:vAlign w:val="center"/>
            <w:shd w:fill="F2F5F7"/>
          </w:tcPr>
          <w:p>
            <w:pPr>
              <w:spacing w:after="0" w:before="0" w:line="250" w:lineRule="auto"/>
            </w:pPr>
            <w:r>
              <w:rPr>
                <w:rFonts w:ascii="Arial" w:hAnsi="Arial"/>
                <w:sz w:val="18"/>
              </w:rPr>
              <w:t>NV-03..05</w:t>
            </w:r>
          </w:p>
        </w:tc>
        <w:tc>
          <w:tcPr>
            <w:tcW w:type="dxa" w:w="4365"/>
            <w:vAlign w:val="center"/>
            <w:shd w:fill="F2F5F7"/>
          </w:tcPr>
          <w:p>
            <w:pPr>
              <w:spacing w:after="0" w:before="0" w:line="250" w:lineRule="auto"/>
            </w:pPr>
            <w:r>
              <w:rPr>
                <w:rFonts w:ascii="Arial" w:hAnsi="Arial"/>
                <w:sz w:val="18"/>
              </w:rPr>
              <w:t>AT-09, AT-10, AT-17; kiểm tra danh sách/export/Dapper</w:t>
            </w:r>
          </w:p>
        </w:tc>
      </w:tr>
      <w:tr>
        <w:trPr>
          <w:cantSplit/>
        </w:trPr>
        <w:tc>
          <w:tcPr>
            <w:tcW w:type="dxa" w:w="2381"/>
            <w:vAlign w:val="center"/>
          </w:tcPr>
          <w:p>
            <w:pPr>
              <w:spacing w:after="0" w:before="0" w:line="250" w:lineRule="auto"/>
            </w:pPr>
            <w:r>
              <w:rPr>
                <w:rFonts w:ascii="Arial" w:hAnsi="Arial"/>
                <w:sz w:val="18"/>
              </w:rPr>
              <w:t>Patient và Reception</w:t>
            </w:r>
          </w:p>
        </w:tc>
        <w:tc>
          <w:tcPr>
            <w:tcW w:type="dxa" w:w="3175"/>
            <w:vAlign w:val="center"/>
          </w:tcPr>
          <w:p>
            <w:pPr>
              <w:spacing w:after="0" w:before="0" w:line="250" w:lineRule="auto"/>
            </w:pPr>
            <w:r>
              <w:rPr>
                <w:rFonts w:ascii="Arial" w:hAnsi="Arial"/>
                <w:sz w:val="18"/>
              </w:rPr>
              <w:t>NV-06..09</w:t>
            </w:r>
          </w:p>
        </w:tc>
        <w:tc>
          <w:tcPr>
            <w:tcW w:type="dxa" w:w="4365"/>
            <w:vAlign w:val="center"/>
          </w:tcPr>
          <w:p>
            <w:pPr>
              <w:spacing w:after="0" w:before="0" w:line="250" w:lineRule="auto"/>
            </w:pPr>
            <w:r>
              <w:rPr>
                <w:rFonts w:ascii="Arial" w:hAnsi="Arial"/>
                <w:sz w:val="18"/>
              </w:rPr>
              <w:t>AT-01, AT-02; FK định danh và idempotency</w:t>
            </w:r>
          </w:p>
        </w:tc>
      </w:tr>
      <w:tr>
        <w:trPr>
          <w:cantSplit/>
        </w:trPr>
        <w:tc>
          <w:tcPr>
            <w:tcW w:type="dxa" w:w="2381"/>
            <w:vAlign w:val="center"/>
            <w:shd w:fill="F2F5F7"/>
          </w:tcPr>
          <w:p>
            <w:pPr>
              <w:spacing w:after="0" w:before="0" w:line="250" w:lineRule="auto"/>
            </w:pPr>
            <w:r>
              <w:rPr>
                <w:rFonts w:ascii="Arial" w:hAnsi="Arial"/>
                <w:sz w:val="18"/>
              </w:rPr>
              <w:t>Queue</w:t>
            </w:r>
          </w:p>
        </w:tc>
        <w:tc>
          <w:tcPr>
            <w:tcW w:type="dxa" w:w="3175"/>
            <w:vAlign w:val="center"/>
            <w:shd w:fill="F2F5F7"/>
          </w:tcPr>
          <w:p>
            <w:pPr>
              <w:spacing w:after="0" w:before="0" w:line="250" w:lineRule="auto"/>
            </w:pPr>
            <w:r>
              <w:rPr>
                <w:rFonts w:ascii="Arial" w:hAnsi="Arial"/>
                <w:sz w:val="18"/>
              </w:rPr>
              <w:t>NV-10..12</w:t>
            </w:r>
          </w:p>
        </w:tc>
        <w:tc>
          <w:tcPr>
            <w:tcW w:type="dxa" w:w="4365"/>
            <w:vAlign w:val="center"/>
            <w:shd w:fill="F2F5F7"/>
          </w:tcPr>
          <w:p>
            <w:pPr>
              <w:spacing w:after="0" w:before="0" w:line="250" w:lineRule="auto"/>
            </w:pPr>
            <w:r>
              <w:rPr>
                <w:rFonts w:ascii="Arial" w:hAnsi="Arial"/>
                <w:sz w:val="18"/>
              </w:rPr>
              <w:t>AT-03..05; ba lần gọi và đóng buổi</w:t>
            </w:r>
          </w:p>
        </w:tc>
      </w:tr>
      <w:tr>
        <w:trPr>
          <w:cantSplit/>
        </w:trPr>
        <w:tc>
          <w:tcPr>
            <w:tcW w:type="dxa" w:w="2381"/>
            <w:vAlign w:val="center"/>
          </w:tcPr>
          <w:p>
            <w:pPr>
              <w:spacing w:after="0" w:before="0" w:line="250" w:lineRule="auto"/>
            </w:pPr>
            <w:r>
              <w:rPr>
                <w:rFonts w:ascii="Arial" w:hAnsi="Arial"/>
                <w:sz w:val="18"/>
              </w:rPr>
              <w:t>Clinical</w:t>
            </w:r>
          </w:p>
        </w:tc>
        <w:tc>
          <w:tcPr>
            <w:tcW w:type="dxa" w:w="3175"/>
            <w:vAlign w:val="center"/>
          </w:tcPr>
          <w:p>
            <w:pPr>
              <w:spacing w:after="0" w:before="0" w:line="250" w:lineRule="auto"/>
            </w:pPr>
            <w:r>
              <w:rPr>
                <w:rFonts w:ascii="Arial" w:hAnsi="Arial"/>
                <w:sz w:val="18"/>
              </w:rPr>
              <w:t>NV-13..21</w:t>
            </w:r>
          </w:p>
        </w:tc>
        <w:tc>
          <w:tcPr>
            <w:tcW w:type="dxa" w:w="4365"/>
            <w:vAlign w:val="center"/>
          </w:tcPr>
          <w:p>
            <w:pPr>
              <w:spacing w:after="0" w:before="0" w:line="250" w:lineRule="auto"/>
            </w:pPr>
            <w:r>
              <w:rPr>
                <w:rFonts w:ascii="Arial" w:hAnsi="Arial"/>
                <w:sz w:val="18"/>
              </w:rPr>
              <w:t>AT-06..08; tệp bắt buộc, bản sửa, kết quả một phần</w:t>
            </w:r>
          </w:p>
        </w:tc>
      </w:tr>
      <w:tr>
        <w:trPr>
          <w:cantSplit/>
        </w:trPr>
        <w:tc>
          <w:tcPr>
            <w:tcW w:type="dxa" w:w="2381"/>
            <w:vAlign w:val="center"/>
            <w:shd w:fill="F2F5F7"/>
          </w:tcPr>
          <w:p>
            <w:pPr>
              <w:spacing w:after="0" w:before="0" w:line="250" w:lineRule="auto"/>
            </w:pPr>
            <w:r>
              <w:rPr>
                <w:rFonts w:ascii="Arial" w:hAnsi="Arial"/>
                <w:sz w:val="18"/>
              </w:rPr>
              <w:t>Prescription và Care</w:t>
            </w:r>
          </w:p>
        </w:tc>
        <w:tc>
          <w:tcPr>
            <w:tcW w:type="dxa" w:w="3175"/>
            <w:vAlign w:val="center"/>
            <w:shd w:fill="F2F5F7"/>
          </w:tcPr>
          <w:p>
            <w:pPr>
              <w:spacing w:after="0" w:before="0" w:line="250" w:lineRule="auto"/>
            </w:pPr>
            <w:r>
              <w:rPr>
                <w:rFonts w:ascii="Arial" w:hAnsi="Arial"/>
                <w:sz w:val="18"/>
              </w:rPr>
              <w:t>NV-22..25</w:t>
            </w:r>
          </w:p>
        </w:tc>
        <w:tc>
          <w:tcPr>
            <w:tcW w:type="dxa" w:w="4365"/>
            <w:vAlign w:val="center"/>
            <w:shd w:fill="F2F5F7"/>
          </w:tcPr>
          <w:p>
            <w:pPr>
              <w:spacing w:after="0" w:before="0" w:line="250" w:lineRule="auto"/>
            </w:pPr>
            <w:r>
              <w:rPr>
                <w:rFonts w:ascii="Arial" w:hAnsi="Arial"/>
                <w:sz w:val="18"/>
              </w:rPr>
              <w:t>AT-15; cấp đồng thời, y lệnh đã đổi</w:t>
            </w:r>
          </w:p>
        </w:tc>
      </w:tr>
      <w:tr>
        <w:trPr>
          <w:cantSplit/>
        </w:trPr>
        <w:tc>
          <w:tcPr>
            <w:tcW w:type="dxa" w:w="2381"/>
            <w:vAlign w:val="center"/>
          </w:tcPr>
          <w:p>
            <w:pPr>
              <w:spacing w:after="0" w:before="0" w:line="250" w:lineRule="auto"/>
            </w:pPr>
            <w:r>
              <w:rPr>
                <w:rFonts w:ascii="Arial" w:hAnsi="Arial"/>
                <w:sz w:val="18"/>
              </w:rPr>
              <w:t>Inpatient</w:t>
            </w:r>
          </w:p>
        </w:tc>
        <w:tc>
          <w:tcPr>
            <w:tcW w:type="dxa" w:w="3175"/>
            <w:vAlign w:val="center"/>
          </w:tcPr>
          <w:p>
            <w:pPr>
              <w:spacing w:after="0" w:before="0" w:line="250" w:lineRule="auto"/>
            </w:pPr>
            <w:r>
              <w:rPr>
                <w:rFonts w:ascii="Arial" w:hAnsi="Arial"/>
                <w:sz w:val="18"/>
              </w:rPr>
              <w:t>NV-26..30</w:t>
            </w:r>
          </w:p>
        </w:tc>
        <w:tc>
          <w:tcPr>
            <w:tcW w:type="dxa" w:w="4365"/>
            <w:vAlign w:val="center"/>
          </w:tcPr>
          <w:p>
            <w:pPr>
              <w:spacing w:after="0" w:before="0" w:line="250" w:lineRule="auto"/>
            </w:pPr>
            <w:r>
              <w:rPr>
                <w:rFonts w:ascii="Arial" w:hAnsi="Arial"/>
                <w:sz w:val="18"/>
              </w:rPr>
              <w:t>AT-11..13, AT-19; rollback chuyển giường</w:t>
            </w:r>
          </w:p>
        </w:tc>
      </w:tr>
      <w:tr>
        <w:trPr>
          <w:cantSplit/>
        </w:trPr>
        <w:tc>
          <w:tcPr>
            <w:tcW w:type="dxa" w:w="2381"/>
            <w:vAlign w:val="center"/>
            <w:shd w:fill="F2F5F7"/>
          </w:tcPr>
          <w:p>
            <w:pPr>
              <w:spacing w:after="0" w:before="0" w:line="250" w:lineRule="auto"/>
            </w:pPr>
            <w:r>
              <w:rPr>
                <w:rFonts w:ascii="Arial" w:hAnsi="Arial"/>
                <w:sz w:val="18"/>
              </w:rPr>
              <w:t>Billing</w:t>
            </w:r>
          </w:p>
        </w:tc>
        <w:tc>
          <w:tcPr>
            <w:tcW w:type="dxa" w:w="3175"/>
            <w:vAlign w:val="center"/>
            <w:shd w:fill="F2F5F7"/>
          </w:tcPr>
          <w:p>
            <w:pPr>
              <w:spacing w:after="0" w:before="0" w:line="250" w:lineRule="auto"/>
            </w:pPr>
            <w:r>
              <w:rPr>
                <w:rFonts w:ascii="Arial" w:hAnsi="Arial"/>
                <w:sz w:val="18"/>
              </w:rPr>
              <w:t>NV-31..36</w:t>
            </w:r>
          </w:p>
        </w:tc>
        <w:tc>
          <w:tcPr>
            <w:tcW w:type="dxa" w:w="4365"/>
            <w:vAlign w:val="center"/>
            <w:shd w:fill="F2F5F7"/>
          </w:tcPr>
          <w:p>
            <w:pPr>
              <w:spacing w:after="0" w:before="0" w:line="250" w:lineRule="auto"/>
            </w:pPr>
            <w:r>
              <w:rPr>
                <w:rFonts w:ascii="Arial" w:hAnsi="Arial"/>
                <w:sz w:val="18"/>
              </w:rPr>
              <w:t>AT-07, AT-14, AT-19; làm tròn, hoàn và mở chốt</w:t>
            </w:r>
          </w:p>
        </w:tc>
      </w:tr>
      <w:tr>
        <w:trPr>
          <w:cantSplit/>
        </w:trPr>
        <w:tc>
          <w:tcPr>
            <w:tcW w:type="dxa" w:w="2381"/>
            <w:vAlign w:val="center"/>
          </w:tcPr>
          <w:p>
            <w:pPr>
              <w:spacing w:after="0" w:before="0" w:line="250" w:lineRule="auto"/>
            </w:pPr>
            <w:r>
              <w:rPr>
                <w:rFonts w:ascii="Arial" w:hAnsi="Arial"/>
                <w:sz w:val="18"/>
              </w:rPr>
              <w:t>Documents và recovery</w:t>
            </w:r>
          </w:p>
        </w:tc>
        <w:tc>
          <w:tcPr>
            <w:tcW w:type="dxa" w:w="3175"/>
            <w:vAlign w:val="center"/>
          </w:tcPr>
          <w:p>
            <w:pPr>
              <w:spacing w:after="0" w:before="0" w:line="250" w:lineRule="auto"/>
            </w:pPr>
            <w:r>
              <w:rPr>
                <w:rFonts w:ascii="Arial" w:hAnsi="Arial"/>
                <w:sz w:val="18"/>
              </w:rPr>
              <w:t>NV-37..41</w:t>
            </w:r>
          </w:p>
        </w:tc>
        <w:tc>
          <w:tcPr>
            <w:tcW w:type="dxa" w:w="4365"/>
            <w:vAlign w:val="center"/>
          </w:tcPr>
          <w:p>
            <w:pPr>
              <w:spacing w:after="0" w:before="0" w:line="250" w:lineRule="auto"/>
            </w:pPr>
            <w:r>
              <w:rPr>
                <w:rFonts w:ascii="Arial" w:hAnsi="Arial"/>
                <w:sz w:val="18"/>
              </w:rPr>
              <w:t>AT-16..18, AT-20; crash từng bước upload</w:t>
            </w:r>
          </w:p>
        </w:tc>
      </w:tr>
      <w:tr>
        <w:trPr>
          <w:cantSplit/>
        </w:trPr>
        <w:tc>
          <w:tcPr>
            <w:tcW w:type="dxa" w:w="2381"/>
            <w:vAlign w:val="center"/>
            <w:shd w:fill="F2F5F7"/>
          </w:tcPr>
          <w:p>
            <w:pPr>
              <w:spacing w:after="0" w:before="0" w:line="250" w:lineRule="auto"/>
            </w:pPr>
            <w:r>
              <w:rPr>
                <w:rFonts w:ascii="Arial" w:hAnsi="Arial"/>
                <w:sz w:val="18"/>
              </w:rPr>
              <w:t>Reporting và notifications</w:t>
            </w:r>
          </w:p>
        </w:tc>
        <w:tc>
          <w:tcPr>
            <w:tcW w:type="dxa" w:w="3175"/>
            <w:vAlign w:val="center"/>
            <w:shd w:fill="F2F5F7"/>
          </w:tcPr>
          <w:p>
            <w:pPr>
              <w:spacing w:after="0" w:before="0" w:line="250" w:lineRule="auto"/>
            </w:pPr>
            <w:r>
              <w:rPr>
                <w:rFonts w:ascii="Arial" w:hAnsi="Arial"/>
                <w:sz w:val="18"/>
              </w:rPr>
              <w:t>NV-42..43</w:t>
            </w:r>
          </w:p>
        </w:tc>
        <w:tc>
          <w:tcPr>
            <w:tcW w:type="dxa" w:w="4365"/>
            <w:vAlign w:val="center"/>
            <w:shd w:fill="F2F5F7"/>
          </w:tcPr>
          <w:p>
            <w:pPr>
              <w:spacing w:after="0" w:before="0" w:line="250" w:lineRule="auto"/>
            </w:pPr>
            <w:r>
              <w:rPr>
                <w:rFonts w:ascii="Arial" w:hAnsi="Arial"/>
                <w:sz w:val="18"/>
              </w:rPr>
              <w:t>Không đếm trùng; phân biệt thực thu/doanh thu; gửi sau commit</w:t>
            </w:r>
          </w:p>
        </w:tc>
      </w:tr>
    </w:tbl>
    <w:p>
      <w:pPr>
        <w:spacing w:after="0" w:before="0" w:line="264" w:lineRule="auto"/>
      </w:pPr>
      <w:r>
        <w:rPr>
          <w:rFonts w:ascii="Arial" w:hAnsi="Arial"/>
          <w:color w:val="000000"/>
          <w:sz w:val="6"/>
        </w:rPr>
      </w:r>
    </w:p>
    <w:p>
      <w:pPr>
        <w:pStyle w:val="Heading3"/>
      </w:pPr>
      <w:r>
        <w:rPr>
          <w:rFonts w:ascii="Arial" w:hAnsi="Arial"/>
          <w:b/>
          <w:color w:val="000000"/>
          <w:sz w:val="23"/>
        </w:rPr>
        <w:t>14 2 Các ca kỹ thuật bổ sung bắt buộc</w:t>
      </w:r>
    </w:p>
    <w:p>
      <w:pPr>
        <w:pStyle w:val="ListBullet"/>
      </w:pPr>
      <w:r>
        <w:rPr>
          <w:rFonts w:ascii="Arial" w:hAnsi="Arial"/>
          <w:color w:val="000000"/>
          <w:sz w:val="21"/>
        </w:rPr>
        <w:t>Hai refresh đồng thời: không tạo hai nhánh token hợp lệ; reuse thu hồi family và access token cũ. Mất response dẫn đến đăng nhập lại đúng policy, không lặp refresh.</w:t>
      </w:r>
    </w:p>
    <w:p>
      <w:pPr>
        <w:pStyle w:val="ListBullet"/>
      </w:pPr>
      <w:r>
        <w:rPr>
          <w:rFonts w:ascii="Arial" w:hAnsi="Arial"/>
          <w:color w:val="000000"/>
          <w:sz w:val="21"/>
        </w:rPr>
        <w:t>JWT sai issuer/audience/algorithm, tài khoản bị khóa, grant hết hạn và phiên hết hạn bị từ chối.</w:t>
      </w:r>
    </w:p>
    <w:p>
      <w:pPr>
        <w:pStyle w:val="ListBullet"/>
      </w:pPr>
      <w:r>
        <w:rPr>
          <w:rFonts w:ascii="Arial" w:hAnsi="Arial"/>
          <w:color w:val="000000"/>
          <w:sz w:val="21"/>
        </w:rPr>
        <w:t>50 request đồng thời tranh một giường: đúng một thành công. Cấp số cho 50 yêu cầu khác nhau: tất cả số thành công duy nhất; cùng key chỉ một lượt.</w:t>
      </w:r>
    </w:p>
    <w:p>
      <w:pPr>
        <w:pStyle w:val="ListBullet"/>
      </w:pPr>
      <w:r>
        <w:rPr>
          <w:rFonts w:ascii="Arial" w:hAnsi="Arial"/>
          <w:color w:val="000000"/>
          <w:sz w:val="21"/>
        </w:rPr>
        <w:t>Inject lỗi sau cập nhật giường trước ghi assignment, sau thu tiền trước clearance, sau copy cloud trước finalize và sau gửi thông báo trước ack.</w:t>
      </w:r>
    </w:p>
    <w:p>
      <w:pPr>
        <w:pStyle w:val="ListBullet"/>
      </w:pPr>
      <w:r>
        <w:rPr>
          <w:rFonts w:ascii="Arial" w:hAnsi="Arial"/>
          <w:color w:val="000000"/>
          <w:sz w:val="21"/>
        </w:rPr>
        <w:t>Outbox worker chết hoặc hết lease không ghi ack thay worker mới; chấp nhận khả năng gửi lặp và kiểm tra dedupe.</w:t>
      </w:r>
    </w:p>
    <w:p>
      <w:pPr>
        <w:pStyle w:val="ListBullet"/>
      </w:pPr>
      <w:r>
        <w:rPr>
          <w:rFonts w:ascii="Arial" w:hAnsi="Arial"/>
          <w:color w:val="000000"/>
          <w:sz w:val="21"/>
        </w:rPr>
        <w:t>Audit bị lỗi: dữ liệu nhạy cảm không được trả; truy cập danh sách và tải phiên bản cũ vẫn có log.</w:t>
      </w:r>
    </w:p>
    <w:p>
      <w:pPr>
        <w:pStyle w:val="ListBullet"/>
      </w:pPr>
      <w:r>
        <w:rPr>
          <w:rFonts w:ascii="Arial" w:hAnsi="Arial"/>
          <w:color w:val="000000"/>
          <w:sz w:val="21"/>
        </w:rPr>
        <w:t>Cloud object bị thay sau quét: finalize phải phát hiện version/checksum sai. Tệp nháp/độc hại không tải được qua đường dẫn khác.</w:t>
      </w:r>
    </w:p>
    <w:p>
      <w:pPr>
        <w:pStyle w:val="Heading3"/>
      </w:pPr>
      <w:r>
        <w:rPr>
          <w:rFonts w:ascii="Arial" w:hAnsi="Arial"/>
          <w:b/>
          <w:color w:val="000000"/>
          <w:sz w:val="23"/>
        </w:rPr>
        <w:t>14 3 Cổng phát hành</w:t>
      </w:r>
    </w:p>
    <w:p>
      <w:pPr>
        <w:spacing w:line="264" w:lineRule="auto" w:after="120"/>
      </w:pPr>
      <w:r>
        <w:rPr>
          <w:rFonts w:ascii="Arial" w:hAnsi="Arial"/>
          <w:color w:val="000000"/>
          <w:sz w:val="21"/>
        </w:rPr>
        <w:t>Build/analyzer, unit và integration liên quan, architecture test, hợp đồng OpenAPI, secret/dependency scan và E2E chính phải đạt. Benchmark ban đầu mục tiêu p95&lt;=2 giây cho thao tác nghiệp vụ không truyền tệp dưới profile 50 người dùng đồng thời; báo cả p99 và tỷ lệ lỗi. Đây là mục tiêu cần đo, profile cuối cùng thuộc OPEN-05. Lưu báo cáo restore và migration rehearsal trước vận hành dữ liệu thật.</w:t>
      </w:r>
    </w:p>
    <w:p>
      <w:pPr>
        <w:spacing w:line="264" w:lineRule="auto" w:after="120"/>
      </w:pPr>
      <w:r>
        <w:rPr>
          <w:rFonts w:ascii="Arial" w:hAnsi="Arial"/>
          <w:color w:val="000000"/>
          <w:sz w:val="21"/>
        </w:rPr>
        <w:br w:type="page"/>
      </w:r>
    </w:p>
    <w:p>
      <w:pPr>
        <w:pStyle w:val="Heading1"/>
      </w:pPr>
      <w:r>
        <w:rPr>
          <w:rFonts w:ascii="Arial" w:hAnsi="Arial"/>
          <w:b/>
          <w:color w:val="000000"/>
          <w:sz w:val="36"/>
        </w:rPr>
        <w:t>15 Cấu hình và tài liệu tham chiếu</w:t>
      </w:r>
    </w:p>
    <w:p>
      <w:pPr>
        <w:pStyle w:val="Heading3"/>
      </w:pPr>
      <w:r>
        <w:rPr>
          <w:rFonts w:ascii="Arial" w:hAnsi="Arial"/>
          <w:b/>
          <w:color w:val="000000"/>
          <w:sz w:val="23"/>
        </w:rPr>
        <w:t>15 1 Giá trị ban đầu và mục cần chốt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91"/>
        <w:gridCol w:w="7030"/>
      </w:tblGrid>
      <w:tr>
        <w:trPr>
          <w:cantSplit/>
          <w:tblHeader/>
        </w:trPr>
        <w:tc>
          <w:tcPr>
            <w:tcW w:type="dxa" w:w="2891"/>
            <w:vAlign w:val="center"/>
            <w:shd w:fill="24445C"/>
          </w:tcPr>
          <w:p>
            <w:pPr>
              <w:spacing w:after="0" w:before="0" w:line="250" w:lineRule="auto"/>
            </w:pPr>
            <w:r>
              <w:rPr>
                <w:rFonts w:ascii="Arial" w:hAnsi="Arial"/>
                <w:b/>
                <w:color w:val="FFFFFF"/>
                <w:sz w:val="18"/>
              </w:rPr>
              <w:t>Nội dung</w:t>
            </w:r>
          </w:p>
        </w:tc>
        <w:tc>
          <w:tcPr>
            <w:tcW w:type="dxa" w:w="7030"/>
            <w:vAlign w:val="center"/>
            <w:shd w:fill="24445C"/>
          </w:tcPr>
          <w:p>
            <w:pPr>
              <w:spacing w:after="0" w:before="0" w:line="250" w:lineRule="auto"/>
            </w:pPr>
            <w:r>
              <w:rPr>
                <w:rFonts w:ascii="Arial" w:hAnsi="Arial"/>
                <w:b/>
                <w:color w:val="FFFFFF"/>
                <w:sz w:val="18"/>
              </w:rPr>
              <w:t>Giá trị hoặc quyết định</w:t>
            </w:r>
          </w:p>
        </w:tc>
      </w:tr>
      <w:tr>
        <w:trPr>
          <w:cantSplit/>
        </w:trPr>
        <w:tc>
          <w:tcPr>
            <w:tcW w:type="dxa" w:w="2891"/>
            <w:vAlign w:val="center"/>
          </w:tcPr>
          <w:p>
            <w:pPr>
              <w:spacing w:after="0" w:before="0" w:line="250" w:lineRule="auto"/>
            </w:pPr>
            <w:r>
              <w:rPr>
                <w:rFonts w:ascii="Arial" w:hAnsi="Arial"/>
                <w:sz w:val="18"/>
              </w:rPr>
              <w:t>Buổi và múi giờ</w:t>
            </w:r>
          </w:p>
        </w:tc>
        <w:tc>
          <w:tcPr>
            <w:tcW w:type="dxa" w:w="7030"/>
            <w:vAlign w:val="center"/>
          </w:tcPr>
          <w:p>
            <w:pPr>
              <w:spacing w:after="0" w:before="0" w:line="250" w:lineRule="auto"/>
            </w:pPr>
            <w:r>
              <w:rPr>
                <w:rFonts w:ascii="Arial" w:hAnsi="Arial"/>
                <w:sz w:val="18"/>
              </w:rPr>
              <w:t>Theo cơ sở; mặc định Asia/Ho_Chi_Minh, lưu UTC cho thời điểm</w:t>
            </w:r>
          </w:p>
        </w:tc>
      </w:tr>
      <w:tr>
        <w:trPr>
          <w:cantSplit/>
        </w:trPr>
        <w:tc>
          <w:tcPr>
            <w:tcW w:type="dxa" w:w="2891"/>
            <w:vAlign w:val="center"/>
            <w:shd w:fill="F2F5F7"/>
          </w:tcPr>
          <w:p>
            <w:pPr>
              <w:spacing w:after="0" w:before="0" w:line="250" w:lineRule="auto"/>
            </w:pPr>
            <w:r>
              <w:rPr>
                <w:rFonts w:ascii="Arial" w:hAnsi="Arial"/>
                <w:sz w:val="18"/>
              </w:rPr>
              <w:t>Access và refresh</w:t>
            </w:r>
          </w:p>
        </w:tc>
        <w:tc>
          <w:tcPr>
            <w:tcW w:type="dxa" w:w="7030"/>
            <w:vAlign w:val="center"/>
            <w:shd w:fill="F2F5F7"/>
          </w:tcPr>
          <w:p>
            <w:pPr>
              <w:spacing w:after="0" w:before="0" w:line="250" w:lineRule="auto"/>
            </w:pPr>
            <w:r>
              <w:rPr>
                <w:rFonts w:ascii="Arial" w:hAnsi="Arial"/>
                <w:sz w:val="18"/>
              </w:rPr>
              <w:t>Access 15 phút; family tuyệt đối 7 ngày; strict reuse</w:t>
            </w:r>
          </w:p>
        </w:tc>
      </w:tr>
      <w:tr>
        <w:trPr>
          <w:cantSplit/>
        </w:trPr>
        <w:tc>
          <w:tcPr>
            <w:tcW w:type="dxa" w:w="2891"/>
            <w:vAlign w:val="center"/>
          </w:tcPr>
          <w:p>
            <w:pPr>
              <w:spacing w:after="0" w:before="0" w:line="250" w:lineRule="auto"/>
            </w:pPr>
            <w:r>
              <w:rPr>
                <w:rFonts w:ascii="Arial" w:hAnsi="Arial"/>
                <w:sz w:val="18"/>
              </w:rPr>
              <w:t>Phiếu chờ</w:t>
            </w:r>
          </w:p>
        </w:tc>
        <w:tc>
          <w:tcPr>
            <w:tcW w:type="dxa" w:w="7030"/>
            <w:vAlign w:val="center"/>
          </w:tcPr>
          <w:p>
            <w:pPr>
              <w:spacing w:after="0" w:before="0" w:line="250" w:lineRule="auto"/>
            </w:pPr>
            <w:r>
              <w:rPr>
                <w:rFonts w:ascii="Arial" w:hAnsi="Arial"/>
                <w:sz w:val="18"/>
              </w:rPr>
              <w:t>3 lần vắng, cách 60 giây; polling 5 giây</w:t>
            </w:r>
          </w:p>
        </w:tc>
      </w:tr>
      <w:tr>
        <w:trPr>
          <w:cantSplit/>
        </w:trPr>
        <w:tc>
          <w:tcPr>
            <w:tcW w:type="dxa" w:w="2891"/>
            <w:vAlign w:val="center"/>
            <w:shd w:fill="F2F5F7"/>
          </w:tcPr>
          <w:p>
            <w:pPr>
              <w:spacing w:after="0" w:before="0" w:line="250" w:lineRule="auto"/>
            </w:pPr>
            <w:r>
              <w:rPr>
                <w:rFonts w:ascii="Arial" w:hAnsi="Arial"/>
                <w:sz w:val="18"/>
              </w:rPr>
              <w:t>Tệp</w:t>
            </w:r>
          </w:p>
        </w:tc>
        <w:tc>
          <w:tcPr>
            <w:tcW w:type="dxa" w:w="7030"/>
            <w:vAlign w:val="center"/>
            <w:shd w:fill="F2F5F7"/>
          </w:tcPr>
          <w:p>
            <w:pPr>
              <w:spacing w:after="0" w:before="0" w:line="250" w:lineRule="auto"/>
            </w:pPr>
            <w:r>
              <w:rPr>
                <w:rFonts w:ascii="Arial" w:hAnsi="Arial"/>
                <w:sz w:val="18"/>
              </w:rPr>
              <w:t>PDF/JPEG/PNG, 20 MiB; session upload 24 giờ</w:t>
            </w:r>
          </w:p>
        </w:tc>
      </w:tr>
      <w:tr>
        <w:trPr>
          <w:cantSplit/>
        </w:trPr>
        <w:tc>
          <w:tcPr>
            <w:tcW w:type="dxa" w:w="2891"/>
            <w:vAlign w:val="center"/>
          </w:tcPr>
          <w:p>
            <w:pPr>
              <w:spacing w:after="0" w:before="0" w:line="250" w:lineRule="auto"/>
            </w:pPr>
            <w:r>
              <w:rPr>
                <w:rFonts w:ascii="Arial" w:hAnsi="Arial"/>
                <w:sz w:val="18"/>
              </w:rPr>
              <w:t>Idempotency</w:t>
            </w:r>
          </w:p>
        </w:tc>
        <w:tc>
          <w:tcPr>
            <w:tcW w:type="dxa" w:w="7030"/>
            <w:vAlign w:val="center"/>
          </w:tcPr>
          <w:p>
            <w:pPr>
              <w:spacing w:after="0" w:before="0" w:line="250" w:lineRule="auto"/>
            </w:pPr>
            <w:r>
              <w:rPr>
                <w:rFonts w:ascii="Arial" w:hAnsi="Arial"/>
                <w:sz w:val="18"/>
              </w:rPr>
              <w:t>Response cache 24 giờ; khóa nghiệp vụ dài hạn giữ riêng</w:t>
            </w:r>
          </w:p>
        </w:tc>
      </w:tr>
      <w:tr>
        <w:trPr>
          <w:cantSplit/>
        </w:trPr>
        <w:tc>
          <w:tcPr>
            <w:tcW w:type="dxa" w:w="2891"/>
            <w:vAlign w:val="center"/>
            <w:shd w:fill="F2F5F7"/>
          </w:tcPr>
          <w:p>
            <w:pPr>
              <w:spacing w:after="0" w:before="0" w:line="250" w:lineRule="auto"/>
            </w:pPr>
            <w:r>
              <w:rPr>
                <w:rFonts w:ascii="Arial" w:hAnsi="Arial"/>
                <w:sz w:val="18"/>
              </w:rPr>
              <w:t>Outbox</w:t>
            </w:r>
          </w:p>
        </w:tc>
        <w:tc>
          <w:tcPr>
            <w:tcW w:type="dxa" w:w="7030"/>
            <w:vAlign w:val="center"/>
            <w:shd w:fill="F2F5F7"/>
          </w:tcPr>
          <w:p>
            <w:pPr>
              <w:spacing w:after="0" w:before="0" w:line="250" w:lineRule="auto"/>
            </w:pPr>
            <w:r>
              <w:rPr>
                <w:rFonts w:ascii="Arial" w:hAnsi="Arial"/>
                <w:sz w:val="18"/>
              </w:rPr>
              <w:t>Batch 20, lease 5 phút có renew; retry tối đa 10 lần trước DeadLetter</w:t>
            </w:r>
          </w:p>
        </w:tc>
      </w:tr>
      <w:tr>
        <w:trPr>
          <w:cantSplit/>
        </w:trPr>
        <w:tc>
          <w:tcPr>
            <w:tcW w:type="dxa" w:w="2891"/>
            <w:vAlign w:val="center"/>
          </w:tcPr>
          <w:p>
            <w:pPr>
              <w:spacing w:after="0" w:before="0" w:line="250" w:lineRule="auto"/>
            </w:pPr>
            <w:r>
              <w:rPr>
                <w:rFonts w:ascii="Arial" w:hAnsi="Arial"/>
                <w:sz w:val="18"/>
              </w:rPr>
              <w:t>Quyền khẩn cấp</w:t>
            </w:r>
          </w:p>
        </w:tc>
        <w:tc>
          <w:tcPr>
            <w:tcW w:type="dxa" w:w="7030"/>
            <w:vAlign w:val="center"/>
          </w:tcPr>
          <w:p>
            <w:pPr>
              <w:spacing w:after="0" w:before="0" w:line="250" w:lineRule="auto"/>
            </w:pPr>
            <w:r>
              <w:rPr>
                <w:rFonts w:ascii="Arial" w:hAnsi="Arial"/>
                <w:sz w:val="18"/>
              </w:rPr>
              <w:t>30 phút, vai trò/điều kiện theo OPEN-04</w:t>
            </w:r>
          </w:p>
        </w:tc>
      </w:tr>
      <w:tr>
        <w:trPr>
          <w:cantSplit/>
        </w:trPr>
        <w:tc>
          <w:tcPr>
            <w:tcW w:type="dxa" w:w="2891"/>
            <w:vAlign w:val="center"/>
            <w:shd w:fill="F2F5F7"/>
          </w:tcPr>
          <w:p>
            <w:pPr>
              <w:spacing w:after="0" w:before="0" w:line="250" w:lineRule="auto"/>
            </w:pPr>
            <w:r>
              <w:rPr>
                <w:rFonts w:ascii="Arial" w:hAnsi="Arial"/>
                <w:sz w:val="18"/>
              </w:rPr>
              <w:t>Dữ liệu và topology</w:t>
            </w:r>
          </w:p>
        </w:tc>
        <w:tc>
          <w:tcPr>
            <w:tcW w:type="dxa" w:w="7030"/>
            <w:vAlign w:val="center"/>
            <w:shd w:fill="F2F5F7"/>
          </w:tcPr>
          <w:p>
            <w:pPr>
              <w:spacing w:after="0" w:before="0" w:line="250" w:lineRule="auto"/>
            </w:pPr>
            <w:r>
              <w:rPr>
                <w:rFonts w:ascii="Arial" w:hAnsi="Arial"/>
                <w:sz w:val="18"/>
              </w:rPr>
              <w:t>OPEN-01: provider, vùng, API/PostgreSQL ở đâu và chi phí</w:t>
            </w:r>
          </w:p>
        </w:tc>
      </w:tr>
      <w:tr>
        <w:trPr>
          <w:cantSplit/>
        </w:trPr>
        <w:tc>
          <w:tcPr>
            <w:tcW w:type="dxa" w:w="2891"/>
            <w:vAlign w:val="center"/>
          </w:tcPr>
          <w:p>
            <w:pPr>
              <w:spacing w:after="0" w:before="0" w:line="250" w:lineRule="auto"/>
            </w:pPr>
            <w:r>
              <w:rPr>
                <w:rFonts w:ascii="Arial" w:hAnsi="Arial"/>
                <w:sz w:val="18"/>
              </w:rPr>
              <w:t>Lưu giữ và dữ liệu thật</w:t>
            </w:r>
          </w:p>
        </w:tc>
        <w:tc>
          <w:tcPr>
            <w:tcW w:type="dxa" w:w="7030"/>
            <w:vAlign w:val="center"/>
          </w:tcPr>
          <w:p>
            <w:pPr>
              <w:spacing w:after="0" w:before="0" w:line="250" w:lineRule="auto"/>
            </w:pPr>
            <w:r>
              <w:rPr>
                <w:rFonts w:ascii="Arial" w:hAnsi="Arial"/>
                <w:sz w:val="18"/>
              </w:rPr>
              <w:t>OPEN-02: retention, xuất dữ liệu, cơ chế tuân thủ</w:t>
            </w:r>
          </w:p>
        </w:tc>
      </w:tr>
      <w:tr>
        <w:trPr>
          <w:cantSplit/>
        </w:trPr>
        <w:tc>
          <w:tcPr>
            <w:tcW w:type="dxa" w:w="2891"/>
            <w:vAlign w:val="center"/>
            <w:shd w:fill="F2F5F7"/>
          </w:tcPr>
          <w:p>
            <w:pPr>
              <w:spacing w:after="0" w:before="0" w:line="250" w:lineRule="auto"/>
            </w:pPr>
            <w:r>
              <w:rPr>
                <w:rFonts w:ascii="Arial" w:hAnsi="Arial"/>
                <w:sz w:val="18"/>
              </w:rPr>
              <w:t>Tính phí</w:t>
            </w:r>
          </w:p>
        </w:tc>
        <w:tc>
          <w:tcPr>
            <w:tcW w:type="dxa" w:w="7030"/>
            <w:vAlign w:val="center"/>
            <w:shd w:fill="F2F5F7"/>
          </w:tcPr>
          <w:p>
            <w:pPr>
              <w:spacing w:after="0" w:before="0" w:line="250" w:lineRule="auto"/>
            </w:pPr>
            <w:r>
              <w:rPr>
                <w:rFonts w:ascii="Arial" w:hAnsi="Arial"/>
                <w:sz w:val="18"/>
              </w:rPr>
              <w:t>OPEN-03: ngày giường, mức tạm ứng, hoàn/mở chốt</w:t>
            </w:r>
          </w:p>
        </w:tc>
      </w:tr>
      <w:tr>
        <w:trPr>
          <w:cantSplit/>
        </w:trPr>
        <w:tc>
          <w:tcPr>
            <w:tcW w:type="dxa" w:w="2891"/>
            <w:vAlign w:val="center"/>
          </w:tcPr>
          <w:p>
            <w:pPr>
              <w:spacing w:after="0" w:before="0" w:line="250" w:lineRule="auto"/>
            </w:pPr>
            <w:r>
              <w:rPr>
                <w:rFonts w:ascii="Arial" w:hAnsi="Arial"/>
                <w:sz w:val="18"/>
              </w:rPr>
              <w:t>Hiệu năng và khôi phục</w:t>
            </w:r>
          </w:p>
        </w:tc>
        <w:tc>
          <w:tcPr>
            <w:tcW w:type="dxa" w:w="7030"/>
            <w:vAlign w:val="center"/>
          </w:tcPr>
          <w:p>
            <w:pPr>
              <w:spacing w:after="0" w:before="0" w:line="250" w:lineRule="auto"/>
            </w:pPr>
            <w:r>
              <w:rPr>
                <w:rFonts w:ascii="Arial" w:hAnsi="Arial"/>
                <w:sz w:val="18"/>
              </w:rPr>
              <w:t>OPEN-05: tải thật, RTO và RPO tệp được duyệt</w:t>
            </w:r>
          </w:p>
        </w:tc>
      </w:tr>
    </w:tbl>
    <w:p>
      <w:pPr>
        <w:spacing w:after="0" w:before="0" w:line="264" w:lineRule="auto"/>
      </w:pPr>
      <w:r>
        <w:rPr>
          <w:rFonts w:ascii="Arial" w:hAnsi="Arial"/>
          <w:color w:val="000000"/>
          <w:sz w:val="6"/>
        </w:rPr>
      </w:r>
    </w:p>
    <w:p>
      <w:pPr>
        <w:spacing w:line="264" w:lineRule="auto" w:after="120"/>
      </w:pPr>
      <w:r>
        <w:rPr>
          <w:rFonts w:ascii="Arial" w:hAnsi="Arial"/>
          <w:color w:val="000000"/>
          <w:sz w:val="21"/>
        </w:rPr>
        <w:t>Giá trị cấu hình được lưu version, người sửa và hiệu lực. Không thay đổi ngầm quy tắc của hồ sơ/hóa đơn đã xác nhận. Các OPEN dùng cùng mã và người phụ trách trong BRD 2.0; trước go-live phải có quyết định cụ thể và bằng chứng cấu hình.</w:t>
      </w:r>
    </w:p>
    <w:p>
      <w:pPr>
        <w:pStyle w:val="Heading3"/>
      </w:pPr>
      <w:r>
        <w:rPr>
          <w:rFonts w:ascii="Arial" w:hAnsi="Arial"/>
          <w:b/>
          <w:color w:val="000000"/>
          <w:sz w:val="23"/>
        </w:rPr>
        <w:t>15 2 Nguồn kỹ thuật</w:t>
      </w:r>
    </w:p>
    <w:p>
      <w:pPr>
        <w:spacing w:line="264" w:lineRule="auto" w:after="120"/>
      </w:pPr>
      <w:r>
        <w:rPr>
          <w:rFonts w:ascii="Arial" w:hAnsi="Arial"/>
          <w:color w:val="000000"/>
          <w:sz w:val="21"/>
        </w:rPr>
        <w:t>Các nguồn dưới đây hỗ trợ cơ chế kỹ thuật; các lựa chọn cụ thể của hệ thống được quy định trong tài liệu này. Ngày đối chiếu 25 tháng 09 năm 2026.</w:t>
      </w:r>
    </w:p>
    <w:p>
      <w:pPr>
        <w:spacing w:after="100" w:line="264" w:lineRule="auto"/>
      </w:pPr>
      <w:r>
        <w:rPr>
          <w:rFonts w:ascii="Arial" w:hAnsi="Arial"/>
          <w:color w:val="000000"/>
          <w:sz w:val="17"/>
        </w:rPr>
        <w:t>[S1] Microsoft — .NET releases and support. https://learn.microsoft.com/en-us/dotnet/core/releases-and-support</w:t>
      </w:r>
    </w:p>
    <w:p>
      <w:pPr>
        <w:spacing w:after="100" w:line="264" w:lineRule="auto"/>
      </w:pPr>
      <w:r>
        <w:rPr>
          <w:rFonts w:ascii="Arial" w:hAnsi="Arial"/>
          <w:color w:val="000000"/>
          <w:sz w:val="17"/>
        </w:rPr>
        <w:t>[S2] Microsoft — Handling concurrency conflicts. https://learn.microsoft.com/en-us/ef/core/saving/concurrency</w:t>
      </w:r>
    </w:p>
    <w:p>
      <w:pPr>
        <w:spacing w:after="100" w:line="264" w:lineRule="auto"/>
      </w:pPr>
      <w:r>
        <w:rPr>
          <w:rFonts w:ascii="Arial" w:hAnsi="Arial"/>
          <w:color w:val="000000"/>
          <w:sz w:val="17"/>
        </w:rPr>
        <w:t>[S3] Microsoft — Resource based authorization. https://learn.microsoft.com/en-us/aspnet/core/security/authorization/resource-based</w:t>
      </w:r>
    </w:p>
    <w:p>
      <w:pPr>
        <w:spacing w:after="100" w:line="264" w:lineRule="auto"/>
      </w:pPr>
      <w:r>
        <w:rPr>
          <w:rFonts w:ascii="Arial" w:hAnsi="Arial"/>
          <w:color w:val="000000"/>
          <w:sz w:val="17"/>
        </w:rPr>
        <w:t>[S4] OWASP — Cross Site Request Forgery Prevention Cheat Sheet. https://cheatsheetseries.owasp.org/cheatsheets/Cross-Site_Request_Forgery_Prevention_Cheat_Sheet.html</w:t>
      </w:r>
    </w:p>
    <w:p>
      <w:pPr>
        <w:spacing w:after="100" w:line="264" w:lineRule="auto"/>
      </w:pPr>
      <w:r>
        <w:rPr>
          <w:rFonts w:ascii="Arial" w:hAnsi="Arial"/>
          <w:color w:val="000000"/>
          <w:sz w:val="17"/>
        </w:rPr>
        <w:t>[S5] Microsoft — Secure your Azure Blob Storage. https://learn.microsoft.com/en-us/azure/storage/blobs/secure-blobs</w:t>
      </w:r>
    </w:p>
    <w:p>
      <w:pPr>
        <w:spacing w:after="100" w:line="264" w:lineRule="auto"/>
      </w:pPr>
      <w:r>
        <w:rPr>
          <w:rFonts w:ascii="Arial" w:hAnsi="Arial"/>
          <w:color w:val="000000"/>
          <w:sz w:val="17"/>
        </w:rPr>
        <w:t>[S6] OWASP — File Upload Cheat Sheet. https://cheatsheetseries.owasp.org/cheatsheets/File_Upload_Cheat_Sheet.html</w:t>
      </w:r>
    </w:p>
    <w:p>
      <w:pPr>
        <w:spacing w:after="100" w:line="264" w:lineRule="auto"/>
      </w:pPr>
      <w:r>
        <w:rPr>
          <w:rFonts w:ascii="Arial" w:hAnsi="Arial"/>
          <w:color w:val="000000"/>
          <w:sz w:val="17"/>
        </w:rPr>
        <w:t>[S7] PostgreSQL — Transaction Isolation. https://www.postgresql.org/docs/current/transaction-iso.html</w:t>
      </w:r>
    </w:p>
    <w:p>
      <w:pPr>
        <w:spacing w:after="100" w:line="264" w:lineRule="auto"/>
      </w:pPr>
      <w:r>
        <w:rPr>
          <w:rFonts w:ascii="Arial" w:hAnsi="Arial"/>
          <w:color w:val="000000"/>
          <w:sz w:val="17"/>
        </w:rPr>
        <w:t>[S8] PostgreSQL — SELECT, The Locking Clause. https://www.postgresql.org/docs/current/sql-select.html#SQL-FOR-UPDATE-SHARE</w:t>
      </w:r>
    </w:p>
    <w:p>
      <w:pPr>
        <w:spacing w:after="100" w:line="264" w:lineRule="auto"/>
      </w:pPr>
      <w:r>
        <w:rPr>
          <w:rFonts w:ascii="Arial" w:hAnsi="Arial"/>
          <w:color w:val="000000"/>
          <w:sz w:val="17"/>
        </w:rPr>
        <w:t>[S9] Npgsql — Concurrency tokens (xmin). https://www.npgsql.org/efcore/modeling/concurrency.html</w:t>
      </w:r>
    </w:p>
    <w:p>
      <w:pPr>
        <w:spacing w:after="100" w:line="264" w:lineRule="auto"/>
      </w:pPr>
      <w:r>
        <w:rPr>
          <w:rFonts w:ascii="Arial" w:hAnsi="Arial"/>
          <w:color w:val="000000"/>
          <w:sz w:val="17"/>
        </w:rPr>
        <w:t>[S10] PostgreSQL — Continuous Archiving and Point-in-Time Recovery (PITR). https://www.postgresql.org/docs/current/continuous-archiving.html</w:t>
      </w:r>
    </w:p>
    <w:sectPr w:rsidR="00FC693F" w:rsidRPr="0006063C" w:rsidSect="00034616">
      <w:footerReference w:type="default" r:id="rId9"/>
      <w:pgSz w:w="11906" w:h="16838"/>
      <w:pgMar w:top="935" w:right="992" w:bottom="935"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HMS TSD 3.1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Arial" w:hAnsi="Arial" w:eastAsia="Arial" w:cs="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000000"/>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000000"/>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000000"/>
    </w:rPr>
  </w:style>
  <w:style w:type="paragraph" w:styleId="Title">
    <w:name w:val="Title"/>
    <w:basedOn w:val="Normal"/>
    <w:next w:val="Normal"/>
    <w:link w:val="TitleChar"/>
    <w:uiPriority w:val="10"/>
    <w:qFormat/>
    <w:rsid w:val="00FC693F"/>
    <w:pPr>
      <w:keepNext/>
      <w:spacing w:after="160" w:line="240" w:lineRule="auto" w:before="240"/>
      <w:contextualSpacing/>
    </w:pPr>
    <w:rPr>
      <w:rFonts w:ascii="Arial" w:hAnsi="Arial" w:eastAsia="Arial" w:cs="Arial"/>
      <w:b/>
      <w:color w:val="000000"/>
      <w:spacing w:val="5"/>
      <w:kern w:val="28"/>
      <w:sz w:val="52"/>
      <w:szCs w:val="52"/>
    </w:rPr>
  </w:style>
  <w:style w:type="character" w:customStyle="1" w:styleId="TitleChar">
    <w:name w:val="Title Char"/>
    <w:basedOn w:val="DefaultParagraphFont"/>
    <w:link w:val="Title"/>
    <w:uiPriority w:val="10"/>
    <w:rsid w:val="00FC693F"/>
    <w:rPr>
      <w:rFonts w:ascii="Arial" w:hAnsi="Arial" w:eastAsia="Arial" w:cs="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ind w:left="238" w:hanging="125"/>
      <w:contextualSpacing/>
    </w:pPr>
    <w:rPr>
      <w:rFonts w:ascii="Arial" w:hAnsi="Arial" w:eastAsia="Arial" w:cs="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000000"/>
    </w:rPr>
  </w:style>
  <w:style w:type="character" w:customStyle="1" w:styleId="Heading5Char">
    <w:name w:val="Heading 5 Char"/>
    <w:basedOn w:val="DefaultParagraphFont"/>
    <w:link w:val="Heading5"/>
    <w:uiPriority w:val="9"/>
    <w:semiHidden/>
    <w:rsid w:val="00FC693F"/>
    <w:rPr>
      <w:rFonts w:ascii="Arial" w:hAnsi="Arial" w:eastAsia="Arial" w:cs="Arial"/>
      <w:color w:val="000000"/>
    </w:rPr>
  </w:style>
  <w:style w:type="character" w:customStyle="1" w:styleId="Heading6Char">
    <w:name w:val="Heading 6 Char"/>
    <w:basedOn w:val="DefaultParagraphFont"/>
    <w:link w:val="Heading6"/>
    <w:uiPriority w:val="9"/>
    <w:semiHidden/>
    <w:rsid w:val="00FC693F"/>
    <w:rPr>
      <w:rFonts w:ascii="Arial" w:hAnsi="Arial" w:eastAsia="Arial" w:cs="Arial"/>
      <w:i/>
      <w:iCs/>
      <w:color w:val="000000"/>
    </w:rPr>
  </w:style>
  <w:style w:type="character" w:customStyle="1" w:styleId="Heading7Char">
    <w:name w:val="Heading 7 Char"/>
    <w:basedOn w:val="DefaultParagraphFont"/>
    <w:link w:val="Heading7"/>
    <w:uiPriority w:val="9"/>
    <w:semiHidden/>
    <w:rsid w:val="00FC693F"/>
    <w:rPr>
      <w:rFonts w:ascii="Arial" w:hAnsi="Arial" w:eastAsia="Arial" w:cs="Arial"/>
      <w:i/>
      <w:iCs/>
      <w:color w:val="000000"/>
    </w:rPr>
  </w:style>
  <w:style w:type="character" w:customStyle="1" w:styleId="Heading8Char">
    <w:name w:val="Heading 8 Char"/>
    <w:basedOn w:val="DefaultParagraphFont"/>
    <w:link w:val="Heading8"/>
    <w:uiPriority w:val="9"/>
    <w:semiHidden/>
    <w:rsid w:val="00FC693F"/>
    <w:rPr>
      <w:rFonts w:ascii="Arial" w:hAnsi="Arial" w:eastAsia="Arial" w:cs="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kỹ thuật hệ thống quản lý khám chữa bệnh</dc:title>
  <dc:subject>HMS TSD 3.0</dc:subject>
  <dc:creator/>
  <cp:keywords>HMS, đặc tả, ngoại trú, nội trú, cloud</cp:keywords>
  <dc:description>generated by python-docx</dc:description>
  <cp:lastModifiedBy/>
  <cp:revision>1</cp:revision>
  <dcterms:created xsi:type="dcterms:W3CDTF">2013-12-23T23:15:00Z</dcterms:created>
  <dcterms:modified xsi:type="dcterms:W3CDTF">2013-12-23T23:15:00Z</dcterms:modified>
  <cp:category/>
</cp:coreProperties>
</file>