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Pr>
          <w:b/>
          <w:sz w:val="22"/>
          <w:szCs w:val="22"/>
        </w:rPr>
        <w:t>CỘNG HOÀ XÃ HỘI CHỦ NGHĨA VIỆT NAM</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u w:val="single"/>
        </w:rPr>
      </w:pPr>
      <w:r>
        <w:rPr>
          <w:b/>
          <w:sz w:val="22"/>
          <w:szCs w:val="22"/>
          <w:u w:val="single"/>
        </w:rPr>
        <w:t>Độc lập - Tự do - Hạnh phúc</w:t>
      </w: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2146300</wp:posOffset>
                </wp:positionH>
                <wp:positionV relativeFrom="paragraph">
                  <wp:posOffset>190500</wp:posOffset>
                </wp:positionV>
                <wp:extent cx="635"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678298" y="3779683"/>
                          <a:ext cx="1335405" cy="635"/>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2146300</wp:posOffset>
                </wp:positionH>
                <wp:positionV relativeFrom="paragraph">
                  <wp:posOffset>190500</wp:posOffset>
                </wp:positionV>
                <wp:extent cx="635" cy="12700"/>
                <wp:effectExtent b="0" l="0" r="0" t="0"/>
                <wp:wrapNone/>
                <wp:docPr id="4"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Pr>
          <w:b/>
          <w:sz w:val="22"/>
          <w:szCs w:val="22"/>
        </w:rPr>
        <w:t>ĐIỀU LỆ</w:t>
      </w:r>
    </w:p>
    <w:p w:rsidR="00ED1433" w:rsidRDefault="00AA54E5">
      <w:pPr>
        <w:tabs>
          <w:tab w:val="left" w:pos="8280"/>
        </w:tabs>
        <w:spacing w:line="360" w:lineRule="auto"/>
        <w:jc w:val="center"/>
        <w:rPr>
          <w:b/>
          <w:sz w:val="22"/>
          <w:szCs w:val="22"/>
        </w:rPr>
      </w:pPr>
      <w:r>
        <w:rPr>
          <w:b/>
          <w:sz w:val="22"/>
          <w:szCs w:val="22"/>
        </w:rPr>
        <w:t xml:space="preserve">{{ v(companyInfo) }}                                      </w:t>
      </w:r>
    </w:p>
    <w:p w:rsidR="00ED1433" w:rsidRDefault="00AA54E5">
      <w:pPr>
        <w:tabs>
          <w:tab w:val="left" w:pos="389"/>
          <w:tab w:val="left" w:pos="432"/>
          <w:tab w:val="left" w:pos="475"/>
          <w:tab w:val="left" w:pos="504"/>
          <w:tab w:val="left" w:pos="576"/>
          <w:tab w:val="left" w:pos="720"/>
          <w:tab w:val="left" w:pos="1440"/>
        </w:tabs>
        <w:spacing w:line="312" w:lineRule="auto"/>
        <w:ind w:hanging="2"/>
        <w:jc w:val="center"/>
        <w:rPr>
          <w:sz w:val="22"/>
          <w:szCs w:val="22"/>
        </w:rPr>
      </w:pPr>
      <w:r>
        <w:rPr>
          <w:b/>
          <w:sz w:val="22"/>
          <w:szCs w:val="22"/>
        </w:rPr>
        <w:t>CHƯƠNG I.</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Pr>
          <w:b/>
          <w:sz w:val="22"/>
          <w:szCs w:val="22"/>
        </w:rPr>
        <w:t>QUY ĐỊNH CHUNG</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1. Hình thức, tên gọi và trụ sở Công ty</w:t>
      </w:r>
    </w:p>
    <w:p w:rsidR="00ED1433" w:rsidRDefault="00AA54E5">
      <w:pPr>
        <w:tabs>
          <w:tab w:val="left" w:pos="389"/>
          <w:tab w:val="left" w:pos="432"/>
          <w:tab w:val="left" w:pos="-5"/>
          <w:tab w:val="left" w:pos="576"/>
          <w:tab w:val="left" w:pos="720"/>
          <w:tab w:val="left" w:pos="1440"/>
        </w:tabs>
        <w:spacing w:line="312" w:lineRule="auto"/>
        <w:ind w:hanging="2"/>
        <w:jc w:val="both"/>
        <w:rPr>
          <w:sz w:val="22"/>
          <w:szCs w:val="22"/>
        </w:rPr>
      </w:pPr>
      <w:r>
        <w:rPr>
          <w:sz w:val="22"/>
          <w:szCs w:val="22"/>
        </w:rPr>
        <w:t>1. Công ty thuộc hình thức Công ty cổ phần, hoạt động theo Luật Doanh nghiệp và các quy định hiện hành khác của nước Cộng hoà Xã hội Chủ nghĩa Việt Nam, trong đó:</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Cổ đông chỉ chịu trách nhiệm về các khoản nợ và nghĩa vụ tài sản khác của Công ty trong ph</w:t>
      </w:r>
      <w:r>
        <w:rPr>
          <w:sz w:val="22"/>
          <w:szCs w:val="22"/>
        </w:rPr>
        <w:t>ạm vi số vốn đã góp vào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Công ty có tư cách pháp nhân kể từ ngày được cấp Giấy chứng nhận đăng ký doanh nghiệp.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Công ty có quyền phát hành cổ phần các loại để huy động vốn.</w:t>
      </w:r>
    </w:p>
    <w:p w:rsidR="00ED1433" w:rsidRDefault="00AA54E5">
      <w:pPr>
        <w:tabs>
          <w:tab w:val="left" w:pos="-5"/>
          <w:tab w:val="left" w:pos="1440"/>
          <w:tab w:val="left" w:pos="4320"/>
          <w:tab w:val="right" w:pos="8280"/>
        </w:tabs>
        <w:spacing w:line="312" w:lineRule="auto"/>
        <w:ind w:hanging="2"/>
        <w:jc w:val="both"/>
        <w:rPr>
          <w:sz w:val="22"/>
          <w:szCs w:val="22"/>
        </w:rPr>
      </w:pPr>
      <w:r>
        <w:rPr>
          <w:sz w:val="22"/>
          <w:szCs w:val="22"/>
        </w:rPr>
        <w:t>2. Tên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Tên công ty viết bằng tiếng Việt </w:t>
      </w:r>
      <w:r>
        <w:rPr>
          <w:i/>
          <w:sz w:val="22"/>
          <w:szCs w:val="22"/>
        </w:rPr>
        <w:t>(ghi bằng chữ in ho</w:t>
      </w:r>
      <w:r>
        <w:rPr>
          <w:i/>
          <w:sz w:val="22"/>
          <w:szCs w:val="22"/>
        </w:rPr>
        <w:t>a)</w:t>
      </w:r>
      <w:r>
        <w:rPr>
          <w:sz w:val="22"/>
          <w:szCs w:val="22"/>
        </w:rPr>
        <w:t>: {{ v(companyInfo)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b/>
          <w:sz w:val="22"/>
          <w:szCs w:val="22"/>
        </w:rPr>
      </w:pPr>
      <w:bookmarkStart w:id="0" w:name="_heading=h.vl1vvewg7q3t" w:colFirst="0" w:colLast="0"/>
      <w:bookmarkEnd w:id="0"/>
      <w:r>
        <w:rPr>
          <w:sz w:val="22"/>
          <w:szCs w:val="22"/>
        </w:rPr>
        <w:t xml:space="preserve">Tên công ty viết bằng tiếng nước ngoài </w:t>
      </w:r>
      <w:r>
        <w:rPr>
          <w:i/>
          <w:sz w:val="22"/>
          <w:szCs w:val="22"/>
        </w:rPr>
        <w:t>(nếu có)</w:t>
      </w:r>
      <w:r>
        <w:rPr>
          <w:sz w:val="22"/>
          <w:szCs w:val="22"/>
        </w:rPr>
        <w:t>:</w:t>
      </w:r>
      <w:r>
        <w:rPr>
          <w:b/>
          <w:sz w:val="22"/>
          <w:szCs w:val="22"/>
        </w:rPr>
        <w:t xml:space="preserve"> </w:t>
      </w:r>
      <w:r>
        <w:rPr>
          <w:sz w:val="22"/>
          <w:szCs w:val="22"/>
        </w:rPr>
        <w:t>{{ v(companyInfo)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Tên công ty viết tắt </w:t>
      </w:r>
      <w:r>
        <w:rPr>
          <w:i/>
          <w:sz w:val="22"/>
          <w:szCs w:val="22"/>
        </w:rPr>
        <w:t>(nếu có)</w:t>
      </w:r>
      <w:r>
        <w:rPr>
          <w:sz w:val="22"/>
          <w:szCs w:val="22"/>
        </w:rPr>
        <w:t>: {{ v(companyInfo)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1" w:name="_heading=h.877n7lvnfemv" w:colFirst="0" w:colLast="0"/>
      <w:bookmarkEnd w:id="1"/>
      <w:r>
        <w:rPr>
          <w:sz w:val="22"/>
          <w:szCs w:val="22"/>
        </w:rPr>
        <w:t xml:space="preserve">3. Địa chỉ trụ sở chính: {{ v(companyInfo) }}.  </w:t>
      </w:r>
    </w:p>
    <w:p w:rsidR="00ED1433" w:rsidRDefault="00AA54E5">
      <w:pPr>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 xml:space="preserve">Điện thoại: {{ v(companyInfo) }}                          </w:t>
      </w:r>
      <w:r>
        <w:rPr>
          <w:sz w:val="22"/>
          <w:szCs w:val="22"/>
        </w:rPr>
        <w:t xml:space="preserve">               Fax </w:t>
      </w:r>
      <w:r>
        <w:rPr>
          <w:i/>
          <w:sz w:val="22"/>
          <w:szCs w:val="22"/>
        </w:rPr>
        <w:t>(nếu có)</w:t>
      </w:r>
      <w:r>
        <w:rPr>
          <w:sz w:val="22"/>
          <w:szCs w:val="22"/>
        </w:rPr>
        <w:t>: {{ v(companyInfo)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highlight w:val="white"/>
        </w:rPr>
      </w:pPr>
      <w:r>
        <w:rPr>
          <w:sz w:val="22"/>
          <w:szCs w:val="22"/>
        </w:rPr>
        <w:t xml:space="preserve">Email: {{ v(companyInfo) }}                                     Website </w:t>
      </w:r>
      <w:r>
        <w:rPr>
          <w:i/>
          <w:sz w:val="22"/>
          <w:szCs w:val="22"/>
        </w:rPr>
        <w:t>(nếu có)</w:t>
      </w:r>
      <w:r>
        <w:rPr>
          <w:sz w:val="22"/>
          <w:szCs w:val="22"/>
        </w:rPr>
        <w:t>: {{ v(companyInfo) }}</w:t>
      </w:r>
    </w:p>
    <w:p w:rsidR="00ED1433" w:rsidRDefault="00AA54E5">
      <w:pPr>
        <w:spacing w:after="60" w:line="312" w:lineRule="auto"/>
        <w:ind w:hanging="2"/>
        <w:rPr>
          <w:b/>
          <w:sz w:val="22"/>
          <w:szCs w:val="22"/>
        </w:rPr>
      </w:pPr>
      <w:r>
        <w:rPr>
          <w:b/>
          <w:sz w:val="22"/>
          <w:szCs w:val="22"/>
        </w:rPr>
        <w:tab/>
        <w:t>Điều 2. Ngành, nghề kinh doanh</w:t>
      </w:r>
    </w:p>
    <w:tbl>
      <w:tblPr>
        <w:tblStyle w:val="ab"/>
        <w:tblW w:w="9092"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9"/>
        <w:gridCol w:w="5513"/>
        <w:gridCol w:w="861"/>
        <w:gridCol w:w="1999"/>
      </w:tblGrid>
      <w:tr w:rsidR="00ED1433">
        <w:trPr>
          <w:jc w:val="right"/>
        </w:trPr>
        <w:tc>
          <w:tcPr>
            <w:tcW w:w="719" w:type="dxa"/>
            <w:vAlign w:val="center"/>
          </w:tcPr>
          <w:p w:rsidR="00ED1433" w:rsidRDefault="00AA54E5">
            <w:pPr>
              <w:spacing w:before="90" w:after="60" w:line="312" w:lineRule="auto"/>
              <w:ind w:firstLine="0"/>
              <w:jc w:val="center"/>
              <w:rPr>
                <w:b/>
                <w:sz w:val="22"/>
                <w:szCs w:val="22"/>
              </w:rPr>
            </w:pPr>
            <w:bookmarkStart w:id="2" w:name="_heading=h.bjtmqw53cvod" w:colFirst="0" w:colLast="0"/>
            <w:bookmarkEnd w:id="2"/>
            <w:r>
              <w:rPr>
                <w:b/>
                <w:sz w:val="22"/>
                <w:szCs w:val="22"/>
              </w:rPr>
              <w:t>STT</w:t>
            </w:r>
          </w:p>
        </w:tc>
        <w:tc>
          <w:tcPr>
            <w:tcW w:w="5513" w:type="dxa"/>
            <w:vAlign w:val="center"/>
          </w:tcPr>
          <w:p w:rsidR="00ED1433" w:rsidRDefault="00AA54E5">
            <w:pPr>
              <w:spacing w:before="90" w:after="60" w:line="312" w:lineRule="auto"/>
              <w:ind w:firstLine="0"/>
              <w:jc w:val="center"/>
              <w:rPr>
                <w:b/>
                <w:sz w:val="22"/>
                <w:szCs w:val="22"/>
              </w:rPr>
            </w:pPr>
            <w:r>
              <w:rPr>
                <w:b/>
                <w:sz w:val="22"/>
                <w:szCs w:val="22"/>
              </w:rPr>
              <w:t>Tên ngành</w:t>
            </w:r>
          </w:p>
        </w:tc>
        <w:tc>
          <w:tcPr>
            <w:tcW w:w="861" w:type="dxa"/>
            <w:vAlign w:val="center"/>
          </w:tcPr>
          <w:p w:rsidR="00ED1433" w:rsidRDefault="00AA54E5">
            <w:pPr>
              <w:spacing w:before="90" w:after="60" w:line="312" w:lineRule="auto"/>
              <w:ind w:firstLine="0"/>
              <w:jc w:val="center"/>
              <w:rPr>
                <w:b/>
                <w:sz w:val="22"/>
                <w:szCs w:val="22"/>
              </w:rPr>
            </w:pPr>
            <w:r>
              <w:rPr>
                <w:b/>
                <w:sz w:val="22"/>
                <w:szCs w:val="22"/>
              </w:rPr>
              <w:t>Mã ngành</w:t>
            </w:r>
          </w:p>
        </w:tc>
        <w:tc>
          <w:tcPr>
            <w:tcW w:w="1999" w:type="dxa"/>
            <w:vAlign w:val="center"/>
          </w:tcPr>
          <w:p w:rsidR="00ED1433" w:rsidRDefault="00AA54E5">
            <w:pPr>
              <w:spacing w:before="90" w:after="60" w:line="312" w:lineRule="auto"/>
              <w:ind w:firstLine="0"/>
              <w:jc w:val="center"/>
              <w:rPr>
                <w:b/>
                <w:sz w:val="22"/>
                <w:szCs w:val="22"/>
              </w:rPr>
            </w:pPr>
            <w:r>
              <w:rPr>
                <w:b/>
                <w:sz w:val="22"/>
                <w:szCs w:val="22"/>
              </w:rPr>
              <w:t xml:space="preserve">Ngành nghề kinh doanh chính </w:t>
            </w:r>
            <w:r>
              <w:rPr>
                <w:i/>
                <w:sz w:val="22"/>
                <w:szCs w:val="22"/>
              </w:rPr>
              <w:t>(đánh dấu X để chọn một trong các ngành nghề đã kê khai)</w:t>
            </w:r>
          </w:p>
        </w:tc>
      </w:tr>
      <w:tr w:rsidR="00ED1433">
        <w:trPr>
          <w:jc w:val="right"/>
        </w:trPr>
        <w:tc>
          <w:tcPr>
            <w:tcW w:w="9092" w:type="dxa"/>
            <w:gridSpan w:val="4"/>
            <w:vAlign w:val="center"/>
          </w:tcPr>
          <w:p w:rsidR="00ED1433" w:rsidRDefault="00AA54E5">
            <w:pPr>
              <w:spacing w:before="90" w:after="60" w:line="312" w:lineRule="auto"/>
              <w:ind w:firstLine="0"/>
              <w:jc w:val="center"/>
              <w:rPr>
                <w:sz w:val="22"/>
                <w:szCs w:val="22"/>
              </w:rPr>
            </w:pPr>
            <w:r>
              <w:rPr>
                <w:sz w:val="22"/>
                <w:szCs w:val="22"/>
              </w:rPr>
              <w:t>{%tr for item in industries %}</w:t>
            </w:r>
          </w:p>
        </w:tc>
      </w:tr>
      <w:tr w:rsidR="00ED1433">
        <w:trPr>
          <w:jc w:val="right"/>
        </w:trPr>
        <w:tc>
          <w:tcPr>
            <w:tcW w:w="719" w:type="dxa"/>
            <w:vAlign w:val="center"/>
          </w:tcPr>
          <w:p w:rsidR="00ED1433" w:rsidRDefault="00AA54E5">
            <w:pPr>
              <w:spacing w:before="90" w:after="60" w:line="312" w:lineRule="auto"/>
              <w:ind w:firstLine="0"/>
              <w:jc w:val="center"/>
              <w:rPr>
                <w:sz w:val="22"/>
                <w:szCs w:val="22"/>
              </w:rPr>
            </w:pPr>
            <w:r>
              <w:rPr>
                <w:sz w:val="22"/>
                <w:szCs w:val="22"/>
              </w:rPr>
              <w:t>{{ loop.index }}</w:t>
            </w:r>
          </w:p>
        </w:tc>
        <w:tc>
          <w:tcPr>
            <w:tcW w:w="5513" w:type="dxa"/>
            <w:vAlign w:val="center"/>
          </w:tcPr>
          <w:p w:rsidR="00ED1433" w:rsidRDefault="00AA54E5" w:rsidP="007C7057">
            <w:pPr>
              <w:spacing w:before="90" w:after="60" w:line="312" w:lineRule="auto"/>
              <w:ind w:firstLine="0"/>
              <w:jc w:val="both"/>
              <w:rPr>
                <w:sz w:val="22"/>
                <w:szCs w:val="22"/>
              </w:rPr>
            </w:pPr>
            <w:bookmarkStart w:id="3" w:name="_GoBack"/>
            <w:r>
              <w:rPr>
                <w:sz w:val="22"/>
                <w:szCs w:val="22"/>
              </w:rPr>
              <w:t>{{ v(item) }}</w:t>
            </w:r>
            <w:bookmarkEnd w:id="3"/>
          </w:p>
        </w:tc>
        <w:tc>
          <w:tcPr>
            <w:tcW w:w="861" w:type="dxa"/>
            <w:vAlign w:val="center"/>
          </w:tcPr>
          <w:p w:rsidR="00ED1433" w:rsidRDefault="00AA54E5">
            <w:pPr>
              <w:spacing w:before="90" w:after="60" w:line="312" w:lineRule="auto"/>
              <w:ind w:firstLine="0"/>
              <w:jc w:val="center"/>
              <w:rPr>
                <w:sz w:val="22"/>
                <w:szCs w:val="22"/>
              </w:rPr>
            </w:pPr>
            <w:r>
              <w:rPr>
                <w:sz w:val="22"/>
                <w:szCs w:val="22"/>
              </w:rPr>
              <w:t>{{ v(item) }}</w:t>
            </w:r>
          </w:p>
        </w:tc>
        <w:tc>
          <w:tcPr>
            <w:tcW w:w="1999" w:type="dxa"/>
            <w:vAlign w:val="center"/>
          </w:tcPr>
          <w:p w:rsidR="00ED1433" w:rsidRDefault="00AA54E5">
            <w:pPr>
              <w:spacing w:before="90" w:after="60" w:line="312" w:lineRule="auto"/>
              <w:ind w:firstLine="0"/>
              <w:jc w:val="center"/>
              <w:rPr>
                <w:sz w:val="22"/>
                <w:szCs w:val="22"/>
              </w:rPr>
            </w:pPr>
            <w:r>
              <w:rPr>
                <w:sz w:val="22"/>
                <w:szCs w:val="22"/>
              </w:rPr>
              <w:t>{% if v(item) %}X{% endif %}</w:t>
            </w:r>
          </w:p>
        </w:tc>
      </w:tr>
      <w:tr w:rsidR="00ED1433">
        <w:trPr>
          <w:jc w:val="right"/>
        </w:trPr>
        <w:tc>
          <w:tcPr>
            <w:tcW w:w="9092" w:type="dxa"/>
            <w:gridSpan w:val="4"/>
            <w:vAlign w:val="center"/>
          </w:tcPr>
          <w:p w:rsidR="00ED1433" w:rsidRDefault="00AA54E5">
            <w:pPr>
              <w:spacing w:before="90" w:after="60" w:line="312" w:lineRule="auto"/>
              <w:ind w:firstLine="0"/>
              <w:jc w:val="center"/>
              <w:rPr>
                <w:sz w:val="22"/>
                <w:szCs w:val="22"/>
              </w:rPr>
            </w:pPr>
            <w:r>
              <w:rPr>
                <w:sz w:val="22"/>
                <w:szCs w:val="22"/>
              </w:rPr>
              <w:t>{%tr endfor %}</w:t>
            </w:r>
          </w:p>
        </w:tc>
      </w:tr>
    </w:tbl>
    <w:p w:rsidR="00ED1433" w:rsidRDefault="00AA54E5">
      <w:pPr>
        <w:spacing w:before="120" w:after="60" w:line="312" w:lineRule="auto"/>
        <w:ind w:hanging="2"/>
        <w:rPr>
          <w:b/>
          <w:sz w:val="22"/>
          <w:szCs w:val="22"/>
        </w:rPr>
      </w:pPr>
      <w:r>
        <w:rPr>
          <w:b/>
          <w:sz w:val="22"/>
          <w:szCs w:val="22"/>
        </w:rPr>
        <w:t xml:space="preserve">Điều 3. Cổ đông sáng lập Công ty </w:t>
      </w:r>
    </w:p>
    <w:tbl>
      <w:tblPr>
        <w:tblStyle w:val="ac"/>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1323"/>
        <w:gridCol w:w="630"/>
        <w:gridCol w:w="810"/>
        <w:gridCol w:w="2610"/>
        <w:gridCol w:w="3150"/>
      </w:tblGrid>
      <w:tr w:rsidR="00ED1433">
        <w:trPr>
          <w:trHeight w:val="89"/>
        </w:trPr>
        <w:tc>
          <w:tcPr>
            <w:tcW w:w="562" w:type="dxa"/>
            <w:vAlign w:val="center"/>
          </w:tcPr>
          <w:p w:rsidR="00ED1433" w:rsidRDefault="00AA54E5">
            <w:pPr>
              <w:tabs>
                <w:tab w:val="left" w:pos="370"/>
                <w:tab w:val="left" w:pos="475"/>
                <w:tab w:val="left" w:pos="504"/>
                <w:tab w:val="left" w:pos="576"/>
                <w:tab w:val="left" w:pos="720"/>
                <w:tab w:val="left" w:pos="1440"/>
              </w:tabs>
              <w:spacing w:line="312" w:lineRule="auto"/>
              <w:ind w:hanging="2"/>
              <w:jc w:val="center"/>
              <w:rPr>
                <w:b/>
                <w:sz w:val="22"/>
                <w:szCs w:val="22"/>
              </w:rPr>
            </w:pPr>
            <w:r>
              <w:rPr>
                <w:b/>
                <w:sz w:val="22"/>
                <w:szCs w:val="22"/>
              </w:rPr>
              <w:t>STT</w:t>
            </w:r>
          </w:p>
        </w:tc>
        <w:tc>
          <w:tcPr>
            <w:tcW w:w="1323" w:type="dxa"/>
            <w:vAlign w:val="center"/>
          </w:tcPr>
          <w:p w:rsidR="00ED1433" w:rsidRDefault="00AA54E5">
            <w:pPr>
              <w:tabs>
                <w:tab w:val="left" w:pos="389"/>
                <w:tab w:val="left" w:pos="432"/>
                <w:tab w:val="left" w:pos="475"/>
                <w:tab w:val="left" w:pos="504"/>
                <w:tab w:val="left" w:pos="576"/>
                <w:tab w:val="left" w:pos="720"/>
                <w:tab w:val="left" w:pos="1440"/>
              </w:tabs>
              <w:spacing w:line="312" w:lineRule="auto"/>
              <w:ind w:hanging="2"/>
              <w:jc w:val="center"/>
              <w:rPr>
                <w:b/>
                <w:sz w:val="22"/>
                <w:szCs w:val="22"/>
              </w:rPr>
            </w:pPr>
            <w:r>
              <w:rPr>
                <w:b/>
                <w:sz w:val="22"/>
                <w:szCs w:val="22"/>
              </w:rPr>
              <w:t>Tên cổ đông sáng lập</w:t>
            </w:r>
          </w:p>
        </w:tc>
        <w:tc>
          <w:tcPr>
            <w:tcW w:w="630" w:type="dxa"/>
            <w:vAlign w:val="center"/>
          </w:tcPr>
          <w:p w:rsidR="00ED1433" w:rsidRDefault="00AA54E5">
            <w:pPr>
              <w:tabs>
                <w:tab w:val="left" w:pos="389"/>
                <w:tab w:val="left" w:pos="432"/>
                <w:tab w:val="left" w:pos="475"/>
                <w:tab w:val="left" w:pos="504"/>
                <w:tab w:val="left" w:pos="576"/>
                <w:tab w:val="left" w:pos="720"/>
                <w:tab w:val="left" w:pos="1440"/>
              </w:tabs>
              <w:spacing w:line="312" w:lineRule="auto"/>
              <w:ind w:hanging="2"/>
              <w:jc w:val="center"/>
              <w:rPr>
                <w:b/>
                <w:sz w:val="22"/>
                <w:szCs w:val="22"/>
              </w:rPr>
            </w:pPr>
            <w:r>
              <w:rPr>
                <w:b/>
                <w:sz w:val="22"/>
                <w:szCs w:val="22"/>
              </w:rPr>
              <w:t>Ngày, tháng, năm sinh</w:t>
            </w:r>
          </w:p>
        </w:tc>
        <w:tc>
          <w:tcPr>
            <w:tcW w:w="810" w:type="dxa"/>
            <w:vAlign w:val="center"/>
          </w:tcPr>
          <w:p w:rsidR="00ED1433" w:rsidRDefault="00AA54E5">
            <w:pPr>
              <w:tabs>
                <w:tab w:val="left" w:pos="389"/>
                <w:tab w:val="left" w:pos="432"/>
                <w:tab w:val="left" w:pos="475"/>
                <w:tab w:val="left" w:pos="504"/>
                <w:tab w:val="left" w:pos="576"/>
                <w:tab w:val="left" w:pos="720"/>
                <w:tab w:val="left" w:pos="1440"/>
              </w:tabs>
              <w:spacing w:line="312" w:lineRule="auto"/>
              <w:ind w:hanging="2"/>
              <w:jc w:val="center"/>
              <w:rPr>
                <w:b/>
                <w:sz w:val="22"/>
                <w:szCs w:val="22"/>
              </w:rPr>
            </w:pPr>
            <w:r>
              <w:rPr>
                <w:b/>
                <w:sz w:val="22"/>
                <w:szCs w:val="22"/>
              </w:rPr>
              <w:t>Giới tính</w:t>
            </w:r>
          </w:p>
        </w:tc>
        <w:tc>
          <w:tcPr>
            <w:tcW w:w="2610" w:type="dxa"/>
            <w:vAlign w:val="center"/>
          </w:tcPr>
          <w:p w:rsidR="00ED1433" w:rsidRDefault="00AA54E5">
            <w:pPr>
              <w:tabs>
                <w:tab w:val="left" w:pos="389"/>
                <w:tab w:val="left" w:pos="432"/>
                <w:tab w:val="left" w:pos="475"/>
                <w:tab w:val="left" w:pos="504"/>
                <w:tab w:val="left" w:pos="576"/>
                <w:tab w:val="left" w:pos="720"/>
                <w:tab w:val="left" w:pos="1440"/>
              </w:tabs>
              <w:spacing w:line="312" w:lineRule="auto"/>
              <w:ind w:hanging="2"/>
              <w:jc w:val="center"/>
              <w:rPr>
                <w:b/>
                <w:sz w:val="22"/>
                <w:szCs w:val="22"/>
              </w:rPr>
            </w:pPr>
            <w:r>
              <w:rPr>
                <w:b/>
                <w:sz w:val="22"/>
                <w:szCs w:val="22"/>
              </w:rPr>
              <w:t>Địa chỉ liên lạc đối với cổ đông sáng lập là cá nhân</w:t>
            </w:r>
          </w:p>
        </w:tc>
        <w:tc>
          <w:tcPr>
            <w:tcW w:w="3150" w:type="dxa"/>
            <w:vAlign w:val="center"/>
          </w:tcPr>
          <w:p w:rsidR="00ED1433" w:rsidRDefault="00AA54E5">
            <w:pPr>
              <w:tabs>
                <w:tab w:val="left" w:pos="389"/>
                <w:tab w:val="left" w:pos="432"/>
                <w:tab w:val="left" w:pos="475"/>
                <w:tab w:val="left" w:pos="504"/>
                <w:tab w:val="left" w:pos="576"/>
                <w:tab w:val="left" w:pos="720"/>
                <w:tab w:val="left" w:pos="1440"/>
              </w:tabs>
              <w:spacing w:line="312" w:lineRule="auto"/>
              <w:ind w:hanging="2"/>
              <w:jc w:val="center"/>
              <w:rPr>
                <w:b/>
                <w:sz w:val="22"/>
                <w:szCs w:val="22"/>
              </w:rPr>
            </w:pPr>
            <w:r>
              <w:rPr>
                <w:b/>
                <w:sz w:val="22"/>
                <w:szCs w:val="22"/>
              </w:rPr>
              <w:t>Loại giấy tờ, số, ngày cấp, cơ quan cấp Giấy tờ pháp lý của cá nhân/tổ chức</w:t>
            </w:r>
          </w:p>
        </w:tc>
      </w:tr>
      <w:tr w:rsidR="00ED1433">
        <w:trPr>
          <w:trHeight w:val="656"/>
        </w:trPr>
        <w:tc>
          <w:tcPr>
            <w:tcW w:w="9085" w:type="dxa"/>
            <w:gridSpan w:val="6"/>
            <w:vAlign w:val="center"/>
          </w:tcPr>
          <w:p w:rsidR="00ED1433" w:rsidRDefault="00AA54E5">
            <w:pPr>
              <w:tabs>
                <w:tab w:val="left" w:pos="389"/>
                <w:tab w:val="left" w:pos="432"/>
                <w:tab w:val="left" w:pos="475"/>
                <w:tab w:val="left" w:pos="504"/>
                <w:tab w:val="left" w:pos="576"/>
                <w:tab w:val="left" w:pos="720"/>
                <w:tab w:val="left" w:pos="1440"/>
              </w:tabs>
              <w:spacing w:line="312" w:lineRule="auto"/>
              <w:ind w:hanging="2"/>
              <w:jc w:val="center"/>
              <w:rPr>
                <w:sz w:val="22"/>
                <w:szCs w:val="22"/>
              </w:rPr>
            </w:pPr>
            <w:r>
              <w:rPr>
                <w:sz w:val="22"/>
                <w:szCs w:val="22"/>
              </w:rPr>
              <w:t>{%tr for item in founders %}</w:t>
            </w:r>
          </w:p>
        </w:tc>
      </w:tr>
      <w:tr w:rsidR="00ED1433">
        <w:tc>
          <w:tcPr>
            <w:tcW w:w="562" w:type="dxa"/>
            <w:vAlign w:val="center"/>
          </w:tcPr>
          <w:p w:rsidR="00ED1433" w:rsidRDefault="00AA54E5">
            <w:pPr>
              <w:tabs>
                <w:tab w:val="left" w:pos="389"/>
                <w:tab w:val="left" w:pos="432"/>
                <w:tab w:val="left" w:pos="475"/>
                <w:tab w:val="left" w:pos="504"/>
                <w:tab w:val="left" w:pos="576"/>
                <w:tab w:val="left" w:pos="720"/>
                <w:tab w:val="left" w:pos="1440"/>
              </w:tabs>
              <w:spacing w:line="312" w:lineRule="auto"/>
              <w:ind w:hanging="2"/>
              <w:jc w:val="center"/>
              <w:rPr>
                <w:sz w:val="22"/>
                <w:szCs w:val="22"/>
              </w:rPr>
            </w:pPr>
            <w:r>
              <w:rPr>
                <w:sz w:val="22"/>
                <w:szCs w:val="22"/>
              </w:rPr>
              <w:t>{{ loop.in</w:t>
            </w:r>
            <w:r>
              <w:rPr>
                <w:sz w:val="22"/>
                <w:szCs w:val="22"/>
              </w:rPr>
              <w:lastRenderedPageBreak/>
              <w:t>dex }}</w:t>
            </w:r>
          </w:p>
        </w:tc>
        <w:tc>
          <w:tcPr>
            <w:tcW w:w="1323" w:type="dxa"/>
            <w:vAlign w:val="center"/>
          </w:tcPr>
          <w:p w:rsidR="00ED1433" w:rsidRDefault="00AA54E5">
            <w:pPr>
              <w:spacing w:line="312" w:lineRule="auto"/>
              <w:ind w:hanging="2"/>
              <w:jc w:val="center"/>
              <w:rPr>
                <w:sz w:val="22"/>
                <w:szCs w:val="22"/>
              </w:rPr>
            </w:pPr>
            <w:r>
              <w:rPr>
                <w:sz w:val="22"/>
                <w:szCs w:val="22"/>
              </w:rPr>
              <w:lastRenderedPageBreak/>
              <w:t>{{ v(item) }}</w:t>
            </w:r>
          </w:p>
        </w:tc>
        <w:tc>
          <w:tcPr>
            <w:tcW w:w="630" w:type="dxa"/>
            <w:vAlign w:val="center"/>
          </w:tcPr>
          <w:p w:rsidR="00ED1433" w:rsidRDefault="00AA54E5">
            <w:pPr>
              <w:spacing w:line="312" w:lineRule="auto"/>
              <w:ind w:hanging="2"/>
              <w:jc w:val="center"/>
              <w:rPr>
                <w:sz w:val="22"/>
                <w:szCs w:val="22"/>
              </w:rPr>
            </w:pPr>
            <w:r>
              <w:rPr>
                <w:sz w:val="22"/>
                <w:szCs w:val="22"/>
              </w:rPr>
              <w:t>{{ v(item) }}</w:t>
            </w:r>
          </w:p>
        </w:tc>
        <w:tc>
          <w:tcPr>
            <w:tcW w:w="810" w:type="dxa"/>
            <w:vAlign w:val="center"/>
          </w:tcPr>
          <w:p w:rsidR="00ED1433" w:rsidRDefault="00AA54E5">
            <w:pPr>
              <w:spacing w:line="312" w:lineRule="auto"/>
              <w:ind w:hanging="2"/>
              <w:jc w:val="center"/>
              <w:rPr>
                <w:sz w:val="22"/>
                <w:szCs w:val="22"/>
              </w:rPr>
            </w:pPr>
            <w:r>
              <w:rPr>
                <w:sz w:val="22"/>
                <w:szCs w:val="22"/>
              </w:rPr>
              <w:t>{{ v(item) }}</w:t>
            </w:r>
          </w:p>
        </w:tc>
        <w:tc>
          <w:tcPr>
            <w:tcW w:w="2610" w:type="dxa"/>
            <w:vAlign w:val="center"/>
          </w:tcPr>
          <w:p w:rsidR="00ED1433" w:rsidRDefault="00AA54E5">
            <w:pPr>
              <w:tabs>
                <w:tab w:val="left" w:pos="389"/>
                <w:tab w:val="left" w:pos="432"/>
                <w:tab w:val="left" w:pos="475"/>
                <w:tab w:val="left" w:pos="504"/>
                <w:tab w:val="left" w:pos="576"/>
                <w:tab w:val="left" w:pos="720"/>
                <w:tab w:val="left" w:pos="1440"/>
              </w:tabs>
              <w:spacing w:line="312" w:lineRule="auto"/>
              <w:ind w:hanging="2"/>
              <w:jc w:val="center"/>
              <w:rPr>
                <w:sz w:val="22"/>
                <w:szCs w:val="22"/>
              </w:rPr>
            </w:pPr>
            <w:r>
              <w:rPr>
                <w:sz w:val="22"/>
                <w:szCs w:val="22"/>
              </w:rPr>
              <w:t>{{ v(item) }}</w:t>
            </w:r>
          </w:p>
        </w:tc>
        <w:tc>
          <w:tcPr>
            <w:tcW w:w="3150" w:type="dxa"/>
            <w:vAlign w:val="center"/>
          </w:tcPr>
          <w:p w:rsidR="00ED1433" w:rsidRDefault="00AA54E5">
            <w:pPr>
              <w:tabs>
                <w:tab w:val="left" w:pos="389"/>
                <w:tab w:val="left" w:pos="432"/>
                <w:tab w:val="left" w:pos="475"/>
                <w:tab w:val="left" w:pos="504"/>
                <w:tab w:val="left" w:pos="576"/>
                <w:tab w:val="left" w:pos="720"/>
                <w:tab w:val="left" w:pos="1440"/>
              </w:tabs>
              <w:spacing w:line="312" w:lineRule="auto"/>
              <w:ind w:hanging="2"/>
              <w:jc w:val="center"/>
              <w:rPr>
                <w:sz w:val="22"/>
                <w:szCs w:val="22"/>
              </w:rPr>
            </w:pPr>
            <w:r>
              <w:rPr>
                <w:sz w:val="22"/>
                <w:szCs w:val="22"/>
              </w:rPr>
              <w:t>Số định danh cá nhân:</w:t>
            </w:r>
          </w:p>
          <w:p w:rsidR="00ED1433" w:rsidRDefault="00AA54E5">
            <w:pPr>
              <w:tabs>
                <w:tab w:val="left" w:pos="389"/>
                <w:tab w:val="left" w:pos="432"/>
                <w:tab w:val="left" w:pos="475"/>
                <w:tab w:val="left" w:pos="504"/>
                <w:tab w:val="left" w:pos="576"/>
                <w:tab w:val="left" w:pos="720"/>
                <w:tab w:val="left" w:pos="1440"/>
              </w:tabs>
              <w:spacing w:line="312" w:lineRule="auto"/>
              <w:ind w:hanging="2"/>
              <w:jc w:val="center"/>
              <w:rPr>
                <w:sz w:val="22"/>
                <w:szCs w:val="22"/>
              </w:rPr>
            </w:pPr>
            <w:r>
              <w:rPr>
                <w:sz w:val="22"/>
                <w:szCs w:val="22"/>
              </w:rPr>
              <w:t>{{ v(item) }}</w:t>
            </w:r>
          </w:p>
        </w:tc>
      </w:tr>
      <w:tr w:rsidR="00ED1433">
        <w:tc>
          <w:tcPr>
            <w:tcW w:w="9085" w:type="dxa"/>
            <w:gridSpan w:val="6"/>
            <w:vAlign w:val="center"/>
          </w:tcPr>
          <w:p w:rsidR="00ED1433" w:rsidRDefault="00AA54E5">
            <w:pPr>
              <w:tabs>
                <w:tab w:val="left" w:pos="389"/>
                <w:tab w:val="left" w:pos="432"/>
                <w:tab w:val="left" w:pos="475"/>
                <w:tab w:val="left" w:pos="504"/>
                <w:tab w:val="left" w:pos="576"/>
                <w:tab w:val="left" w:pos="720"/>
                <w:tab w:val="left" w:pos="1440"/>
              </w:tabs>
              <w:spacing w:line="312" w:lineRule="auto"/>
              <w:ind w:hanging="2"/>
              <w:jc w:val="center"/>
              <w:rPr>
                <w:sz w:val="22"/>
                <w:szCs w:val="22"/>
              </w:rPr>
            </w:pPr>
            <w:r>
              <w:rPr>
                <w:sz w:val="22"/>
                <w:szCs w:val="22"/>
              </w:rPr>
              <w:lastRenderedPageBreak/>
              <w:t>{%tr endfor %}</w:t>
            </w:r>
          </w:p>
        </w:tc>
      </w:tr>
    </w:tbl>
    <w:p w:rsidR="00ED1433" w:rsidRDefault="00ED1433">
      <w:pPr>
        <w:widowControl w:val="0"/>
        <w:tabs>
          <w:tab w:val="left" w:pos="9324"/>
        </w:tabs>
        <w:spacing w:line="360" w:lineRule="auto"/>
        <w:rPr>
          <w:b/>
          <w:sz w:val="22"/>
          <w:szCs w:val="22"/>
          <w:highlight w:val="white"/>
        </w:rPr>
      </w:pPr>
    </w:p>
    <w:p w:rsidR="00ED1433" w:rsidRDefault="00AA54E5">
      <w:pPr>
        <w:widowControl w:val="0"/>
        <w:tabs>
          <w:tab w:val="left" w:pos="9324"/>
        </w:tabs>
        <w:spacing w:line="360" w:lineRule="auto"/>
        <w:rPr>
          <w:sz w:val="22"/>
          <w:szCs w:val="22"/>
        </w:rPr>
      </w:pPr>
      <w:r>
        <w:rPr>
          <w:sz w:val="22"/>
          <w:szCs w:val="22"/>
        </w:rPr>
        <w:t>{% if condition %}</w:t>
      </w:r>
      <w:r>
        <w:rPr>
          <w:b/>
          <w:sz w:val="22"/>
          <w:szCs w:val="22"/>
          <w:highlight w:val="white"/>
        </w:rPr>
        <w:t>* Chủ sở hữu hưởng lợi</w:t>
      </w:r>
      <w:r>
        <w:rPr>
          <w:sz w:val="22"/>
          <w:szCs w:val="22"/>
        </w:rPr>
        <w:t>{% for i in owner2 %}{{ v(i) }}</w:t>
      </w:r>
    </w:p>
    <w:p w:rsidR="00ED1433" w:rsidRDefault="00AA54E5">
      <w:pPr>
        <w:spacing w:line="360" w:lineRule="auto"/>
        <w:rPr>
          <w:sz w:val="22"/>
          <w:szCs w:val="22"/>
        </w:rPr>
      </w:pPr>
      <w:r>
        <w:rPr>
          <w:sz w:val="22"/>
          <w:szCs w:val="22"/>
          <w:highlight w:val="white"/>
        </w:rPr>
        <w:t xml:space="preserve">Họ và tên: </w:t>
      </w:r>
      <w:r>
        <w:rPr>
          <w:sz w:val="22"/>
          <w:szCs w:val="22"/>
        </w:rPr>
        <w:t xml:space="preserve">{{ v(i) }}          </w:t>
      </w:r>
      <w:r>
        <w:rPr>
          <w:sz w:val="22"/>
          <w:szCs w:val="22"/>
        </w:rPr>
        <w:tab/>
        <w:t xml:space="preserve">Giới tính: {{ v(i) }} </w:t>
      </w:r>
    </w:p>
    <w:p w:rsidR="00ED1433" w:rsidRDefault="00AA54E5">
      <w:pPr>
        <w:spacing w:line="360" w:lineRule="auto"/>
        <w:rPr>
          <w:sz w:val="22"/>
          <w:szCs w:val="22"/>
        </w:rPr>
      </w:pPr>
      <w:r>
        <w:rPr>
          <w:sz w:val="22"/>
          <w:szCs w:val="22"/>
        </w:rPr>
        <w:t xml:space="preserve">Sinh ngày: {{ v(i) }}                               </w:t>
      </w:r>
    </w:p>
    <w:p w:rsidR="00ED1433" w:rsidRDefault="00AA54E5">
      <w:pPr>
        <w:spacing w:line="360" w:lineRule="auto"/>
        <w:rPr>
          <w:sz w:val="22"/>
          <w:szCs w:val="22"/>
        </w:rPr>
      </w:pPr>
      <w:r>
        <w:rPr>
          <w:sz w:val="22"/>
          <w:szCs w:val="22"/>
        </w:rPr>
        <w:t>Số định danh các nhân: {{ v(i) }}</w:t>
      </w:r>
    </w:p>
    <w:p w:rsidR="00ED1433" w:rsidRDefault="00AA54E5">
      <w:pPr>
        <w:widowControl w:val="0"/>
        <w:tabs>
          <w:tab w:val="left" w:pos="5760"/>
          <w:tab w:val="left" w:pos="8789"/>
        </w:tabs>
        <w:spacing w:line="360" w:lineRule="auto"/>
        <w:rPr>
          <w:sz w:val="22"/>
          <w:szCs w:val="22"/>
        </w:rPr>
      </w:pPr>
      <w:r>
        <w:rPr>
          <w:sz w:val="22"/>
          <w:szCs w:val="22"/>
        </w:rPr>
        <w:t xml:space="preserve">Địa chỉ liên lạc: {{ v(i) }} </w:t>
      </w:r>
    </w:p>
    <w:p w:rsidR="00ED1433" w:rsidRDefault="00AA54E5">
      <w:pPr>
        <w:tabs>
          <w:tab w:val="left" w:pos="5310"/>
        </w:tabs>
        <w:spacing w:before="80" w:after="80" w:line="360" w:lineRule="auto"/>
        <w:rPr>
          <w:sz w:val="22"/>
          <w:szCs w:val="22"/>
        </w:rPr>
      </w:pPr>
      <w:r>
        <w:rPr>
          <w:sz w:val="22"/>
          <w:szCs w:val="22"/>
        </w:rPr>
        <w:t>Tỷ lệ sở hữu/ vốn điều lệ: {{ v(i) }}% {%endfor %}{% endif %}</w:t>
      </w:r>
    </w:p>
    <w:p w:rsidR="00ED1433" w:rsidRDefault="00AA54E5">
      <w:pPr>
        <w:spacing w:before="160" w:after="60" w:line="312" w:lineRule="auto"/>
        <w:ind w:hanging="2"/>
        <w:rPr>
          <w:b/>
          <w:sz w:val="22"/>
          <w:szCs w:val="22"/>
        </w:rPr>
      </w:pPr>
      <w:r>
        <w:rPr>
          <w:b/>
          <w:sz w:val="22"/>
          <w:szCs w:val="22"/>
        </w:rPr>
        <w:t>Điều 4. Cổ phần, Vốn điều lệ, tỷ lệ góp vốn, thanh toán cổ phần đã đăng ký mua</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Toàn bộ cổ phần của Công ty là cổ phần ph</w:t>
      </w:r>
      <w:r>
        <w:rPr>
          <w:sz w:val="22"/>
          <w:szCs w:val="22"/>
        </w:rPr>
        <w:t>ổ thông. Cổ đông mua cổ phần bằng tiền Việt Nam.</w:t>
      </w:r>
    </w:p>
    <w:p w:rsidR="00ED1433" w:rsidRDefault="00AA54E5">
      <w:pPr>
        <w:spacing w:line="312" w:lineRule="auto"/>
        <w:ind w:hanging="2"/>
        <w:jc w:val="both"/>
        <w:rPr>
          <w:sz w:val="22"/>
          <w:szCs w:val="22"/>
          <w:highlight w:val="white"/>
        </w:rPr>
      </w:pPr>
      <w:r>
        <w:rPr>
          <w:sz w:val="22"/>
          <w:szCs w:val="22"/>
        </w:rPr>
        <w:t>2. Vốn điều lệ (bằng số; VNĐ): {{ v(capital) }} VNĐ</w:t>
      </w:r>
    </w:p>
    <w:p w:rsidR="00ED1433" w:rsidRDefault="00AA54E5">
      <w:pPr>
        <w:tabs>
          <w:tab w:val="left" w:pos="389"/>
          <w:tab w:val="left" w:pos="432"/>
          <w:tab w:val="left" w:pos="475"/>
          <w:tab w:val="left" w:pos="504"/>
          <w:tab w:val="left" w:pos="576"/>
          <w:tab w:val="left" w:pos="720"/>
          <w:tab w:val="left" w:pos="1440"/>
          <w:tab w:val="left" w:pos="9072"/>
        </w:tabs>
        <w:spacing w:line="312" w:lineRule="auto"/>
        <w:ind w:hanging="2"/>
        <w:jc w:val="both"/>
        <w:rPr>
          <w:sz w:val="22"/>
          <w:szCs w:val="22"/>
        </w:rPr>
      </w:pPr>
      <w:r>
        <w:rPr>
          <w:sz w:val="22"/>
          <w:szCs w:val="22"/>
        </w:rPr>
        <w:t>Bằng chữ: {{ v(capital) }}  Việt Nam đồng</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Tổng số cổ phần: {{ v(capital) }}</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Mệnh giá cổ phần: 10.000 đồng/cổ phần</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Cổ phần phổ thông: {{ v(capital) }}</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Cổ phần ưu đãi: 0</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Tỷ lệ sở hữu cổ phần của các cổ đông sáng lập:</w:t>
      </w:r>
    </w:p>
    <w:tbl>
      <w:tblPr>
        <w:tblStyle w:val="ad"/>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1"/>
        <w:gridCol w:w="2551"/>
        <w:gridCol w:w="992"/>
        <w:gridCol w:w="1134"/>
        <w:gridCol w:w="851"/>
        <w:gridCol w:w="1559"/>
        <w:gridCol w:w="992"/>
        <w:gridCol w:w="567"/>
      </w:tblGrid>
      <w:tr w:rsidR="00ED1433">
        <w:trPr>
          <w:cantSplit/>
        </w:trPr>
        <w:tc>
          <w:tcPr>
            <w:tcW w:w="421" w:type="dxa"/>
            <w:vMerge w:val="restart"/>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114" w:right="-113" w:firstLine="0"/>
              <w:jc w:val="center"/>
              <w:rPr>
                <w:sz w:val="22"/>
                <w:szCs w:val="22"/>
              </w:rPr>
            </w:pPr>
            <w:r>
              <w:rPr>
                <w:sz w:val="22"/>
                <w:szCs w:val="22"/>
              </w:rPr>
              <w:t>STT</w:t>
            </w:r>
          </w:p>
        </w:tc>
        <w:tc>
          <w:tcPr>
            <w:tcW w:w="2551" w:type="dxa"/>
            <w:vMerge w:val="restart"/>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Tên cổ đông</w:t>
            </w:r>
          </w:p>
        </w:tc>
        <w:tc>
          <w:tcPr>
            <w:tcW w:w="992" w:type="dxa"/>
            <w:vMerge w:val="restart"/>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Số cổ phần</w:t>
            </w:r>
          </w:p>
        </w:tc>
        <w:tc>
          <w:tcPr>
            <w:tcW w:w="1985" w:type="dxa"/>
            <w:gridSpan w:val="2"/>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Loại cổ phần sở hữu</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Tổng giá trị cổ phần (VNĐ)</w:t>
            </w:r>
          </w:p>
        </w:tc>
        <w:tc>
          <w:tcPr>
            <w:tcW w:w="992" w:type="dxa"/>
            <w:vMerge w:val="restart"/>
            <w:tcBorders>
              <w:top w:val="single" w:sz="4" w:space="0" w:color="000000"/>
              <w:left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Mệnh giá</w:t>
            </w:r>
          </w:p>
          <w:p w:rsidR="00ED1433" w:rsidRDefault="00AA54E5">
            <w:pPr>
              <w:spacing w:before="120" w:after="60" w:line="312" w:lineRule="auto"/>
              <w:ind w:left="-2" w:firstLine="0"/>
              <w:jc w:val="center"/>
              <w:rPr>
                <w:sz w:val="22"/>
                <w:szCs w:val="22"/>
              </w:rPr>
            </w:pPr>
            <w:r>
              <w:rPr>
                <w:sz w:val="22"/>
                <w:szCs w:val="22"/>
              </w:rPr>
              <w:t>cổ phần (VNĐ)</w:t>
            </w:r>
          </w:p>
        </w:tc>
        <w:tc>
          <w:tcPr>
            <w:tcW w:w="567" w:type="dxa"/>
            <w:vMerge w:val="restart"/>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Tỷ</w:t>
            </w:r>
          </w:p>
          <w:p w:rsidR="00ED1433" w:rsidRDefault="00AA54E5">
            <w:pPr>
              <w:spacing w:before="120" w:after="60" w:line="312" w:lineRule="auto"/>
              <w:ind w:left="-2" w:firstLine="0"/>
              <w:jc w:val="center"/>
              <w:rPr>
                <w:sz w:val="22"/>
                <w:szCs w:val="22"/>
              </w:rPr>
            </w:pPr>
            <w:r>
              <w:rPr>
                <w:sz w:val="22"/>
                <w:szCs w:val="22"/>
              </w:rPr>
              <w:t>lệ</w:t>
            </w:r>
          </w:p>
          <w:p w:rsidR="00ED1433" w:rsidRDefault="00AA54E5">
            <w:pPr>
              <w:spacing w:before="120" w:after="60" w:line="312" w:lineRule="auto"/>
              <w:ind w:left="-2" w:firstLine="0"/>
              <w:jc w:val="center"/>
              <w:rPr>
                <w:sz w:val="22"/>
                <w:szCs w:val="22"/>
              </w:rPr>
            </w:pPr>
            <w:r>
              <w:rPr>
                <w:sz w:val="22"/>
                <w:szCs w:val="22"/>
              </w:rPr>
              <w:t>(%)</w:t>
            </w:r>
          </w:p>
        </w:tc>
      </w:tr>
      <w:tr w:rsidR="00ED1433">
        <w:trPr>
          <w:cantSplit/>
          <w:trHeight w:val="513"/>
        </w:trPr>
        <w:tc>
          <w:tcPr>
            <w:tcW w:w="421" w:type="dxa"/>
            <w:vMerge/>
            <w:tcBorders>
              <w:top w:val="single" w:sz="4" w:space="0" w:color="000000"/>
              <w:left w:val="single" w:sz="4" w:space="0" w:color="000000"/>
              <w:bottom w:val="single" w:sz="4" w:space="0" w:color="000000"/>
              <w:right w:val="single" w:sz="4" w:space="0" w:color="000000"/>
            </w:tcBorders>
            <w:vAlign w:val="center"/>
          </w:tcPr>
          <w:p w:rsidR="00ED1433" w:rsidRDefault="00ED1433">
            <w:pPr>
              <w:widowControl w:val="0"/>
              <w:pBdr>
                <w:top w:val="nil"/>
                <w:left w:val="nil"/>
                <w:bottom w:val="nil"/>
                <w:right w:val="nil"/>
                <w:between w:val="nil"/>
              </w:pBdr>
              <w:spacing w:line="276" w:lineRule="auto"/>
              <w:ind w:firstLine="0"/>
              <w:rPr>
                <w:sz w:val="22"/>
                <w:szCs w:val="22"/>
              </w:rPr>
            </w:pPr>
          </w:p>
        </w:tc>
        <w:tc>
          <w:tcPr>
            <w:tcW w:w="2551" w:type="dxa"/>
            <w:vMerge/>
            <w:tcBorders>
              <w:top w:val="single" w:sz="4" w:space="0" w:color="000000"/>
              <w:left w:val="single" w:sz="4" w:space="0" w:color="000000"/>
              <w:bottom w:val="single" w:sz="4" w:space="0" w:color="000000"/>
              <w:right w:val="single" w:sz="4" w:space="0" w:color="000000"/>
            </w:tcBorders>
            <w:vAlign w:val="center"/>
          </w:tcPr>
          <w:p w:rsidR="00ED1433" w:rsidRDefault="00ED1433">
            <w:pPr>
              <w:widowControl w:val="0"/>
              <w:pBdr>
                <w:top w:val="nil"/>
                <w:left w:val="nil"/>
                <w:bottom w:val="nil"/>
                <w:right w:val="nil"/>
                <w:between w:val="nil"/>
              </w:pBdr>
              <w:spacing w:line="276" w:lineRule="auto"/>
              <w:ind w:firstLine="0"/>
              <w:rPr>
                <w:sz w:val="22"/>
                <w:szCs w:val="22"/>
              </w:rPr>
            </w:pPr>
          </w:p>
        </w:tc>
        <w:tc>
          <w:tcPr>
            <w:tcW w:w="992" w:type="dxa"/>
            <w:vMerge/>
            <w:tcBorders>
              <w:top w:val="single" w:sz="4" w:space="0" w:color="000000"/>
              <w:left w:val="single" w:sz="4" w:space="0" w:color="000000"/>
              <w:bottom w:val="single" w:sz="4" w:space="0" w:color="000000"/>
              <w:right w:val="single" w:sz="4" w:space="0" w:color="000000"/>
            </w:tcBorders>
            <w:vAlign w:val="center"/>
          </w:tcPr>
          <w:p w:rsidR="00ED1433" w:rsidRDefault="00ED1433">
            <w:pPr>
              <w:widowControl w:val="0"/>
              <w:pBdr>
                <w:top w:val="nil"/>
                <w:left w:val="nil"/>
                <w:bottom w:val="nil"/>
                <w:right w:val="nil"/>
                <w:between w:val="nil"/>
              </w:pBdr>
              <w:spacing w:line="276" w:lineRule="auto"/>
              <w:ind w:firstLine="0"/>
              <w:rPr>
                <w:sz w:val="22"/>
                <w:szCs w:val="22"/>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Phổ thông</w:t>
            </w:r>
          </w:p>
        </w:tc>
        <w:tc>
          <w:tcPr>
            <w:tcW w:w="851" w:type="dxa"/>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Ưu đãi</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ED1433" w:rsidRDefault="00ED1433">
            <w:pPr>
              <w:widowControl w:val="0"/>
              <w:pBdr>
                <w:top w:val="nil"/>
                <w:left w:val="nil"/>
                <w:bottom w:val="nil"/>
                <w:right w:val="nil"/>
                <w:between w:val="nil"/>
              </w:pBdr>
              <w:spacing w:line="276" w:lineRule="auto"/>
              <w:ind w:firstLine="0"/>
              <w:rPr>
                <w:sz w:val="22"/>
                <w:szCs w:val="22"/>
              </w:rPr>
            </w:pPr>
          </w:p>
        </w:tc>
        <w:tc>
          <w:tcPr>
            <w:tcW w:w="992" w:type="dxa"/>
            <w:vMerge/>
            <w:tcBorders>
              <w:top w:val="single" w:sz="4" w:space="0" w:color="000000"/>
              <w:left w:val="single" w:sz="4" w:space="0" w:color="000000"/>
              <w:right w:val="single" w:sz="4" w:space="0" w:color="000000"/>
            </w:tcBorders>
            <w:vAlign w:val="center"/>
          </w:tcPr>
          <w:p w:rsidR="00ED1433" w:rsidRDefault="00ED1433">
            <w:pPr>
              <w:widowControl w:val="0"/>
              <w:pBdr>
                <w:top w:val="nil"/>
                <w:left w:val="nil"/>
                <w:bottom w:val="nil"/>
                <w:right w:val="nil"/>
                <w:between w:val="nil"/>
              </w:pBdr>
              <w:spacing w:line="276" w:lineRule="auto"/>
              <w:ind w:firstLine="0"/>
              <w:rPr>
                <w:sz w:val="22"/>
                <w:szCs w:val="22"/>
              </w:rPr>
            </w:pPr>
          </w:p>
        </w:tc>
        <w:tc>
          <w:tcPr>
            <w:tcW w:w="567" w:type="dxa"/>
            <w:vMerge/>
            <w:tcBorders>
              <w:top w:val="single" w:sz="4" w:space="0" w:color="000000"/>
              <w:left w:val="single" w:sz="4" w:space="0" w:color="000000"/>
              <w:bottom w:val="single" w:sz="4" w:space="0" w:color="000000"/>
              <w:right w:val="single" w:sz="4" w:space="0" w:color="000000"/>
            </w:tcBorders>
            <w:vAlign w:val="center"/>
          </w:tcPr>
          <w:p w:rsidR="00ED1433" w:rsidRDefault="00ED1433">
            <w:pPr>
              <w:widowControl w:val="0"/>
              <w:pBdr>
                <w:top w:val="nil"/>
                <w:left w:val="nil"/>
                <w:bottom w:val="nil"/>
                <w:right w:val="nil"/>
                <w:between w:val="nil"/>
              </w:pBdr>
              <w:spacing w:line="276" w:lineRule="auto"/>
              <w:ind w:firstLine="0"/>
              <w:rPr>
                <w:sz w:val="22"/>
                <w:szCs w:val="22"/>
              </w:rPr>
            </w:pPr>
          </w:p>
        </w:tc>
      </w:tr>
      <w:tr w:rsidR="00ED1433">
        <w:tc>
          <w:tcPr>
            <w:tcW w:w="9067" w:type="dxa"/>
            <w:gridSpan w:val="8"/>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{%tr for item in founderArr %}</w:t>
            </w:r>
          </w:p>
        </w:tc>
      </w:tr>
      <w:tr w:rsidR="00ED1433">
        <w:trPr>
          <w:trHeight w:val="332"/>
        </w:trPr>
        <w:tc>
          <w:tcPr>
            <w:tcW w:w="421" w:type="dxa"/>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 loop.index }}</w:t>
            </w:r>
          </w:p>
        </w:tc>
        <w:tc>
          <w:tcPr>
            <w:tcW w:w="2551" w:type="dxa"/>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both"/>
              <w:rPr>
                <w:sz w:val="22"/>
                <w:szCs w:val="22"/>
              </w:rPr>
            </w:pPr>
            <w:r>
              <w:rPr>
                <w:sz w:val="22"/>
                <w:szCs w:val="22"/>
              </w:rPr>
              <w:t>{{ v(item) }}</w:t>
            </w:r>
          </w:p>
        </w:tc>
        <w:tc>
          <w:tcPr>
            <w:tcW w:w="992" w:type="dxa"/>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 v(item) }}</w:t>
            </w:r>
          </w:p>
        </w:tc>
        <w:tc>
          <w:tcPr>
            <w:tcW w:w="1134" w:type="dxa"/>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 v(item) }}</w:t>
            </w:r>
          </w:p>
        </w:tc>
        <w:tc>
          <w:tcPr>
            <w:tcW w:w="851" w:type="dxa"/>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0</w:t>
            </w:r>
          </w:p>
        </w:tc>
        <w:tc>
          <w:tcPr>
            <w:tcW w:w="1559" w:type="dxa"/>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 v(item) }}</w:t>
            </w:r>
          </w:p>
        </w:tc>
        <w:tc>
          <w:tcPr>
            <w:tcW w:w="992" w:type="dxa"/>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10.000</w:t>
            </w:r>
          </w:p>
        </w:tc>
        <w:tc>
          <w:tcPr>
            <w:tcW w:w="567" w:type="dxa"/>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 v(item) }}</w:t>
            </w:r>
          </w:p>
        </w:tc>
      </w:tr>
      <w:tr w:rsidR="00ED1433">
        <w:tc>
          <w:tcPr>
            <w:tcW w:w="9067" w:type="dxa"/>
            <w:gridSpan w:val="8"/>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firstLine="0"/>
              <w:jc w:val="center"/>
              <w:rPr>
                <w:sz w:val="22"/>
                <w:szCs w:val="22"/>
              </w:rPr>
            </w:pPr>
            <w:r>
              <w:rPr>
                <w:sz w:val="22"/>
                <w:szCs w:val="22"/>
              </w:rPr>
              <w:t>{%tr endfor %}</w:t>
            </w:r>
          </w:p>
        </w:tc>
      </w:tr>
      <w:tr w:rsidR="00ED1433">
        <w:tc>
          <w:tcPr>
            <w:tcW w:w="2972" w:type="dxa"/>
            <w:gridSpan w:val="2"/>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Tổng</w:t>
            </w:r>
          </w:p>
        </w:tc>
        <w:tc>
          <w:tcPr>
            <w:tcW w:w="992" w:type="dxa"/>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 v(capital2) }}</w:t>
            </w:r>
          </w:p>
        </w:tc>
        <w:tc>
          <w:tcPr>
            <w:tcW w:w="1134" w:type="dxa"/>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 v(capital2) }}</w:t>
            </w:r>
          </w:p>
        </w:tc>
        <w:tc>
          <w:tcPr>
            <w:tcW w:w="851" w:type="dxa"/>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0</w:t>
            </w:r>
          </w:p>
        </w:tc>
        <w:tc>
          <w:tcPr>
            <w:tcW w:w="1559" w:type="dxa"/>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 v(capital2) }}</w:t>
            </w:r>
          </w:p>
        </w:tc>
        <w:tc>
          <w:tcPr>
            <w:tcW w:w="992" w:type="dxa"/>
            <w:tcBorders>
              <w:top w:val="single" w:sz="4" w:space="0" w:color="000000"/>
              <w:left w:val="single" w:sz="4" w:space="0" w:color="000000"/>
              <w:bottom w:val="single" w:sz="4" w:space="0" w:color="000000"/>
              <w:right w:val="single" w:sz="4" w:space="0" w:color="000000"/>
            </w:tcBorders>
            <w:vAlign w:val="center"/>
          </w:tcPr>
          <w:p w:rsidR="00ED1433" w:rsidRDefault="00ED1433">
            <w:pPr>
              <w:spacing w:before="120" w:after="60" w:line="312" w:lineRule="auto"/>
              <w:ind w:left="-2" w:firstLine="0"/>
              <w:jc w:val="center"/>
              <w:rPr>
                <w:sz w:val="22"/>
                <w:szCs w:val="22"/>
              </w:rPr>
            </w:pPr>
          </w:p>
        </w:tc>
        <w:tc>
          <w:tcPr>
            <w:tcW w:w="567" w:type="dxa"/>
            <w:tcBorders>
              <w:top w:val="single" w:sz="4" w:space="0" w:color="000000"/>
              <w:left w:val="single" w:sz="4" w:space="0" w:color="000000"/>
              <w:bottom w:val="single" w:sz="4" w:space="0" w:color="000000"/>
              <w:right w:val="single" w:sz="4" w:space="0" w:color="000000"/>
            </w:tcBorders>
            <w:vAlign w:val="center"/>
          </w:tcPr>
          <w:p w:rsidR="00ED1433" w:rsidRDefault="00AA54E5">
            <w:pPr>
              <w:spacing w:before="120" w:after="60" w:line="312" w:lineRule="auto"/>
              <w:ind w:left="-2" w:firstLine="0"/>
              <w:jc w:val="center"/>
              <w:rPr>
                <w:sz w:val="22"/>
                <w:szCs w:val="22"/>
              </w:rPr>
            </w:pPr>
            <w:r>
              <w:rPr>
                <w:sz w:val="22"/>
                <w:szCs w:val="22"/>
              </w:rPr>
              <w:t>100</w:t>
            </w:r>
          </w:p>
        </w:tc>
      </w:tr>
    </w:tbl>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before="120" w:line="312" w:lineRule="auto"/>
        <w:ind w:hanging="2"/>
        <w:jc w:val="both"/>
        <w:rPr>
          <w:sz w:val="22"/>
          <w:szCs w:val="22"/>
        </w:rPr>
      </w:pPr>
      <w:r>
        <w:rPr>
          <w:sz w:val="22"/>
          <w:szCs w:val="22"/>
        </w:rPr>
        <w:lastRenderedPageBreak/>
        <w:t>4. Thời điểm góp vốn: 90 ngày kể từ ngày công ty được cấp Giấy chứng nhận đăng ký kinh doanh</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5. </w:t>
      </w:r>
      <w:r>
        <w:rPr>
          <w:sz w:val="22"/>
          <w:szCs w:val="22"/>
          <w:highlight w:val="white"/>
        </w:rPr>
        <w:t>Trong thời hạn từ ngày công ty được cấp Giấy chứng nhận đăng ký doanh nghiệp đến ngày cuối cùng phải thanh toán đủ số cổ phần đã đăng ký mua, số phiếu biểu quyết của các cổ đông được tính theo số cổ phần phổ thông đã được đăng ký mua.</w:t>
      </w:r>
      <w:r>
        <w:rPr>
          <w:sz w:val="22"/>
          <w:szCs w:val="22"/>
        </w:rPr>
        <w:t xml:space="preserve">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6. Trường hợp sa</w:t>
      </w:r>
      <w:r>
        <w:rPr>
          <w:sz w:val="22"/>
          <w:szCs w:val="22"/>
        </w:rPr>
        <w:t>u khi hết thời hạn, cổ đông chưa thanh toán hoặc chỉ thanh toán được một phần số cổ phần đã đăng ký mua thì thực hiện theo quy định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Cổ đông chưa thanh toán số cổ phần đã đăng ký mua đương nhiên không còn là cổ đông của công ty và không được ch</w:t>
      </w:r>
      <w:r>
        <w:rPr>
          <w:sz w:val="22"/>
          <w:szCs w:val="22"/>
        </w:rPr>
        <w:t>uyển nhượng quyền mua cổ phần đó cho người khác;</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Cổ đông chỉ thanh toán một phần số cổ phần đã đăng ký mua có quyền biểu quyết, nhận lợi tức và các quyền khác tương ứng với số cổ phần đã thanh toán; không được chuyển nhượng quyền mua số cổ phần chưa tha</w:t>
      </w:r>
      <w:r>
        <w:rPr>
          <w:sz w:val="22"/>
          <w:szCs w:val="22"/>
        </w:rPr>
        <w:t>nh toán cho người khác;</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Cổ phần chưa thanh toán được coi là cổ phần chưa bán và Hội đồng quản trị được quyền bán;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w:t>
      </w:r>
      <w:r>
        <w:rPr>
          <w:sz w:val="22"/>
          <w:szCs w:val="22"/>
          <w:highlight w:val="white"/>
        </w:rPr>
        <w:t>Trong</w:t>
      </w:r>
      <w:r>
        <w:rPr>
          <w:sz w:val="22"/>
          <w:szCs w:val="22"/>
        </w:rPr>
        <w:t> thời hạn 30 ngày kể từ ngày kết thúc thời hạn phải thanh toán đủ số cổ phần đã đăng ký mua, công ty phải đăng ký điều chỉnh vốn đi</w:t>
      </w:r>
      <w:r>
        <w:rPr>
          <w:sz w:val="22"/>
          <w:szCs w:val="22"/>
        </w:rPr>
        <w:t>ều lệ bằng mệnh giá số cổ phần đã được thanh toán đủ, trừ trường hợp số cổ phần chưa thanh toán đã được bán hết trong thời hạn này; đăng ký thay đổi cổ đông sáng lập.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7. </w:t>
      </w:r>
      <w:r>
        <w:rPr>
          <w:sz w:val="22"/>
          <w:szCs w:val="22"/>
          <w:highlight w:val="white"/>
        </w:rPr>
        <w:t>Cổ đông chưa thanh toán hoặc chưa thanh toán đủ số cổ phần đã đăng ký mua phải chịu tr</w:t>
      </w:r>
      <w:r>
        <w:rPr>
          <w:sz w:val="22"/>
          <w:szCs w:val="22"/>
          <w:highlight w:val="white"/>
        </w:rPr>
        <w:t>ách nhiệm tương ứng với tổng mệnh giá cổ phần đã đăng ký mua đối với các nghĩa vụ tài chính của công ty phát sinh trong thời hạn trước ngày công ty đăng ký điều chỉnh vốn điều lệ theo quy định tại điểm d khoản 6 Điều này. Thành viên Hội đồng quản trị, ngườ</w:t>
      </w:r>
      <w:r>
        <w:rPr>
          <w:sz w:val="22"/>
          <w:szCs w:val="22"/>
          <w:highlight w:val="white"/>
        </w:rPr>
        <w:t>i đại diện theo pháp luật phải chịu trách nhiệm liên đới về các thiệt hại phát sinh do không thực hiện hoặc không thực hiện đúng quy định tại khoản 1 và điểm d khoản 6 Điều này</w:t>
      </w:r>
      <w:r>
        <w:rPr>
          <w:sz w:val="22"/>
          <w:szCs w:val="22"/>
        </w:rPr>
        <w:t>.</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8.  Công ty có thể thay đổi vốn điều lệ trong các trường hợp sau đây: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Theo quyết định của Đại hội đồng cổ đông, Công ty hoàn trả một phần vốn góp cho cổ đông theo tỷ lệ sở hữu cổ phần của họ trong Công ty nếu Công ty đã hoạt động kinh doanh liên tục trong hơn 02 năm, kể từ ngày đăng ký doanh nghiệp và bảo đảm thanh toán đ</w:t>
      </w:r>
      <w:r>
        <w:rPr>
          <w:sz w:val="22"/>
          <w:szCs w:val="22"/>
        </w:rPr>
        <w:t>ủ các khoản nợ và nghĩa vụ tài sản khác sau khi đã hoàn trả cho cổ đông;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Công ty mua lại cổ phần đã phát hành quy định tại Điều 132, 133 Luật doanh nghiệp;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Vốn điều lệ không được các cổ đông thanh toán đầy đủ và đúng hạn theo quy định tại Điều này.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d) Công ty tăng vốn điều lệ tương ứng với tổng giá trị mệnh giá các cổ phần dùng để chi trả cổ tức khi Công ty chi trả cổ tức bằng cổ phần.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đ) Công ty tăng thêm số lượng cổ phần được quyền chào bán và bán các cổ phần đó trong quá trình hoạt động để tăng </w:t>
      </w:r>
      <w:r>
        <w:rPr>
          <w:sz w:val="22"/>
          <w:szCs w:val="22"/>
        </w:rPr>
        <w:t xml:space="preserve">vốn điều lệ. </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 xml:space="preserve">Điều 5. Cổ phần phổ thông của cổ đông sáng lập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Các cổ đông sáng lập phải cùng nhau đăng ký mua ít nhất 20% tổng số cổ phần phổ thông được quyền chào bán tại thời điểm đăng ký doanh nghiệp.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highlight w:val="white"/>
        </w:rPr>
      </w:pPr>
      <w:r>
        <w:rPr>
          <w:sz w:val="22"/>
          <w:szCs w:val="22"/>
        </w:rPr>
        <w:t xml:space="preserve">2. </w:t>
      </w:r>
      <w:r>
        <w:rPr>
          <w:sz w:val="22"/>
          <w:szCs w:val="22"/>
          <w:highlight w:val="white"/>
        </w:rPr>
        <w:t xml:space="preserve">Trong thời hạn 03 năm kể từ ngày công ty được </w:t>
      </w:r>
      <w:r>
        <w:rPr>
          <w:sz w:val="22"/>
          <w:szCs w:val="22"/>
          <w:highlight w:val="white"/>
        </w:rPr>
        <w:t>cấp Giấy chứng nhận đăng ký doanh nghiệp, cổ phần phổ thông của cổ đông sáng lập được tự do chuyển nhượng cho cổ đông sáng lập khác và chỉ được chuyển nhượng cho người không phải là cổ đông sáng lập nếu được sự chấp thuận của Đại hội đồng cổ đông. Trường h</w:t>
      </w:r>
      <w:r>
        <w:rPr>
          <w:sz w:val="22"/>
          <w:szCs w:val="22"/>
          <w:highlight w:val="white"/>
        </w:rPr>
        <w:t>ợp này, cổ đông sáng lập dự định chuyển nhượng cổ phần phổ thông thì không có quyền biểu quyết về việc chuyển nhượng cổ phần đó.</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Các hạn chế quy định tại khoản 2 Điều này không áp dụng đối với cổ phần phổ thông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a) Cổ phần mà cổ đông sáng lập có</w:t>
      </w:r>
      <w:r>
        <w:rPr>
          <w:sz w:val="22"/>
          <w:szCs w:val="22"/>
        </w:rPr>
        <w:t xml:space="preserve"> thêm sau khi đăng ký thành lập doanh nghiệp;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b) Cổ phần đã được chuyển nhượng cho người khác không phải là cổ đông sáng lập.</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4" w:name="_heading=h.xf2uydv6edub" w:colFirst="0" w:colLast="0"/>
      <w:bookmarkEnd w:id="4"/>
      <w:r>
        <w:rPr>
          <w:b/>
          <w:sz w:val="22"/>
          <w:szCs w:val="22"/>
        </w:rPr>
        <w:lastRenderedPageBreak/>
        <w:t>Điều 6.  Quyền của cổ đông phổ thông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Cổ đông phổ thông có quyền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Tham dự, phát biểu trong cuộc họp Đại hội đồng cổ đông và thực hiện quyền biểu quyết trực tiếp hoặc thông qua người đại diện theo ủy quyền hoặc hình thức khác do pháp luật quy định. Mỗi cổ phần phổ thông có một phiếu biểu quyết;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Nhận cổ tức với mức theo quyết định của Đại hội đồng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Ưu tiên mua cổ phần mới tương ứng với tỷ lệ sở hữu cổ phần phổ thông của từng cổ đông </w:t>
      </w:r>
      <w:r>
        <w:rPr>
          <w:sz w:val="22"/>
          <w:szCs w:val="22"/>
          <w:highlight w:val="white"/>
        </w:rPr>
        <w:t>trong</w:t>
      </w:r>
      <w:r>
        <w:rPr>
          <w:sz w:val="22"/>
          <w:szCs w:val="22"/>
        </w:rPr>
        <w:t>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Tự do chuyển nhượng cổ phần của mình cho người khác, trừ trường hợp quy định tại kho</w:t>
      </w:r>
      <w:r>
        <w:rPr>
          <w:sz w:val="22"/>
          <w:szCs w:val="22"/>
        </w:rPr>
        <w:t>ản 3 Điều 120, khoản 1 Điều 127 của Luật doanh nghiệp và quy định khác của pháp luật có liên quan;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đ) Xem xét, tra cứu và trích lục thông tin về tên và địa chỉ liên lạc trong danh sách cổ đông có quyền biểu quyết; yêu cầu sửa đổi thông tin không chính xác</w:t>
      </w:r>
      <w:r>
        <w:rPr>
          <w:sz w:val="22"/>
          <w:szCs w:val="22"/>
        </w:rPr>
        <w:t xml:space="preserve"> của mình;</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e) Xem xét, tra cứu, trích lục hoặc sao chụp Điều lệ công ty, biên bản họp Đại hội đồng cổ đông và nghị quyết Đại hội đồng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g) Khi công ty giải thể hoặc phá sản, được nhận một phần tài sản còn lại tương ứng với tỷ lệ sở hữu cổ phần tại c</w:t>
      </w:r>
      <w:r>
        <w:rPr>
          <w:sz w:val="22"/>
          <w:szCs w:val="22"/>
        </w:rPr>
        <w:t>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Cổ đông hoặc nhóm cổ đông sở hữu từ 05% tổng số cổ phần phổ thông trở lên có quyền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a) Xem xét, tra cứu, trích lục sổ biên bản và nghị quyết, quyết định của Hội đồng quản trị, báo cáo tài chính giữa năm và hằng năm, báo cáo của Ban kiểm </w:t>
      </w:r>
      <w:r>
        <w:rPr>
          <w:sz w:val="22"/>
          <w:szCs w:val="22"/>
        </w:rPr>
        <w:t>soát, hợp đồng, giao dịch phải thông qua Hội đồng quản trị và tài liệu khác, trừ tài liệu liên quan đến bí mật thương mại, bí mật kinh doanh của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Yêu cầu triệu tập họp Đại hội đồng cổ đông </w:t>
      </w:r>
      <w:r>
        <w:rPr>
          <w:sz w:val="22"/>
          <w:szCs w:val="22"/>
          <w:highlight w:val="white"/>
        </w:rPr>
        <w:t>trong</w:t>
      </w:r>
      <w:r>
        <w:rPr>
          <w:sz w:val="22"/>
          <w:szCs w:val="22"/>
        </w:rPr>
        <w:t> trường hợp quy định tại khoản 3 Điều này;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Yêu c</w:t>
      </w:r>
      <w:r>
        <w:rPr>
          <w:sz w:val="22"/>
          <w:szCs w:val="22"/>
        </w:rPr>
        <w:t>ầu Ban kiểm soát kiểm tra từng vấn đề cụ thể liên quan đến quản lý, điều hành hoạt động của công ty khi xét thấy cần thiết. Yêu cầu phải bằng văn bản và phải bao gồm các nội dung sau đây: họ, tên, địa chỉ liên lạc, quốc tịch, số giấy tờ pháp lý của cá nhân</w:t>
      </w:r>
      <w:r>
        <w:rPr>
          <w:sz w:val="22"/>
          <w:szCs w:val="22"/>
        </w:rPr>
        <w:t xml:space="preserve">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w:t>
      </w:r>
      <w:r>
        <w:rPr>
          <w:sz w:val="22"/>
          <w:szCs w:val="22"/>
        </w:rPr>
        <w:t>rong tổng số cổ phần của công ty; vấn đề cần kiểm tra, mục đích kiểm tra;</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Cổ đông hoặc nhóm cổ đông quy định tại khoản 2 Điều này có quyền yêu cầu triệu tập họp Đại hội đồng cổ đông trong trường hợp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Hội đồng quản trị vi phạm nghiêm trọng quy</w:t>
      </w:r>
      <w:r>
        <w:rPr>
          <w:sz w:val="22"/>
          <w:szCs w:val="22"/>
        </w:rPr>
        <w:t>ền của cổ đông, nghĩa vụ của người quản lý hoặc ra quyết định vượt quá thẩm quyền được giao;</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4. Yêu cầu triệu tập họp Đại hội đồng cổ đông quy định tại khoản 3 Điều này phải bằng văn bản và phải bao gồm các nội dung sau đây: họ, tên, địa chỉ liên lạc, quốc</w:t>
      </w:r>
      <w:r>
        <w:rPr>
          <w:sz w:val="22"/>
          <w:szCs w:val="22"/>
        </w:rPr>
        <w:t xml:space="preserve"> tịch, số giấy tờ pháp lý của cá nhân đối </w:t>
      </w:r>
      <w:r>
        <w:rPr>
          <w:sz w:val="22"/>
          <w:szCs w:val="22"/>
          <w:highlight w:val="white"/>
        </w:rPr>
        <w:t>với</w:t>
      </w:r>
      <w:r>
        <w:rPr>
          <w:sz w:val="22"/>
          <w:szCs w:val="22"/>
        </w:rPr>
        <w:t> cổ đông là cá nhân; tên, mã số doanh nghiệp hoặc số giấy tờ pháp lý của tổ chức, địa chỉ trụ sở chính đối với cổ đông là tổ chức; số lượng cổ phần và thời điểm </w:t>
      </w:r>
      <w:r>
        <w:rPr>
          <w:sz w:val="22"/>
          <w:szCs w:val="22"/>
          <w:highlight w:val="white"/>
        </w:rPr>
        <w:t>đăng ký</w:t>
      </w:r>
      <w:r>
        <w:rPr>
          <w:sz w:val="22"/>
          <w:szCs w:val="22"/>
        </w:rPr>
        <w:t xml:space="preserve"> cổ phần của từng cổ đông, tổng số cổ phần </w:t>
      </w:r>
      <w:r>
        <w:rPr>
          <w:sz w:val="22"/>
          <w:szCs w:val="22"/>
        </w:rPr>
        <w:t>của cả nhóm cổ đông và tỷ lệ sở hữu trong tổng số cổ phần của công ty, căn cứ và lý do yêu cầu triệu tập họp Đại hội đồng cổ đông. Kèm theo yêu cầu triệu tập họp phải có các tài liệu, chứng cứ về các vi phạm của Hội đồng quản trị, mức độ vi phạm hoặc </w:t>
      </w:r>
      <w:r>
        <w:rPr>
          <w:sz w:val="22"/>
          <w:szCs w:val="22"/>
          <w:highlight w:val="white"/>
        </w:rPr>
        <w:t>về</w:t>
      </w:r>
      <w:r>
        <w:rPr>
          <w:sz w:val="22"/>
          <w:szCs w:val="22"/>
        </w:rPr>
        <w:t> </w:t>
      </w:r>
      <w:r>
        <w:rPr>
          <w:sz w:val="22"/>
          <w:szCs w:val="22"/>
          <w:highlight w:val="white"/>
        </w:rPr>
        <w:t>qu</w:t>
      </w:r>
      <w:r>
        <w:rPr>
          <w:sz w:val="22"/>
          <w:szCs w:val="22"/>
          <w:highlight w:val="white"/>
        </w:rPr>
        <w:t>yết</w:t>
      </w:r>
      <w:r>
        <w:rPr>
          <w:sz w:val="22"/>
          <w:szCs w:val="22"/>
        </w:rPr>
        <w:t> định vượt quá </w:t>
      </w:r>
      <w:r>
        <w:rPr>
          <w:sz w:val="22"/>
          <w:szCs w:val="22"/>
          <w:highlight w:val="white"/>
        </w:rPr>
        <w:t>thẩm quyền</w:t>
      </w:r>
      <w:r>
        <w:rPr>
          <w:sz w:val="22"/>
          <w:szCs w:val="22"/>
        </w:rPr>
        <w: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5. Cổ đông hoặc nhóm cổ đông sở hữu từ 10% tổng số cổ phần phổ thông trở lên có quyền đề cử người vào Hội đồng quản trị, Ban kiểm soát. Việc đề cử người </w:t>
      </w:r>
      <w:r>
        <w:rPr>
          <w:sz w:val="22"/>
          <w:szCs w:val="22"/>
          <w:highlight w:val="white"/>
        </w:rPr>
        <w:t>và</w:t>
      </w:r>
      <w:r>
        <w:rPr>
          <w:sz w:val="22"/>
          <w:szCs w:val="22"/>
        </w:rPr>
        <w:t>o Hội đồng quản trị và Ban kiểm soát thực hiện như sau:</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a) Các cổ đông </w:t>
      </w:r>
      <w:r>
        <w:rPr>
          <w:sz w:val="22"/>
          <w:szCs w:val="22"/>
        </w:rPr>
        <w:t>phổ thông hợp thành nhóm để đề cử người vào Hội đồng quản trị và Ban kiểm soát phải thông báo về việc họp nhóm cho các cổ đông dự họp biết trước khi khai mạc Đại hội đồng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lastRenderedPageBreak/>
        <w:t>b) Căn cứ số lượng thành viên Hội đồng quản trị và Ban kiểm soát, cổ đông ho</w:t>
      </w:r>
      <w:r>
        <w:rPr>
          <w:sz w:val="22"/>
          <w:szCs w:val="22"/>
        </w:rPr>
        <w:t>ặc nhóm cổ đông quy định tại khoản này được quyền đề cử một hoặc một số ng</w:t>
      </w:r>
      <w:r>
        <w:rPr>
          <w:sz w:val="22"/>
          <w:szCs w:val="22"/>
          <w:highlight w:val="white"/>
        </w:rPr>
        <w:t>ườ</w:t>
      </w:r>
      <w:r>
        <w:rPr>
          <w:sz w:val="22"/>
          <w:szCs w:val="22"/>
        </w:rPr>
        <w:t>i theo quyết định của Đại hội đồng cổ đông làm ứng cử viên Hội đồng quản trị và Ban kiểm soát. Trường hợp số ứng cử viên được cổ đông hoặc nhóm cổ đông đề cử thấp hơn số ứng cử viê</w:t>
      </w:r>
      <w:r>
        <w:rPr>
          <w:sz w:val="22"/>
          <w:szCs w:val="22"/>
        </w:rPr>
        <w:t>n mà họ được quyền đề cử theo quyết định của Đại hội đồng cổ đông thì số ứng cử viên còn lại do Hội đồng quản trị, Ban kiểm soát và các cổ đông khác đề cử.</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7. Nghĩa vụ của cổ đông phổ thông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1. Thanh toán đủ và đúng thời hạn số cổ phần cam kết mua.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Không được rút vốn đã góp bằng cổ phần phổ thông ra khỏi Công ty dưới mọi hình thức, trừ trường hợp được Công ty hoặc người khác mua lại cổ phần. Trường hợp có cổ đông rút một phần hoặc toàn bộ vốn cổ phần đã góp trái với quy định tại khoản này thì cổ đông</w:t>
      </w:r>
      <w:r>
        <w:rPr>
          <w:sz w:val="22"/>
          <w:szCs w:val="22"/>
        </w:rPr>
        <w:t xml:space="preserve"> đó và người có lợi ích liên quan trong Công ty phải cùng liên đới chịu trách nhiệm về các khoản nợ và nghĩa vụ tài sản khác của Công ty trong phạm vi giá trị cổ phần đã bị rút và các thiệt hại xảy ra.</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Tuân thủ Điều lệ và quy chế quản lý nội bộ của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Chấp hành nghị quyết của Đại hội đồng cổ đông, Hội đồng quản trị.</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4. </w:t>
      </w:r>
      <w:r>
        <w:rPr>
          <w:sz w:val="22"/>
          <w:szCs w:val="22"/>
          <w:highlight w:val="white"/>
        </w:rPr>
        <w:t>Bảo mật các thông tin được công ty cung cấp theo quy định tại Điều lệ công ty và pháp luật; chỉ sử dụng thông tin được cung c</w:t>
      </w:r>
      <w:r>
        <w:rPr>
          <w:sz w:val="22"/>
          <w:szCs w:val="22"/>
          <w:highlight w:val="white"/>
        </w:rPr>
        <w:t>ấp để thực hiện và bảo vệ quyền và lợi ích hợp pháp của mình; nghiêm cấm phát tán hoặc sao, gửi thông tin được công ty cung cấp cho tổ chức, cá nhân khác.</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 xml:space="preserve">Điều 8. Sổ đăng ký cổ đông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Công ty lập và lưu giữ sổ đăng ký cổ đông từ khi được cấp Giấy chứng n</w:t>
      </w:r>
      <w:r>
        <w:rPr>
          <w:sz w:val="22"/>
          <w:szCs w:val="22"/>
        </w:rPr>
        <w:t>hận đăng ký doanh nghiệp. Sổ đăng ký cổ đông có thể là văn bản và tập dữ liệu điện tử.</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Sổ đăng ký cổ đông có các nội dung chủ yếu sau đây: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Tên, địa chỉ trụ sở chính của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Tổng số cổ phần được quyền chào bán, loại cổ phần được quyền chào bán</w:t>
      </w:r>
      <w:r>
        <w:rPr>
          <w:sz w:val="22"/>
          <w:szCs w:val="22"/>
        </w:rPr>
        <w:t xml:space="preserve"> và số cổ phần được quyền chào bán của từng loại;</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Tổng số cổ phần đã bán của từng loại và giá trị vốn cổ phần đã góp;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Họ, tên, địa chỉ thường trú, quốc tịch, số Thẻ căn cước công dân, Giấy chứng minh nhân dân, Hộ chiếu hoặc chứng thực cá nhân hợp phá</w:t>
      </w:r>
      <w:r>
        <w:rPr>
          <w:sz w:val="22"/>
          <w:szCs w:val="22"/>
        </w:rPr>
        <w:t>p khác đối với cổ đông là cá nhân; tên, mã số doanh nghiệp hoặc số quyết định thành lập, địa chỉ trụ sở chính đối với cổ đông là tổ chức;</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đ) Số lượng cổ phần từng loại của mỗi cổ đông, ngày đăng ký cổ phần.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Sổ đăng ký cổ đông được lưu giữ tại trụ sở ch</w:t>
      </w:r>
      <w:r>
        <w:rPr>
          <w:sz w:val="22"/>
          <w:szCs w:val="22"/>
        </w:rPr>
        <w:t xml:space="preserve">ính của Công ty. Cổ đông có quyền kiểm tra, tra cứu hoặc trích lục, sao chép nội dung sổ đăng ký cổ đông trong giờ làm việc của Công ty.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4. Trường hợp cổ đông có thay đổi địa chỉ liên lạc thì phải thông báo kịp thời với Công ty để cập nhật vào sổ đăng ký </w:t>
      </w:r>
      <w:r>
        <w:rPr>
          <w:sz w:val="22"/>
          <w:szCs w:val="22"/>
        </w:rPr>
        <w:t>cổ đông. Công ty không chịu trách nhiệm về việc không liên lạc được với cổ đông do không được thông báo thay đổi địa chỉ của cổ đông.</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 xml:space="preserve">Điều 9. Chào bán cổ phần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Chào bán cổ phần là việc Công ty tăng thêm số lượng cổ phần được quyền chào bán và bán các cổ</w:t>
      </w:r>
      <w:r>
        <w:rPr>
          <w:sz w:val="22"/>
          <w:szCs w:val="22"/>
        </w:rPr>
        <w:t xml:space="preserve"> phần đó trong quá trình hoạt động để tăng vốn điều lệ.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Chào bán cổ phần có thể thực hiện theo một trong các hình thức sau đây: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Chào bán cho các cổ đông hiện hữu;</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Chào bán cổ phần riêng lẻ.</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5" w:name="_heading=h.h3qs6s41j8lk" w:colFirst="0" w:colLast="0"/>
      <w:bookmarkEnd w:id="5"/>
      <w:r>
        <w:rPr>
          <w:sz w:val="22"/>
          <w:szCs w:val="22"/>
        </w:rPr>
        <w:t>3. Công ty thực hiện đăng ký thay đổi vốn điều lệ trong thời hạn 10 ngày, kể từ ngày hoàn thành đợt bán cổ phần.</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6" w:name="_heading=h.59pbf6q066zg" w:colFirst="0" w:colLast="0"/>
      <w:bookmarkEnd w:id="6"/>
      <w:r>
        <w:rPr>
          <w:b/>
          <w:sz w:val="22"/>
          <w:szCs w:val="22"/>
        </w:rPr>
        <w:t>Điều 10. Chào bán cổ phần riêng lẻ</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lastRenderedPageBreak/>
        <w:t>1. Chào bán cổ phần riêng lẻ của công ty phải đáp ứng các điều kiện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Không chào bán thông qua phư</w:t>
      </w:r>
      <w:r>
        <w:rPr>
          <w:sz w:val="22"/>
          <w:szCs w:val="22"/>
        </w:rPr>
        <w:t>ơng tiện thông tin đại chúng;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Chào bán cho dưới 100 nhà đầu tư.</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Công ty thực hiện chào bán cổ phần riêng lẻ theo quy định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Công ty quyết định phương án chào bán cổ phần riêng lẻ theo quy định của Luật doanh nghiệp;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Cổ đông của công ty t</w:t>
      </w:r>
      <w:r>
        <w:rPr>
          <w:sz w:val="22"/>
          <w:szCs w:val="22"/>
        </w:rPr>
        <w:t>hực hiện quyền ưu tiên mua cổ phần theo quy định tại khoản 2 Điều 124 của Luật doanh nghiệp trừ trường hợp sáp nhập, hợp nhất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t>c) Trường hợp cổ đông và người nhận chuyển quyền ưu tiên mua không mua hết thì số cổ phần còn lại được bán cho người khác theo phương án chào bán cổ phần riêng lẻ với điều kiện không thuận lợi hơn so với điều kiện chào bán cho các cổ đông, trừ trường hợp Đ</w:t>
      </w:r>
      <w:r>
        <w:rPr>
          <w:sz w:val="22"/>
          <w:szCs w:val="22"/>
        </w:rPr>
        <w:t>ại hội đồng cổ đông có chấp thuận khác.</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t>Điều 11. Chào bán cổ phần cho cổ đông hiện hữu</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1. Chào bán cổ phần cho cổ đông hiện hữu là trường hợp Công ty tăng thêm số lượng cổ phần được quyền chào bán và bán toàn bộ số cổ phần đó cho tất cả cổ đông theo tỷ lệ </w:t>
      </w:r>
      <w:r>
        <w:rPr>
          <w:sz w:val="22"/>
          <w:szCs w:val="22"/>
        </w:rPr>
        <w:t>cổ phần hiện có của họ tại Công ty.</w:t>
      </w:r>
    </w:p>
    <w:p w:rsidR="00ED1433" w:rsidRDefault="00AA54E5">
      <w:pPr>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2. Chào bán cổ phần cho cổ đông hiện hữu của Công ty được thực hiện như sau:</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Công ty thông báo bằng văn bản đến các cổ đông theo phương thức bảo đảm đến được địa chỉ thường trú hoặc địa chỉ liên lạc của họ trong sổ đă</w:t>
      </w:r>
      <w:r>
        <w:rPr>
          <w:sz w:val="22"/>
          <w:szCs w:val="22"/>
        </w:rPr>
        <w:t xml:space="preserve">ng ký cổ đông chậm nhất 15 ngày trước ngày kết thúc thời hạn đăng ký mua cổ phần;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b) Thông báo có họ, tên, địa chỉ thường trú, quốc tịch, số Thẻ căn cước công dân, Giấy chứng minh nhân dân, Hộ chiếu hoặc chứng thực cá nhân hợp pháp khác của cổ đông là cá </w:t>
      </w:r>
      <w:r>
        <w:rPr>
          <w:sz w:val="22"/>
          <w:szCs w:val="22"/>
        </w:rPr>
        <w:t>nhân; tên, mã số doanh nghiệp hoặc số quyết định thành lập, địa chỉ trụ sở chính của cổ đông là tổ chức; số cổ phần và tỷ lệ cổ phần hiện có của cổ đông tại Công ty; tổng số cổ phần dự kiến chào bán và số cổ phần cổ đông được quyền mua; giá chào bán cổ phầ</w:t>
      </w:r>
      <w:r>
        <w:rPr>
          <w:sz w:val="22"/>
          <w:szCs w:val="22"/>
        </w:rPr>
        <w:t xml:space="preserve">n; thời hạn đăng ký mua; họ, tên, chữ ký của người đại diện theo pháp luật của Công ty. Kèm theo thông báo phải có mẫu phiếu đăng ký mua cổ phần do Công ty phát hành. Trường hợp phiếu đăng ký mua cổ phần không được gửi về công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ty đúng hạn như thông báo th</w:t>
      </w:r>
      <w:r>
        <w:rPr>
          <w:sz w:val="22"/>
          <w:szCs w:val="22"/>
        </w:rPr>
        <w:t>ì cổ đông có liên quan coi như đã không nhận quyền ưu tiên mua;</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Cổ đông có quyền chuyển quyền ưu tiên mua cổ phần của mình cho người khác.</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3. Trường hợp số lượng cổ phần dự kiến chào bán không được cổ đông và người nhận chuyển quyền ưu tiên mua đăng ký </w:t>
      </w:r>
      <w:r>
        <w:rPr>
          <w:sz w:val="22"/>
          <w:szCs w:val="22"/>
        </w:rPr>
        <w:t>mua hết thì Hội đồng quản trị có quyền bán số cổ phần được quyền chào bán còn lại đó cho cổ đông của Công ty hoặc người khác theo cách thức hợp lý với điều kiện không thuận lợi hơn so với những điều kiện đã chào bán cho các cổ đông.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4. Cổ phần được coi là </w:t>
      </w:r>
      <w:r>
        <w:rPr>
          <w:sz w:val="22"/>
          <w:szCs w:val="22"/>
        </w:rPr>
        <w:t xml:space="preserve">đã bán khi được thanh toán đủ và những thông tin về người mua quy định tại khoản 2 Điều 8 của điều lệ này được ghi đầy đủ vào sổ đăng ký cổ đông; kể từ thời điểm đó, người mua cổ phần trở thành cổ đông của Công ty.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7" w:name="_heading=h.ykpqu0w2fpeo" w:colFirst="0" w:colLast="0"/>
      <w:bookmarkEnd w:id="7"/>
      <w:r>
        <w:rPr>
          <w:sz w:val="22"/>
          <w:szCs w:val="22"/>
        </w:rPr>
        <w:t>5. Sau khi cổ phần được thanh toán đầy đ</w:t>
      </w:r>
      <w:r>
        <w:rPr>
          <w:sz w:val="22"/>
          <w:szCs w:val="22"/>
        </w:rPr>
        <w:t xml:space="preserve">ủ, Công ty phải phát hành và trao cổ phiếu cho người mua.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12. Bán cổ phần</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Hội đồng quản trị quyết định thời điểm, phương thức và giá bán cổ phần. Giá bán cổ phần không được thấp hơn giá thị trường tại thời điểm chào bán hoặc giá trị được ghi trong sổ sách của cổ phần tại thời điểm gần nhất, trừ những trường hợp sau đây: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Cổ p</w:t>
      </w:r>
      <w:r>
        <w:rPr>
          <w:sz w:val="22"/>
          <w:szCs w:val="22"/>
        </w:rPr>
        <w:t>hần chào bán lần đầu tiên cho những người không phải là cổ đông sáng lập;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Cổ phần chào bán cho tất cả cổ đông theo tỷ lệ cổ phần hiện có của họ ở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after="120" w:line="312" w:lineRule="auto"/>
        <w:ind w:hanging="2"/>
        <w:jc w:val="both"/>
        <w:rPr>
          <w:sz w:val="22"/>
          <w:szCs w:val="22"/>
        </w:rPr>
      </w:pPr>
      <w:bookmarkStart w:id="8" w:name="_heading=h.l35niuxhxb0e" w:colFirst="0" w:colLast="0"/>
      <w:bookmarkEnd w:id="8"/>
      <w:r>
        <w:rPr>
          <w:sz w:val="22"/>
          <w:szCs w:val="22"/>
        </w:rPr>
        <w:t>3. Cổ phần bán cho người môi giới hoặc người bảo lãnh; trường hợp này, số chiết khấu hoặc tỷ lệ ch</w:t>
      </w:r>
      <w:r>
        <w:rPr>
          <w:sz w:val="22"/>
          <w:szCs w:val="22"/>
        </w:rPr>
        <w:t>iết khấu cụ thể phải được sự chấp thuận của Đại hội đồng cổ đông;</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lastRenderedPageBreak/>
        <w:t>Điều 13. Chuyển nhượng cổ phần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Cổ phần được tự do chuyển nhượng, trừ trường hợp quy định tại khoản 3 Điều 120 của Luật doanh nghiệp. </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Việc chuyển nhượng được thực hiện bằng hợp đồng. Trường hợp chuyển nhượng bằng hợp đồng thì giấy tờ chuyển nhượng phải được bên chuyển nhượng và bên nhận chuyển nhượng hoặc người đại diện theo ủy quyền của họ ký.</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Trường hợp cổ đông là cá nhân chết th</w:t>
      </w:r>
      <w:r>
        <w:rPr>
          <w:sz w:val="22"/>
          <w:szCs w:val="22"/>
        </w:rPr>
        <w:t>ì người thừa kế theo di chúc hoặc theo pháp luật của cổ đông đó trở thành cổ đông của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4. Trường hợp cổ đông là cá nhân chết mà không có người thừa kế, người thừa kế</w:t>
      </w:r>
      <w:r>
        <w:rPr>
          <w:sz w:val="22"/>
          <w:szCs w:val="22"/>
          <w:highlight w:val="white"/>
        </w:rPr>
        <w:t> từ</w:t>
      </w:r>
      <w:r>
        <w:rPr>
          <w:sz w:val="22"/>
          <w:szCs w:val="22"/>
        </w:rPr>
        <w:t> chối nhận thừa kế hoặc bị truất quyền thừa kế thì số cổ phần của cổ đông đó đượ</w:t>
      </w:r>
      <w:r>
        <w:rPr>
          <w:sz w:val="22"/>
          <w:szCs w:val="22"/>
        </w:rPr>
        <w:t>c giải quyết theo quy định của pháp luật về dân sự.</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5. Cổ đông có quyền tặng cho một phần hoặc toàn bộ cổ phần của mình tại công ty cho cá nhân, tổ chức khác; sử dụng cổ phần để trả nợ. Cá nhân, tổ chức được tặng cho hoặc nhận trả nợ bằng cổ phần sẽ trở th</w:t>
      </w:r>
      <w:r>
        <w:rPr>
          <w:sz w:val="22"/>
          <w:szCs w:val="22"/>
        </w:rPr>
        <w:t>ành cổ đông của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6. Cá nhân, tổ chức nhận cổ phần trong các trường hợp quy định tại Điều này chỉ trở thành cổ đông công ty từ thời điểm các thông tin của họ quy định tại khoản 2 Điều 122 của Luật doanh nghiệp được ghi đầy đủ vào sổ đăng ký cổ đông</w:t>
      </w:r>
      <w:r>
        <w:rPr>
          <w:sz w:val="22"/>
          <w:szCs w:val="22"/>
        </w:rPr>
        <w: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7. Công ty phải đăng ký thay đổi cổ đông trong sổ đăng ký cổ đông theo yêu cầu của cổ đông có liên quan trong thời hạn 24 giờ kể từ khi nhận được yêu cầu.</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 xml:space="preserve">Điều 14. Mua lại cổ phần </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1. Mua lại cổ phần theo yêu cầu của cổ đông </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1.1 Cổ đông đã biểu quyết không thông qua nghị quyết về việc tổ chức lại công ty hoặc thay đổi quyền, nghĩa vụ của cổ đông quy định tại Điều lệ công ty có quyền yêu cầu công ty mua lại cổ phần của mình. Yêu cầu phải bằng văn bản, </w:t>
      </w:r>
      <w:r>
        <w:rPr>
          <w:sz w:val="22"/>
          <w:szCs w:val="22"/>
          <w:highlight w:val="white"/>
        </w:rPr>
        <w:t>trong</w:t>
      </w:r>
      <w:r>
        <w:rPr>
          <w:sz w:val="22"/>
          <w:szCs w:val="22"/>
        </w:rPr>
        <w:t> đó nêu rõ tên, địa c</w:t>
      </w:r>
      <w:r>
        <w:rPr>
          <w:sz w:val="22"/>
          <w:szCs w:val="22"/>
        </w:rPr>
        <w:t>hỉ của cổ đông, số lượng cổ phần từng loại, giá dự định bán, lý do yêu cầu công ty mua lại. Yêu cầu phải được gửi đến công ty </w:t>
      </w:r>
      <w:r>
        <w:rPr>
          <w:sz w:val="22"/>
          <w:szCs w:val="22"/>
          <w:highlight w:val="white"/>
        </w:rPr>
        <w:t>trong</w:t>
      </w:r>
      <w:r>
        <w:rPr>
          <w:sz w:val="22"/>
          <w:szCs w:val="22"/>
        </w:rPr>
        <w:t> thời hạn 10 ngày kể từ ngày Đại hội đồng cổ đông thông qua nghị quyết về các vấn đề quy định tại khoản này.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1.2. Công ty phả</w:t>
      </w:r>
      <w:r>
        <w:rPr>
          <w:sz w:val="22"/>
          <w:szCs w:val="22"/>
        </w:rPr>
        <w:t>i mua lại cổ phần theo yêu cầu của cổ đông quy định tại khoản 1.1 Điều này với giá thị trường hoặc giá được tính theo nguyên tắc quy định tại Điều lệ công ty trong thời hạn 90 ngày kể từ ngày nhận được yêu cầu. </w:t>
      </w:r>
      <w:r>
        <w:rPr>
          <w:sz w:val="22"/>
          <w:szCs w:val="22"/>
          <w:highlight w:val="white"/>
        </w:rPr>
        <w:t>Trường hợp</w:t>
      </w:r>
      <w:r>
        <w:rPr>
          <w:sz w:val="22"/>
          <w:szCs w:val="22"/>
        </w:rPr>
        <w:t> không thỏa thuận được về giá thì c</w:t>
      </w:r>
      <w:r>
        <w:rPr>
          <w:sz w:val="22"/>
          <w:szCs w:val="22"/>
        </w:rPr>
        <w:t>ác bên có thể yêu cầu một tổ chức thẩm định giá định giá. Công ty giới thiệu ít nhất 03 tổ chức thẩm định giá để cổ đông lựa chọn và lựa chọn đó là quyết định cuối cùng.</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2. Mua lại cổ phần theo quyết định của Công ty </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Công ty có quyền mua lại không quá 30%</w:t>
      </w:r>
      <w:r>
        <w:rPr>
          <w:sz w:val="22"/>
          <w:szCs w:val="22"/>
        </w:rPr>
        <w:t xml:space="preserve"> tổng số cổ phần phổ thông đã bán, một phần hoặc toàn bộ cổ phần ưu đãi cổ tức đã bán theo quy định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2.1. Hội đồng quản trị có quyền quyết định mua lại không quá 10% tổng số cổ phần của từng loại đã bán </w:t>
      </w:r>
      <w:r>
        <w:rPr>
          <w:sz w:val="22"/>
          <w:szCs w:val="22"/>
          <w:highlight w:val="white"/>
        </w:rPr>
        <w:t>trong thời hạn</w:t>
      </w:r>
      <w:r>
        <w:rPr>
          <w:sz w:val="22"/>
          <w:szCs w:val="22"/>
        </w:rPr>
        <w:t> 12 tháng. Trường hợp khác, việ</w:t>
      </w:r>
      <w:r>
        <w:rPr>
          <w:sz w:val="22"/>
          <w:szCs w:val="22"/>
        </w:rPr>
        <w:t>c mua lại cổ phần do Đại hội đồng cổ đông quyết định;</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2.2 Hội đồng quản trị quyết định giá mua lại cổ phần. Đối với cổ phần phổ thông, giá mua lại không được cao hơn giá thị trường tại thời điểm mua lại, trừ trường </w:t>
      </w:r>
      <w:r>
        <w:rPr>
          <w:sz w:val="22"/>
          <w:szCs w:val="22"/>
          <w:highlight w:val="white"/>
        </w:rPr>
        <w:t>hợp quy</w:t>
      </w:r>
      <w:r>
        <w:rPr>
          <w:sz w:val="22"/>
          <w:szCs w:val="22"/>
        </w:rPr>
        <w:t xml:space="preserve"> định tại khoản 2.3 Điều này. Đối </w:t>
      </w:r>
      <w:r>
        <w:rPr>
          <w:sz w:val="22"/>
          <w:szCs w:val="22"/>
        </w:rPr>
        <w:t>với cổ phần loại khác, nếu Điều lệ công ty không </w:t>
      </w:r>
      <w:r>
        <w:rPr>
          <w:sz w:val="22"/>
          <w:szCs w:val="22"/>
          <w:highlight w:val="white"/>
        </w:rPr>
        <w:t>quy định</w:t>
      </w:r>
      <w:r>
        <w:rPr>
          <w:sz w:val="22"/>
          <w:szCs w:val="22"/>
        </w:rPr>
        <w:t> hoặc công ty và cổ đông có liên quan không có thỏa thuận khác thì giá mua lại không được thấp hơn giá thị trường;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2.3 Công ty có thể mua lại cổ phần của từng cổ đông tương ứng với tỷ lệ sở hữu cổ ph</w:t>
      </w:r>
      <w:r>
        <w:rPr>
          <w:sz w:val="22"/>
          <w:szCs w:val="22"/>
        </w:rPr>
        <w:t>ần của họ trong công ty theo trình tự, thủ tục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lastRenderedPageBreak/>
        <w:t>a) Quyết định mua lại cổ phần của công ty phải được thông báo bằng phương thức để bảo đảm đến được tất cả cổ đông trong thời hạn 30 ngày kể từ ngày quyết định đó được thông qua. Thông báo phải gồm tên</w:t>
      </w:r>
      <w:r>
        <w:rPr>
          <w:sz w:val="22"/>
          <w:szCs w:val="22"/>
        </w:rPr>
        <w:t>, địa chỉ trụ sở chính của công ty, tổng số cổ phần và loại cổ phần được mua lại, giá mua lại hoặc nguyên tắc định giá mua lại, thủ tục và thời hạn thanh toán, thủ tục và thời hạn để cổ đông bán cổ phần của họ cho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Cổ đông đồng ý bán lại cổ phần</w:t>
      </w:r>
      <w:r>
        <w:rPr>
          <w:sz w:val="22"/>
          <w:szCs w:val="22"/>
        </w:rPr>
        <w:t xml:space="preserve"> phải gửi văn bản đồng ý bán cổ phần của mình bằng phương thức để bảo đảm đến được công ty trong thời hạn 30 ngày kể từ ngày thông báo. Văn bản đồng ý bán cổ phần phải có họ, tên, địa chỉ liên lạc, số giấy tờ pháp lý của cá nhân đối với cổ đông là cá nhân;</w:t>
      </w:r>
      <w:r>
        <w:rPr>
          <w:sz w:val="22"/>
          <w:szCs w:val="22"/>
        </w:rPr>
        <w:t xml:space="preserve"> tên, mã số doanh nghiệp hoặc số giấy tờ pháp lý của tổ chức, địa chỉ trụ sở chính đối với cổ đông là tổ chức; số cổ phần sở hữu và số cổ phần đồng ý bán; phương thức thanh toán; chữ ký của cổ đông hoặc người đại diện theo pháp luật của cổ đông. Công ty ch</w:t>
      </w:r>
      <w:r>
        <w:rPr>
          <w:sz w:val="22"/>
          <w:szCs w:val="22"/>
        </w:rPr>
        <w:t>ỉ mua lại cổ phần trong thời hạn nêu trên.</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15. Điều kiện thanh toán và xử lý các cổ phần được mua lại</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Công ty chỉ được quyền thanh toán cổ phần được mua lại cho cổ đông theo quy định tại Điều 14 Điều lệ này nếu ngay sau khi thanh toán hết số cổ phần được mua lại, công ty vẫn bảo đảm thanh toán đủ các khoản nợ và nghĩa vụ tài sản khác.</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Cổ phần được mu</w:t>
      </w:r>
      <w:r>
        <w:rPr>
          <w:sz w:val="22"/>
          <w:szCs w:val="22"/>
        </w:rPr>
        <w:t>a lại theo quy định tại Điều 14 của Điều lệ này được coi là cổ phần chưa bán. Công ty phải làm thủ tục điều chỉnh giảm vốn điều lệ tương ứng với tổng giá trị mệnh giá các cổ phần được Công ty mua lại trong thời hạn 10 ngày, kể từ ngày hoàn thành việc thanh</w:t>
      </w:r>
      <w:r>
        <w:rPr>
          <w:sz w:val="22"/>
          <w:szCs w:val="22"/>
        </w:rPr>
        <w:t xml:space="preserve"> toán mua lại cổ phần.</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3. Cổ phiếu xác nhận quyền sở hữu cổ phần đã được mua lại phải được tiêu huỷ ngay sau khi cổ phần tương ứng đã được thanh toán đủ. Chủ tịch Hội đồng quản trị và {{ specPosition }} phải liên đới chịu trách nhiệm về thiệt hại do không </w:t>
      </w:r>
      <w:r>
        <w:rPr>
          <w:sz w:val="22"/>
          <w:szCs w:val="22"/>
        </w:rPr>
        <w:t xml:space="preserve">tiêu huỷ hoặc chậm tiêu huỷ cổ phiếu gây ra đối với công ty. </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4. Sau khi thanh toán hết số cổ phần mua lại, nếu tổng giá trị tài sản được ghi trong sổ kế toán của công ty giảm hơn 10% thì công ty phải thông báo cho tất cả các chủ nợ biết trong thời hạn 15 </w:t>
      </w:r>
      <w:r>
        <w:rPr>
          <w:sz w:val="22"/>
          <w:szCs w:val="22"/>
        </w:rPr>
        <w:t>ngày, kể từ ngày thanh toán hết số cổ phần mua lại.</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16. Trả cổ tức.</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Cổ tức trả cho cổ phần ưu đãi được thực hiện theo điều kiện áp dụng riêng cho mỗi loại cổ phần ưu đãi.</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Cổ tức trả cho cổ phần phổ thông được xác định căn cứ vào số lợi nhuận ròn</w:t>
      </w:r>
      <w:r>
        <w:rPr>
          <w:sz w:val="22"/>
          <w:szCs w:val="22"/>
        </w:rPr>
        <w:t>g đã thực hiện và khoản chi trả cổ tức được trích từ nguồn lợi nhuận giữ lại của công ty. Công ty cổ phần chỉ được trả cổ tức của cổ phần phổ thông khi có đủ các điều kiện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a) Công ty đã hoàn thành nghĩa vụ thuế và các nghĩa vụ tài chính khác theo </w:t>
      </w:r>
      <w:r>
        <w:rPr>
          <w:sz w:val="22"/>
          <w:szCs w:val="22"/>
        </w:rPr>
        <w:t>quy định của pháp luật;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Đã trích lập các quỹ công ty và bù đắp lỗ trước đó theo quy định của pháp luật;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Ngay sau khi trả hết số cổ tức, công ty vẫn bảo đảm thanh toán đủ các khoản nợ và nghĩa vụ tài sản khác đến hạn.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Cổ tức có thể được chi trả bằn</w:t>
      </w:r>
      <w:r>
        <w:rPr>
          <w:sz w:val="22"/>
          <w:szCs w:val="22"/>
        </w:rPr>
        <w:t>g tiền mặt, bằng cổ phần của công ty. Nếu chi trả bằng tiền mặt thì phải được thực hiện bằng Đồng Việt Nam và theo các phương thức thanh toán theo quy định của pháp luật.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4. Cổ tức phải được thanh toán đầy đủ trong thời hạn 06 tháng kể từ ngày kết thúc họp</w:t>
      </w:r>
      <w:r>
        <w:rPr>
          <w:sz w:val="22"/>
          <w:szCs w:val="22"/>
        </w:rPr>
        <w:t xml:space="preserve"> Đại hội đồng cổ đông thường niên. Hội đồng quản trị lập danh sách cổ đông được nhận cổ tức, xác định mức cổ tức được trả đối với từng cổ phần, thời hạn và hình thức trả chậm nhất là 30 ngày trước mỗi lần trả cổ tức. Thông báo về trả cổ tức được gửi bằng p</w:t>
      </w:r>
      <w:r>
        <w:rPr>
          <w:sz w:val="22"/>
          <w:szCs w:val="22"/>
        </w:rPr>
        <w:t>hương thức để bảo đảm đến cổ đông theo địa chỉ đăng ký </w:t>
      </w:r>
      <w:r>
        <w:rPr>
          <w:sz w:val="22"/>
          <w:szCs w:val="22"/>
          <w:highlight w:val="white"/>
        </w:rPr>
        <w:t>trong</w:t>
      </w:r>
      <w:r>
        <w:rPr>
          <w:sz w:val="22"/>
          <w:szCs w:val="22"/>
        </w:rPr>
        <w:t> sổ đăng ký cổ đông chậm nhất là 15 ngày trước khi thực hiện trả cổ tức. Thông báo phải bao gồm các nội dung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Tên công ty và địa chỉ trụ sở chính của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lastRenderedPageBreak/>
        <w:t>b) Họ, tên, địa chỉ liên lạc, quốc tịch, số giấy tờ pháp lý của cá nhân đối với cổ đông là cá nhân;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Tên, mã số doanh nghiệp hoặc số giấy tờ pháp lý của tổ chức, địa chỉ trụ sở chính đối với cổ đông là tổ chức;</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d) Số lượng cổ phần từng loại của cổ đông; </w:t>
      </w:r>
      <w:r>
        <w:rPr>
          <w:sz w:val="22"/>
          <w:szCs w:val="22"/>
        </w:rPr>
        <w:t>mức cổ tức đối với từng cổ phần và tổng số cổ tức mà cổ đông đó được nhận;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đ) Thời điểm và phương thức trả cổ tức;</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e) Họ, tên, chữ ký của Chủ tịch Hội đồng quản trị và người đại diện theo pháp luật của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5. Trường hợp cổ đông chuyển nhượng cổ phần của mình trong thời gian giữa thời điểm kết thúc lập danh sách cổ đông và thời điểm trả cổ tức thì người chuyển nhượng là người nhận cổ tức từ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6. Trường hợp chi trả cổ tức bằng cổ phần, công ty không phả</w:t>
      </w:r>
      <w:r>
        <w:rPr>
          <w:sz w:val="22"/>
          <w:szCs w:val="22"/>
        </w:rPr>
        <w:t>i làm thủ tục chào bán cổ phần theo quy định tại các điều 123, 124 và 125 của Luật doanh nghiệp. Công ty phải đăng ký tăng vốn điều lệ tương ứng với tổng mệnh giá các cổ phần dùng để chi trả cổ tức trong thời hạn 10 ngày kể từ ngày hoàn thành việc thanh t</w:t>
      </w:r>
      <w:r>
        <w:rPr>
          <w:sz w:val="22"/>
          <w:szCs w:val="22"/>
        </w:rPr>
        <w:t>oán cổ tức.</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17. Thu hồi tiền thanh toán cổ phần mua lại hoặc cổ tức</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Trường hợp việc thanh toán cổ phần mua lại trái với quy định tại khoản 1 Điều 15 của Điều lệ này hoặc trả cổ tức trái với quy định tại Điều 16 của Điều lệ này thì các cổ đông phải hoà</w:t>
      </w:r>
      <w:r>
        <w:rPr>
          <w:sz w:val="22"/>
          <w:szCs w:val="22"/>
        </w:rPr>
        <w:t>n trả cho công ty số tiền, tài sản khác đã nhận; trường hợp cổ đông không hoàn trả được cho công ty thì cổ đông đó và tất cả thành viên Hội đồng quản trị phải cùng liên đới chịu trách nhiệm về các khoản nợ và nghĩa vụ tài sản khác của công ty trong phạm vi</w:t>
      </w:r>
      <w:r>
        <w:rPr>
          <w:sz w:val="22"/>
          <w:szCs w:val="22"/>
        </w:rPr>
        <w:t xml:space="preserve"> giá trị số tiền, tài sản đã trả cho cổ đông mà chưa được hoàn lại. </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Pr>
          <w:b/>
          <w:sz w:val="22"/>
          <w:szCs w:val="22"/>
        </w:rPr>
        <w:t xml:space="preserve">CHƯƠNG II. </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Pr>
          <w:b/>
          <w:sz w:val="22"/>
          <w:szCs w:val="22"/>
        </w:rPr>
        <w:t>CƠ CẤU TỔ CHỨC VÀ QUẢN LÝ CÔNG TY</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18. Cơ cấu tổ chức và quản lý Công ty</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1.  Công ty được tổ chức quản lý và hoạt động theo mô hình: </w:t>
      </w:r>
    </w:p>
    <w:p w:rsidR="00ED1433" w:rsidRDefault="00AA54E5">
      <w:pPr>
        <w:numPr>
          <w:ilvl w:val="0"/>
          <w:numId w:val="3"/>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rPr>
          <w:sz w:val="22"/>
          <w:szCs w:val="22"/>
        </w:rPr>
      </w:pPr>
      <w:r>
        <w:rPr>
          <w:sz w:val="22"/>
          <w:szCs w:val="22"/>
        </w:rPr>
        <w:t>Đại hội đồng cổ đông.</w:t>
      </w:r>
    </w:p>
    <w:p w:rsidR="00ED1433" w:rsidRDefault="00AA54E5">
      <w:pPr>
        <w:numPr>
          <w:ilvl w:val="0"/>
          <w:numId w:val="3"/>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rPr>
          <w:sz w:val="22"/>
          <w:szCs w:val="22"/>
        </w:rPr>
      </w:pPr>
      <w:r>
        <w:rPr>
          <w:sz w:val="22"/>
          <w:szCs w:val="22"/>
        </w:rPr>
        <w:t>Hội đồng quản trị.</w:t>
      </w:r>
    </w:p>
    <w:p w:rsidR="00ED1433" w:rsidRDefault="00AA54E5">
      <w:pPr>
        <w:numPr>
          <w:ilvl w:val="0"/>
          <w:numId w:val="3"/>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rPr>
          <w:sz w:val="22"/>
          <w:szCs w:val="22"/>
        </w:rPr>
      </w:pPr>
      <w:r>
        <w:rPr>
          <w:sz w:val="22"/>
          <w:szCs w:val="22"/>
        </w:rPr>
        <w:t>{{ specPosition }}.</w:t>
      </w:r>
    </w:p>
    <w:p w:rsidR="00ED1433" w:rsidRDefault="00AA54E5">
      <w:pPr>
        <w:numPr>
          <w:ilvl w:val="0"/>
          <w:numId w:val="3"/>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rPr>
          <w:sz w:val="22"/>
          <w:szCs w:val="22"/>
        </w:rPr>
      </w:pPr>
      <w:r>
        <w:rPr>
          <w:sz w:val="22"/>
          <w:szCs w:val="22"/>
        </w:rPr>
        <w:t>Ban kiểm soát.</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Trong quá trình hoạt động, nếu Công ty có dưới 11 cổ đông và các cổ đông là tổ chức sở hữu dưới 50% tổng số cổ phần của công ty thì không bắt buộc phải có Ban kiểm soát.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Chức năng, quyền và nghĩa vụ</w:t>
      </w:r>
      <w:r>
        <w:rPr>
          <w:sz w:val="22"/>
          <w:szCs w:val="22"/>
        </w:rPr>
        <w:t xml:space="preserve"> của Đại hội đồng cổ đông, Hội đồng quản trị, {{ specPosition }}, ban kiểm soát thực hiện theo quy định tại Điều lệ này và pháp luật có liên quan.</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19.  Người đại diện theo pháp luật của Công ty</w:t>
      </w:r>
    </w:p>
    <w:p w:rsidR="00ED1433" w:rsidRDefault="00AA54E5">
      <w:pPr>
        <w:numPr>
          <w:ilvl w:val="0"/>
          <w:numId w:val="2"/>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rPr>
          <w:sz w:val="22"/>
          <w:szCs w:val="22"/>
        </w:rPr>
      </w:pPr>
      <w:r>
        <w:rPr>
          <w:sz w:val="22"/>
          <w:szCs w:val="22"/>
        </w:rPr>
        <w:t xml:space="preserve">Người đại diện theo pháp luật của Công ty có quyền đại diện cho Công ty, thực hiện các quyền và nghĩa vụ phát sinh từ giao dịch của Công ty, đại diện cho Công ty với tư cách </w:t>
      </w:r>
      <w:r>
        <w:rPr>
          <w:sz w:val="22"/>
          <w:szCs w:val="22"/>
          <w:highlight w:val="white"/>
        </w:rPr>
        <w:t>người yêu cầu giải quyết việc dân sự,</w:t>
      </w:r>
      <w:r>
        <w:rPr>
          <w:sz w:val="22"/>
          <w:szCs w:val="22"/>
        </w:rPr>
        <w:t xml:space="preserve"> nguyên đơn, bị đơn, người có quyền lợi, ng</w:t>
      </w:r>
      <w:r>
        <w:rPr>
          <w:sz w:val="22"/>
          <w:szCs w:val="22"/>
        </w:rPr>
        <w:t>hĩa vụ liên quan trước Trọng tài, Tòa án và các quyền và nghĩa vụ khác theo quy định của pháp luật.</w:t>
      </w:r>
    </w:p>
    <w:p w:rsidR="00ED1433" w:rsidRDefault="00AA54E5">
      <w:pPr>
        <w:numPr>
          <w:ilvl w:val="0"/>
          <w:numId w:val="2"/>
        </w:numPr>
        <w:tabs>
          <w:tab w:val="left" w:pos="389"/>
          <w:tab w:val="left" w:pos="432"/>
          <w:tab w:val="left" w:pos="475"/>
          <w:tab w:val="left" w:pos="504"/>
          <w:tab w:val="left" w:pos="576"/>
          <w:tab w:val="left" w:pos="720"/>
          <w:tab w:val="left" w:pos="1440"/>
        </w:tabs>
        <w:spacing w:line="312" w:lineRule="auto"/>
        <w:ind w:left="0" w:hanging="2"/>
        <w:jc w:val="both"/>
        <w:rPr>
          <w:sz w:val="22"/>
          <w:szCs w:val="22"/>
        </w:rPr>
      </w:pPr>
      <w:r>
        <w:rPr>
          <w:sz w:val="22"/>
          <w:szCs w:val="22"/>
        </w:rPr>
        <w:t xml:space="preserve">Công ty chỉ có 0{{ v(repre1) }} người đại diện theo pháp luật, {{ v(repre1) }} là người đại diện theo pháp luật của Công ty. Các giấy tờ giao dịch phải ghi </w:t>
      </w:r>
      <w:r>
        <w:rPr>
          <w:sz w:val="22"/>
          <w:szCs w:val="22"/>
        </w:rPr>
        <w:t xml:space="preserve">rõ điều đó. </w:t>
      </w:r>
    </w:p>
    <w:p w:rsidR="00ED1433" w:rsidRDefault="00AA54E5">
      <w:pPr>
        <w:widowControl w:val="0"/>
        <w:spacing w:line="360" w:lineRule="auto"/>
        <w:rPr>
          <w:sz w:val="22"/>
          <w:szCs w:val="22"/>
        </w:rPr>
      </w:pPr>
      <w:bookmarkStart w:id="9" w:name="_heading=h.knl4n19l3v8a" w:colFirst="0" w:colLast="0"/>
      <w:bookmarkEnd w:id="9"/>
      <w:r>
        <w:rPr>
          <w:sz w:val="22"/>
          <w:szCs w:val="22"/>
        </w:rPr>
        <w:t>Người đại diện theo pháp luật của Công ty có thông tin sau đây: {% for i in repreArr %}{{ v(i) }}</w:t>
      </w:r>
    </w:p>
    <w:p w:rsidR="00ED1433" w:rsidRDefault="00AA54E5">
      <w:pPr>
        <w:spacing w:line="360" w:lineRule="auto"/>
        <w:jc w:val="both"/>
        <w:rPr>
          <w:sz w:val="22"/>
          <w:szCs w:val="22"/>
        </w:rPr>
      </w:pPr>
      <w:bookmarkStart w:id="10" w:name="_heading=h.c3y6cob9e0hq" w:colFirst="0" w:colLast="0"/>
      <w:bookmarkEnd w:id="10"/>
      <w:r>
        <w:rPr>
          <w:sz w:val="22"/>
          <w:szCs w:val="22"/>
        </w:rPr>
        <w:t xml:space="preserve">Họ và tên </w:t>
      </w:r>
      <w:r>
        <w:rPr>
          <w:i/>
          <w:sz w:val="22"/>
          <w:szCs w:val="22"/>
        </w:rPr>
        <w:t>(ghi bằng chữ in hoa)</w:t>
      </w:r>
      <w:r>
        <w:rPr>
          <w:sz w:val="22"/>
          <w:szCs w:val="22"/>
        </w:rPr>
        <w:t xml:space="preserve">: {{ v(i) }}         Giới tính:  {{ v(i) }}         </w:t>
      </w:r>
    </w:p>
    <w:p w:rsidR="00ED1433" w:rsidRDefault="00AA54E5">
      <w:pPr>
        <w:spacing w:line="360" w:lineRule="auto"/>
        <w:jc w:val="both"/>
        <w:rPr>
          <w:sz w:val="22"/>
          <w:szCs w:val="22"/>
        </w:rPr>
      </w:pPr>
      <w:r>
        <w:rPr>
          <w:sz w:val="22"/>
          <w:szCs w:val="22"/>
        </w:rPr>
        <w:t xml:space="preserve">Chức danh: {{ v(i) }}          </w:t>
      </w:r>
    </w:p>
    <w:p w:rsidR="00ED1433" w:rsidRDefault="00AA54E5">
      <w:pPr>
        <w:spacing w:line="360" w:lineRule="auto"/>
        <w:jc w:val="both"/>
        <w:rPr>
          <w:sz w:val="22"/>
          <w:szCs w:val="22"/>
        </w:rPr>
      </w:pPr>
      <w:r>
        <w:rPr>
          <w:sz w:val="22"/>
          <w:szCs w:val="22"/>
        </w:rPr>
        <w:t xml:space="preserve">Sinh ngày: {{ v(i) }}        </w:t>
      </w:r>
      <w:r>
        <w:rPr>
          <w:sz w:val="22"/>
          <w:szCs w:val="22"/>
        </w:rPr>
        <w:t xml:space="preserve">            </w:t>
      </w:r>
    </w:p>
    <w:p w:rsidR="00ED1433" w:rsidRDefault="00AA54E5">
      <w:pPr>
        <w:tabs>
          <w:tab w:val="left" w:pos="5640"/>
          <w:tab w:val="left" w:pos="8520"/>
        </w:tabs>
        <w:spacing w:line="360" w:lineRule="auto"/>
        <w:jc w:val="both"/>
        <w:rPr>
          <w:sz w:val="22"/>
          <w:szCs w:val="22"/>
        </w:rPr>
      </w:pPr>
      <w:r>
        <w:rPr>
          <w:sz w:val="22"/>
          <w:szCs w:val="22"/>
        </w:rPr>
        <w:lastRenderedPageBreak/>
        <w:t>Số giấy tờ pháp lý của cá nhân: {{ v(i) }}</w:t>
      </w:r>
    </w:p>
    <w:p w:rsidR="00ED1433" w:rsidRDefault="00AA54E5">
      <w:pPr>
        <w:tabs>
          <w:tab w:val="left" w:pos="993"/>
        </w:tabs>
        <w:spacing w:line="360" w:lineRule="auto"/>
        <w:jc w:val="both"/>
        <w:rPr>
          <w:sz w:val="22"/>
          <w:szCs w:val="22"/>
        </w:rPr>
      </w:pPr>
      <w:r>
        <w:rPr>
          <w:sz w:val="22"/>
          <w:szCs w:val="22"/>
        </w:rPr>
        <w:t>Địa chỉ liên lạc: {{ v(i) }}</w:t>
      </w:r>
    </w:p>
    <w:p w:rsidR="00ED1433" w:rsidRDefault="00AA54E5">
      <w:pPr>
        <w:widowControl w:val="0"/>
        <w:tabs>
          <w:tab w:val="left" w:pos="9324"/>
        </w:tabs>
        <w:spacing w:line="360" w:lineRule="auto"/>
        <w:rPr>
          <w:sz w:val="22"/>
          <w:szCs w:val="22"/>
        </w:rPr>
      </w:pPr>
      <w:r>
        <w:rPr>
          <w:sz w:val="22"/>
          <w:szCs w:val="22"/>
        </w:rPr>
        <w:t xml:space="preserve">Điện thoại </w:t>
      </w:r>
      <w:r>
        <w:rPr>
          <w:i/>
          <w:sz w:val="22"/>
          <w:szCs w:val="22"/>
        </w:rPr>
        <w:t>(nếu có)</w:t>
      </w:r>
      <w:r>
        <w:rPr>
          <w:sz w:val="22"/>
          <w:szCs w:val="22"/>
        </w:rPr>
        <w:t xml:space="preserve">: {{ v(i) }}         Email </w:t>
      </w:r>
      <w:r>
        <w:rPr>
          <w:i/>
          <w:sz w:val="22"/>
          <w:szCs w:val="22"/>
        </w:rPr>
        <w:t>(nếu có)</w:t>
      </w:r>
      <w:r>
        <w:rPr>
          <w:sz w:val="22"/>
          <w:szCs w:val="22"/>
        </w:rPr>
        <w:t>: {{ v(i) }}{%endfor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Người đại diện theo pháp luật của công ty phải cư trú ở Việt Nam và phải ủy quyền bằng văn bản cho người khác thực hiện quyền và nghĩa vụ của người đại diện theo pháp luật khi xuất cảnh khỏi Việt Nam, Người đại diện theo pháp luật vẫn phải chịu trách nhiệm</w:t>
      </w:r>
      <w:r>
        <w:rPr>
          <w:sz w:val="22"/>
          <w:szCs w:val="22"/>
        </w:rPr>
        <w:t xml:space="preserve"> về việc thực hiện quyền và nghĩa vụ đã ủy quyền.</w:t>
      </w:r>
    </w:p>
    <w:p w:rsidR="00ED1433" w:rsidRDefault="00AA54E5">
      <w:pPr>
        <w:numPr>
          <w:ilvl w:val="0"/>
          <w:numId w:val="2"/>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rPr>
          <w:sz w:val="22"/>
          <w:szCs w:val="22"/>
        </w:rPr>
      </w:pPr>
      <w:r>
        <w:rPr>
          <w:sz w:val="22"/>
          <w:szCs w:val="22"/>
        </w:rPr>
        <w:t>Trường hợp hết thời hạn ủy quyền theo khoản 2 Điều này mà người đại diện theo pháp luật của Công ty chưa trở lại Việt Nam và không có ủy quyền khác thì Người được ủy quyền vẫn tiếp tục thực hiện các quyền v</w:t>
      </w:r>
      <w:r>
        <w:rPr>
          <w:sz w:val="22"/>
          <w:szCs w:val="22"/>
        </w:rPr>
        <w:t>à nghĩa vụ của người đại diện theo pháp luật của Công ty trong phạm vi đã được ủy quyền cho đến khi người đại diện theo pháp luật của Công ty trở lại làm việc tại Công ty hoặc cho đến khi Hội đồng quản trị quyết định cử người khác làm người đại diện theo p</w:t>
      </w:r>
      <w:r>
        <w:rPr>
          <w:sz w:val="22"/>
          <w:szCs w:val="22"/>
        </w:rPr>
        <w:t xml:space="preserve">háp luật của Công ty. </w:t>
      </w:r>
    </w:p>
    <w:p w:rsidR="00ED1433" w:rsidRDefault="00AA54E5">
      <w:pPr>
        <w:numPr>
          <w:ilvl w:val="0"/>
          <w:numId w:val="2"/>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rPr>
          <w:sz w:val="22"/>
          <w:szCs w:val="22"/>
        </w:rPr>
      </w:pPr>
      <w:r>
        <w:rPr>
          <w:sz w:val="22"/>
          <w:szCs w:val="22"/>
        </w:rPr>
        <w:t>Trường hợp Người đại diện theo pháp luật vắng mặt tại Việt Nam quá 30 ngày mà không ủy quyền cho người khác thực hiện các quyền và nghĩa vụ của người đại diện theo pháp luật của Công ty hoặc bị chết, mất tích, tạm giam, kết án tù, bị</w:t>
      </w:r>
      <w:r>
        <w:rPr>
          <w:sz w:val="22"/>
          <w:szCs w:val="22"/>
        </w:rPr>
        <w:t xml:space="preserve"> hạn chế hoặc mất năng lực hành vi dân sự thì Hội đồng quản trị cử người khác làm người đại diện theo pháp luật của Công ty. </w:t>
      </w:r>
    </w:p>
    <w:p w:rsidR="00ED1433" w:rsidRDefault="00AA54E5">
      <w:pPr>
        <w:numPr>
          <w:ilvl w:val="0"/>
          <w:numId w:val="2"/>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rPr>
          <w:sz w:val="22"/>
          <w:szCs w:val="22"/>
        </w:rPr>
      </w:pPr>
      <w:r>
        <w:rPr>
          <w:sz w:val="22"/>
          <w:szCs w:val="22"/>
        </w:rPr>
        <w:t>Người đại diện theo pháp luật của Công ty có trách nhiệm sau đây: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Thực hiện các quyền và nghĩa vụ được giao một cách trung thực</w:t>
      </w:r>
      <w:r>
        <w:rPr>
          <w:sz w:val="22"/>
          <w:szCs w:val="22"/>
        </w:rPr>
        <w:t>, cẩn trọng, tốt nhất nhằm bảo đảm lợi ích hợp pháp của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b) Trung thành với lợi ích của Công ty; không sử dụng thông tin, bí quyết, cơ hội kinh doanh của Công ty, không lạm dụng địa vị, chức vụ và sử dụng tài sản của Công ty để tư lợi hoặc phục vụ </w:t>
      </w:r>
      <w:r>
        <w:rPr>
          <w:sz w:val="22"/>
          <w:szCs w:val="22"/>
        </w:rPr>
        <w:t>lợi ích của tổ chức, cá nhân khác;</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Thông báo kịp thời, đầy đủ, chính xác cho Công ty về việc người đại diện đó và người có liên quan của họ làm chủ hoặc có cổ phần, phần vốn góp chi phối tại các doanh nghiệp khác.</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7. Người đại diện theo pháp luật của Cô</w:t>
      </w:r>
      <w:r>
        <w:rPr>
          <w:sz w:val="22"/>
          <w:szCs w:val="22"/>
        </w:rPr>
        <w:t>ng ty chịu trách nhiệm cá nhân đối với những thiệt hại cho doanh nghiệp do vi phạm nghĩa vụ quy định tại khoản 5 Điều này.</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20. Đại hội đồng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Đại hội đồng cổ đông gồm tất cả cổ đông có quyền biểu quyết, là cơ quan quyết định cao nhất của công ty cổ phần.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Đại hội đồng cổ đông có quyền và nghĩa vụ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Thông qua định hướng phát triển của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b) Quyết định loại cổ phần và tổng số </w:t>
      </w:r>
      <w:r>
        <w:rPr>
          <w:sz w:val="22"/>
          <w:szCs w:val="22"/>
        </w:rPr>
        <w:t>cổ phần của từng loại được quyền chào bán; quyết định mức cổ tức hằng năm của từng loại cổ phần;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Bầu, miễn nhiệm, bãi nhiệm thành viên Hội đồng quản trị, Kiểm soát viên;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Quyết định đầu tư hoặc bán số tài sản có giá trị từ 35% tổng giá trị tài sản trở</w:t>
      </w:r>
      <w:r>
        <w:rPr>
          <w:sz w:val="22"/>
          <w:szCs w:val="22"/>
        </w:rPr>
        <w:t xml:space="preserve"> lên được ghi trong báo cáo tài chính gần nhất của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đ) Quyết định sửa đổi, bổ sung Điều lệ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e) Thông qua báo cáo tài chính hằng năm;</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g) Quyết định mua lại trên 10% tổng số cổ phần đã bán của mỗi loại;</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h) Xem xét, xử lý vi phạm của thành viên Hội đồng quản trị, Kiểm soát viên gây thiệt hại cho công ty và cổ đông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i) Quyết định tổ chức lại, giải thể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lastRenderedPageBreak/>
        <w:t>k) Quyết định ngân sách hoặc tổng mức thù lao, thưởng và lợi ích khác cho Hội đồng quản tr</w:t>
      </w:r>
      <w:r>
        <w:rPr>
          <w:sz w:val="22"/>
          <w:szCs w:val="22"/>
        </w:rPr>
        <w:t>ị, Ban kiểm soát;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l) Phê duyệt quy chế quản trị nội bộ; quy chế hoạt động Hội đồng quản trị, Ban kiểm soát;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m) Phê duyệt danh sách công ty kiểm toán độc lập; quyết định công ty kiểm toán độc lập thực hiện kiểm tra hoạt động của công ty, bãi miễn kiểm toán </w:t>
      </w:r>
      <w:r>
        <w:rPr>
          <w:sz w:val="22"/>
          <w:szCs w:val="22"/>
        </w:rPr>
        <w:t>viên độc lập khi xét thấy cần thiết;</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11" w:name="_heading=h.jyio2tyrgevu" w:colFirst="0" w:colLast="0"/>
      <w:bookmarkEnd w:id="11"/>
      <w:r>
        <w:rPr>
          <w:b/>
          <w:sz w:val="22"/>
          <w:szCs w:val="22"/>
        </w:rPr>
        <w:t xml:space="preserve">Điều 21. Thẩm quyền triệu tập họp đại hội đồng cổ đông </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Đại hội đồng cổ đông họp thường niên mỗi năm một lần. Ngoài cuộc họp thường niên, Đại hội đồng cổ đông có thể họp bất thường. Địa điểm họp Đại hội đồng cổ đông được xác định là nơi chủ tọa tham dự họp và phải ở trên lãnh thổ Việt Nam.</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Đại hội đồng cổ</w:t>
      </w:r>
      <w:r>
        <w:rPr>
          <w:sz w:val="22"/>
          <w:szCs w:val="22"/>
        </w:rPr>
        <w:t xml:space="preserve"> đông phải họp thường niên trong thời hạn 04 tháng kể từ ngày kết thúc năm tài chính. Hội đồng quản trị quyết định gia hạn họp Đại hội đồng cổ đông thường niên trong trường hợp cần thiết, nhưng không quá 06 tháng kể từ ngày kết thúc năm tài chính.</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Đại h</w:t>
      </w:r>
      <w:r>
        <w:rPr>
          <w:sz w:val="22"/>
          <w:szCs w:val="22"/>
        </w:rPr>
        <w:t>ội đồng cổ đông thường niên thảo luận và thông qua các vấn đề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highlight w:val="white"/>
        </w:rPr>
        <w:t>a) Kế hoạch</w:t>
      </w:r>
      <w:r>
        <w:rPr>
          <w:sz w:val="22"/>
          <w:szCs w:val="22"/>
        </w:rPr>
        <w:t> kinh doanh hằng năm của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Báo cáo tài chính hằng năm;</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Báo cáo của Hội đồng quản trị về quản trị và kết quả hoạt động của Hội đồng quản trị và từng thành viên Hộ</w:t>
      </w:r>
      <w:r>
        <w:rPr>
          <w:sz w:val="22"/>
          <w:szCs w:val="22"/>
        </w:rPr>
        <w:t>i đồng quản trị;</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Báo cáo của Ban kiểm soát về kết quả kinh doanh của công ty, kết quả hoạt động của Hội đồng quản trị, {{ specPosition }} hoặc Phó {{ specPosition }};</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đ) Báo cáo tự đánh giá kết quả hoạt động của Ban kiểm soát và Kiểm soát viên;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e) Mức c</w:t>
      </w:r>
      <w:r>
        <w:rPr>
          <w:sz w:val="22"/>
          <w:szCs w:val="22"/>
        </w:rPr>
        <w:t>ổ tức đối với mỗi cổ phần của từng loại;</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g) Vấn đề khác thuộc thẩm quyền.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4. Hội đồng quản trị triệu tập họp Đại hội đồng cổ đông thường niên và bất thường. Hội đồng quản trị triệu tập họp bất thường Đại hội đồng cổ đông trong trường hợp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Hội đồng quản trị xét thấy cần thiết vì lợi ích của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Số lượng thành viên Hội đồng quản trị, Ban kiểm soát còn lại ít hơn số lượng thành viên tối thiểu theo quy định của pháp luật;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Theo yêu cầu của cổ đông hoặc nhóm cổ đông quy định tại kho</w:t>
      </w:r>
      <w:r>
        <w:rPr>
          <w:sz w:val="22"/>
          <w:szCs w:val="22"/>
        </w:rPr>
        <w:t>ản 2 Điều 115 của Luật doanh nghiệp;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Theo yêu cầu của Ban kiểm soát;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đ) Trường hợp khác theo quy định của pháp luật.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5. Hội đồng quản trị phải triệu tập họp Đại hội đồng cổ đông trong thời hạn 30 ngày kể từ ngày xảy ra trường hợp quy định tại điểm b kh</w:t>
      </w:r>
      <w:r>
        <w:rPr>
          <w:sz w:val="22"/>
          <w:szCs w:val="22"/>
        </w:rPr>
        <w:t xml:space="preserve">oản 4 Điều này hoặc nhận được yêu cầu triệu tập họp quy định tại điểm c và điểm d khoản 4 Điều này. Trường hợp Hội đồng quản trị không triệu tập họp Đại hội đồng cổ đông theo quy định thì Chủ tịch Hội đồng quản trị và các thành viên Hội đồng quản trị phải </w:t>
      </w:r>
      <w:r>
        <w:rPr>
          <w:sz w:val="22"/>
          <w:szCs w:val="22"/>
        </w:rPr>
        <w:t>bồi thường thiệt hại phát sinh cho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highlight w:val="white"/>
        </w:rPr>
        <w:t>6. Trường hợp</w:t>
      </w:r>
      <w:r>
        <w:rPr>
          <w:sz w:val="22"/>
          <w:szCs w:val="22"/>
        </w:rPr>
        <w:t> Hội đồng quản trị không triệu tập họp Đại hội đồng cổ đông theo quy định tại khoản 5 Điều này thì trong thời hạn 30 ngày tiếp theo, Ban kiểm soát thay thế Hội đồng quản trị triệu tập họp Đại hội đồn</w:t>
      </w:r>
      <w:r>
        <w:rPr>
          <w:sz w:val="22"/>
          <w:szCs w:val="22"/>
        </w:rPr>
        <w:t>g cổ đông theo quy định của Luật này.</w:t>
      </w:r>
      <w:r>
        <w:rPr>
          <w:sz w:val="22"/>
          <w:szCs w:val="22"/>
          <w:highlight w:val="white"/>
        </w:rPr>
        <w:t> Trường hợp</w:t>
      </w:r>
      <w:r>
        <w:rPr>
          <w:sz w:val="22"/>
          <w:szCs w:val="22"/>
        </w:rPr>
        <w:t> Ban kiểm soát không triệu tập họp Đại hội đồng cổ đông theo </w:t>
      </w:r>
      <w:r>
        <w:rPr>
          <w:sz w:val="22"/>
          <w:szCs w:val="22"/>
          <w:highlight w:val="white"/>
        </w:rPr>
        <w:t>quy định</w:t>
      </w:r>
      <w:r>
        <w:rPr>
          <w:sz w:val="22"/>
          <w:szCs w:val="22"/>
        </w:rPr>
        <w:t> thì Ban kiểm soát phải bồi thường thiệt hại phát sinh cho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7. Trường hợp Ban kiểm soát không triệu tập họp Đại hội đồng cổ đông th</w:t>
      </w:r>
      <w:r>
        <w:rPr>
          <w:sz w:val="22"/>
          <w:szCs w:val="22"/>
        </w:rPr>
        <w:t>eo quy định tại khoản 6 Điều này thì cổ đông hoặc nhóm cổ đông theo quy định tại khoản 2 Điều 115 của Luật doanh nghiệp có quyền đại diện công ty triệu tập họp Đại hội đồng cổ đông theo quy định của Luật doanh nghiệp.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8. Người triệu tập họp Đại hội đồng </w:t>
      </w:r>
      <w:r>
        <w:rPr>
          <w:sz w:val="22"/>
          <w:szCs w:val="22"/>
        </w:rPr>
        <w:t>cổ đông phải thực hiện các công việc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lastRenderedPageBreak/>
        <w:t>a) Lập danh sách cổ đông có quyền dự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Cung cấp thông tin và giải quyết khiếu nại liên quan đến danh sách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Lập chương trình và nội dung cuộc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Chuẩn bị tài liệu cho cuộc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đ) Dự thảo n</w:t>
      </w:r>
      <w:r>
        <w:rPr>
          <w:sz w:val="22"/>
          <w:szCs w:val="22"/>
        </w:rPr>
        <w:t>ghị quyết Đại hội đồng cổ đông theo nội dung dự kiến của cuộc họp; danh sách và thông tin chi tiết của các ứng cử viên trong trường hợp bầu thành viên Hội đồng quản trị, Kiểm soát viên;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e) Xác định thời gian và địa điểm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g) Gửi thông báo mời họp đến từ</w:t>
      </w:r>
      <w:r>
        <w:rPr>
          <w:sz w:val="22"/>
          <w:szCs w:val="22"/>
        </w:rPr>
        <w:t>ng cổ đông có quyền dự họp theo quy định của Luật này;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h) Công việc khác phục vụ cuộc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t>9. Chi phí triệu tập và tiến hành họp Đại hội đồng cổ đông theo quy định tại các khoản 5, 6 và 7 Điều này sẽ được công ty hoàn lại.</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both"/>
        <w:rPr>
          <w:sz w:val="22"/>
          <w:szCs w:val="22"/>
        </w:rPr>
      </w:pPr>
      <w:bookmarkStart w:id="12" w:name="_heading=h.po5jm4bx7uex" w:colFirst="0" w:colLast="0"/>
      <w:bookmarkEnd w:id="12"/>
      <w:r>
        <w:rPr>
          <w:sz w:val="22"/>
          <w:szCs w:val="22"/>
        </w:rPr>
        <w:t>Điều 22. Danh sách cổ đông có quyền dự họp Đại hội đồng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Danh sách cổ đông có quyền dự họp Đại hội đồng cổ đông được lập dựa trên sổ đăng ký cổ đông của công ty. Danh sách cổ đông có quyền dự họp Đại hội đồng cổ đông được lập không quá 10 ngày tr</w:t>
      </w:r>
      <w:r>
        <w:rPr>
          <w:sz w:val="22"/>
          <w:szCs w:val="22"/>
        </w:rPr>
        <w:t>ước ngày gửi giấy mời họp Đại hội đồng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2. Danh sách cổ đông có quyền dự họp Đại hội đồng cổ đông phải có họ, tên, địa chỉ liên lạc, quốc tịch, số giấy tờ pháp lý của cá nhân đối với cổ đông là cá nhân; tên, mã số doanh nghiệp hoặc số giấy tờ pháp </w:t>
      </w:r>
      <w:r>
        <w:rPr>
          <w:sz w:val="22"/>
          <w:szCs w:val="22"/>
        </w:rPr>
        <w:t>lý của tổ chức, địa chỉ trụ sở chính đối với cổ đông là tổ chức; số lượng cổ phần từng loại, số và ngày đăng ký cổ đông của từng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t>3. Cổ đông có quyền kiểm tra, tra cứu, trích lục, sao chép tên và địa chỉ liên lạc của cổ đông trong danh sách cổ đông</w:t>
      </w:r>
      <w:r>
        <w:rPr>
          <w:sz w:val="22"/>
          <w:szCs w:val="22"/>
        </w:rPr>
        <w:t xml:space="preserve"> có quyền dự họp Đại hội đồng cổ đông; yêu cầu sửa đổi thông tin sai lệch hoặc bổ sung thông tin cần thiết về mình </w:t>
      </w:r>
      <w:r>
        <w:rPr>
          <w:sz w:val="22"/>
          <w:szCs w:val="22"/>
          <w:highlight w:val="white"/>
        </w:rPr>
        <w:t>trong</w:t>
      </w:r>
      <w:r>
        <w:rPr>
          <w:sz w:val="22"/>
          <w:szCs w:val="22"/>
        </w:rPr>
        <w:t> danh sách cổ đông có quyền dự họp Đại hội đồng cổ đông. Người quản lý công ty phải cung cấp kịp thời thông tin trong sổ đăng ký cổ đông, sửa đổi, </w:t>
      </w:r>
      <w:r>
        <w:rPr>
          <w:sz w:val="22"/>
          <w:szCs w:val="22"/>
          <w:highlight w:val="white"/>
        </w:rPr>
        <w:t>bổ sung</w:t>
      </w:r>
      <w:r>
        <w:rPr>
          <w:sz w:val="22"/>
          <w:szCs w:val="22"/>
        </w:rPr>
        <w:t> thông tin sai lệch theo yêu cầu của cổ đông; chịu trách nhiệm bồi thường thiệt hại phát sinh do không</w:t>
      </w:r>
      <w:r>
        <w:rPr>
          <w:sz w:val="22"/>
          <w:szCs w:val="22"/>
        </w:rPr>
        <w:t xml:space="preserve"> cung cấp hoặc cung cấp không kịp thời, không chính xác thông tin sổ đăng ký cổ đông theo yêu cầu.</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both"/>
        <w:rPr>
          <w:sz w:val="22"/>
          <w:szCs w:val="22"/>
        </w:rPr>
      </w:pPr>
      <w:bookmarkStart w:id="13" w:name="_heading=h.2tkg4757o9g5" w:colFirst="0" w:colLast="0"/>
      <w:bookmarkEnd w:id="13"/>
      <w:r>
        <w:rPr>
          <w:sz w:val="22"/>
          <w:szCs w:val="22"/>
        </w:rPr>
        <w:t>Điều 23. Chương trình và nội dung họp Đại hội đồng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Ng</w:t>
      </w:r>
      <w:r>
        <w:rPr>
          <w:sz w:val="22"/>
          <w:szCs w:val="22"/>
          <w:highlight w:val="white"/>
        </w:rPr>
        <w:t>ườ</w:t>
      </w:r>
      <w:r>
        <w:rPr>
          <w:sz w:val="22"/>
          <w:szCs w:val="22"/>
        </w:rPr>
        <w:t>i triệu tập họp Đại hội đồng cổ đông phải chuẩn bị chương trình, nội dung cuộc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Cổ đ</w:t>
      </w:r>
      <w:r>
        <w:rPr>
          <w:sz w:val="22"/>
          <w:szCs w:val="22"/>
        </w:rPr>
        <w:t>ông hoặc nhóm cổ đông quy định tại khoản 2 Điều 6 có quyền kiến nghị vấn đề đưa vào chương trình họp Đại hội đồng cổ đông. Kiến nghị phải bằng văn bản và được gửi đến công ty chậm nhất là 03 ngày làm việc trước ngày khai mạc. Kiến nghị phải ghi rõ tên cổ đ</w:t>
      </w:r>
      <w:r>
        <w:rPr>
          <w:sz w:val="22"/>
          <w:szCs w:val="22"/>
        </w:rPr>
        <w:t>ông, số lượng từng loại cổ phần của cổ đông, vấn đề kiến nghị đưa vào chương trình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Trường hợp người triệu tập họp Đại hội đồng cổ đông từ chối kiến nghị quy định tại khoản 2 Điều này thì chậm nhất là 02 ngày làm việc trước ngày khai mạc cuộc họp Đại hội đồng cổ đông phải trả lời bằng văn bản và nêu rõ lý do. Người triệu tập họp Đại hộ</w:t>
      </w:r>
      <w:r>
        <w:rPr>
          <w:sz w:val="22"/>
          <w:szCs w:val="22"/>
        </w:rPr>
        <w:t>i đồng cổ đông chỉ được từ chối kiến nghị nếu thuộc một trong các trường hợp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a) Kiến nghị được gửi đến không đúng quy định tại khoản 2 Điều này;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b) Vấn đề kiến nghị không thuộc thẩm quyền quyết định của Đại hội đồng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after="120" w:line="312" w:lineRule="auto"/>
        <w:ind w:hanging="2"/>
        <w:rPr>
          <w:sz w:val="22"/>
          <w:szCs w:val="22"/>
        </w:rPr>
      </w:pPr>
      <w:r>
        <w:rPr>
          <w:sz w:val="22"/>
          <w:szCs w:val="22"/>
        </w:rPr>
        <w:t>4. Người triệu tập họp Đại hội đồng cổ đông phải chấp nhận và đưa kiến nghị quy định tại khoản 2 Điều này vào dự kiến chương trình và nội dung cuộc họp, trừ trường hợp quy định tại khoản 3 Điều này; kiến nghị được chính thức bổ sung vào chương trình và nội</w:t>
      </w:r>
      <w:r>
        <w:rPr>
          <w:sz w:val="22"/>
          <w:szCs w:val="22"/>
        </w:rPr>
        <w:t xml:space="preserve"> dung cuộc họp nếu được Đại hội đồng cổ đông chấp thuận.</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left"/>
        <w:rPr>
          <w:sz w:val="22"/>
          <w:szCs w:val="22"/>
        </w:rPr>
      </w:pPr>
      <w:r>
        <w:rPr>
          <w:sz w:val="22"/>
          <w:szCs w:val="22"/>
        </w:rPr>
        <w:lastRenderedPageBreak/>
        <w:t>Điều 24. Mời họp Đại hội đồng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Người triệu tập họp Đại hội đồng cổ đông phải gửi thông báo mời họp đến tất cả cổ đông </w:t>
      </w:r>
      <w:r>
        <w:rPr>
          <w:sz w:val="22"/>
          <w:szCs w:val="22"/>
          <w:highlight w:val="white"/>
        </w:rPr>
        <w:t>trong</w:t>
      </w:r>
      <w:r>
        <w:rPr>
          <w:sz w:val="22"/>
          <w:szCs w:val="22"/>
        </w:rPr>
        <w:t> danh sách cổ đông có quyền dự họp chậm nhất là 21 ngày trước ngày</w:t>
      </w:r>
      <w:r>
        <w:rPr>
          <w:sz w:val="22"/>
          <w:szCs w:val="22"/>
        </w:rPr>
        <w:t xml:space="preserve"> khai mạc. Thông báo mời họp phải có tên, địa chỉ trụ sở chính, mã số doanh nghiệp; tên, địa chỉ liên lạc của cổ đông, thời gian, địa điểm họp và những yêu cầu khác đối với người dự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Thông báo mời họp được gửi bằng phương thức để bảo đảm đến được đị</w:t>
      </w:r>
      <w:r>
        <w:rPr>
          <w:sz w:val="22"/>
          <w:szCs w:val="22"/>
        </w:rPr>
        <w:t>a chỉ liên lạc của cổ đông và đăng trên trang thông tin điện tử của công ty; trường hợp công ty xét thấy cần thiết thì đăng báo hằng ngày của trung ương hoặc địa phương.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Thông báo mời họp phải được gửi kèm theo các tài liệu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Chương trình họp,</w:t>
      </w:r>
      <w:r>
        <w:rPr>
          <w:sz w:val="22"/>
          <w:szCs w:val="22"/>
        </w:rPr>
        <w:t xml:space="preserve"> các tài liệu sử dụng trong cuộc họp và dự thảo nghị quyết đối với từng vấn đề trong chương trình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Phiếu biểu quyết.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4. Trường hợp công ty có trang thông tin điện tử, việc gửi tài liệu họp kèm theo thông báo mời </w:t>
      </w:r>
      <w:r>
        <w:rPr>
          <w:sz w:val="22"/>
          <w:szCs w:val="22"/>
          <w:highlight w:val="white"/>
        </w:rPr>
        <w:t>họp quy</w:t>
      </w:r>
      <w:r>
        <w:rPr>
          <w:sz w:val="22"/>
          <w:szCs w:val="22"/>
        </w:rPr>
        <w:t xml:space="preserve"> định tại khoản 3 Điều này có </w:t>
      </w:r>
      <w:r>
        <w:rPr>
          <w:sz w:val="22"/>
          <w:szCs w:val="22"/>
        </w:rPr>
        <w:t>thể thay thế bằng việc đăng tải lên trang thông tin điện tử của công ty. Trường hợp này, thông báo mời họp phải ghi rõ nơi, cách thức tải tài liệu.</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14" w:name="_heading=h.ic4vx4664c1p" w:colFirst="0" w:colLast="0"/>
      <w:bookmarkEnd w:id="14"/>
      <w:r>
        <w:rPr>
          <w:b/>
          <w:sz w:val="22"/>
          <w:szCs w:val="22"/>
        </w:rPr>
        <w:t>Điều 25. Thực hiện quyền dự họp Đại hội đồng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Cổ đông, người đại diện theo ủy quyền của cổ đông là tổ chức có thể trực tiếp tham dự họp, ủy quyền bằng văn bản cho một hoặc một số cá nhân, tổ chức khác dự họp hoặc dự họp thông qua một </w:t>
      </w:r>
      <w:r>
        <w:rPr>
          <w:sz w:val="22"/>
          <w:szCs w:val="22"/>
          <w:highlight w:val="white"/>
        </w:rPr>
        <w:t>trong</w:t>
      </w:r>
      <w:r>
        <w:rPr>
          <w:sz w:val="22"/>
          <w:szCs w:val="22"/>
        </w:rPr>
        <w:t> các hình thức quy định tại khoản 3 Điều này.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Việc ủy quy</w:t>
      </w:r>
      <w:r>
        <w:rPr>
          <w:sz w:val="22"/>
          <w:szCs w:val="22"/>
        </w:rPr>
        <w:t xml:space="preserve">ền cho cá nhân, tổ chức đại diện dự họp Đại hội đồng cổ đông phải lập thành văn bản. Văn bản ủy quyền được lập theo quy định của pháp luật về dân sự và phải nêu rõ tên cá nhân, tổ chức được ủy quyền và số lượng cổ phần được ủy quyền. Cá nhân, tổ chức được </w:t>
      </w:r>
      <w:r>
        <w:rPr>
          <w:sz w:val="22"/>
          <w:szCs w:val="22"/>
        </w:rPr>
        <w:t>ủy quyền dự họp Đại hội đồng cổ đông phải xuất trình văn bản ủy quyền khi đăng ký dự họp trước khi vào phòng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Cổ đông được coi là tham dự và biểu quyết tại cuộc họp Đại hội đồng cổ đông trong </w:t>
      </w:r>
      <w:r>
        <w:rPr>
          <w:sz w:val="22"/>
          <w:szCs w:val="22"/>
          <w:highlight w:val="white"/>
        </w:rPr>
        <w:t>trường hợp</w:t>
      </w:r>
      <w:r>
        <w:rPr>
          <w:sz w:val="22"/>
          <w:szCs w:val="22"/>
        </w:rPr>
        <w:t>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Tham dự và biểu quyết trực tiếp tạ</w:t>
      </w:r>
      <w:r>
        <w:rPr>
          <w:sz w:val="22"/>
          <w:szCs w:val="22"/>
        </w:rPr>
        <w:t>i cuộc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Ủy quyền cho cá nhân, tổ chức khác tham dự và biểu quyết tại cuộc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Tham dự và biểu quyết thông qua hội nghị trực tuyến, bỏ phiếu điện tử hoặc hình thức điện tử khác;</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d) Gửi phiếu biểu quyết đến cuộc họp thông qua gửi thư, fax, thư điện tử;</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after="120" w:line="312" w:lineRule="auto"/>
        <w:ind w:hanging="2"/>
        <w:rPr>
          <w:sz w:val="22"/>
          <w:szCs w:val="22"/>
        </w:rPr>
      </w:pPr>
      <w:r>
        <w:rPr>
          <w:sz w:val="22"/>
          <w:szCs w:val="22"/>
        </w:rPr>
        <w:t>đ) Gửi phiếu biểu quyết bằng phương tiện khác theo quy định trong Điều lệ công ty.</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both"/>
        <w:rPr>
          <w:sz w:val="22"/>
          <w:szCs w:val="22"/>
        </w:rPr>
      </w:pPr>
      <w:bookmarkStart w:id="15" w:name="_heading=h.4p7nfwp6fxuu" w:colFirst="0" w:colLast="0"/>
      <w:bookmarkEnd w:id="15"/>
      <w:r>
        <w:rPr>
          <w:sz w:val="22"/>
          <w:szCs w:val="22"/>
        </w:rPr>
        <w:t>Điều 26. Điều kiện tiến hành họp Đại hội đồng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Cuộc họp Đại hội đồng cổ đông được tiến hành khi có số cổ đông dự họp đại diện trên 50% tổng số phiếu biểu quyết.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2. Trường hợp cuộc họp lần thứ nhất không đủ điều kiện tiến hành theo quy định tại khoản 1 Điều này thì thông báo mời họp lần thứ hai phải </w:t>
      </w:r>
      <w:r>
        <w:rPr>
          <w:sz w:val="22"/>
          <w:szCs w:val="22"/>
        </w:rPr>
        <w:t>được gửi trong thời hạn 30 ngày kể từ ngày dự định họp lần thứ nhất. Cuộc họp Đại hội đồng cổ đông lần thứ hai được tiến hành khi có số cổ đông dự họp đại diện từ 33% tổng số phiếu biểu quyết trở lên.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highlight w:val="white"/>
        </w:rPr>
        <w:t>3. Trường hợp</w:t>
      </w:r>
      <w:r>
        <w:rPr>
          <w:sz w:val="22"/>
          <w:szCs w:val="22"/>
        </w:rPr>
        <w:t> cuộc họp lần thứ hai không đủ điều kiện t</w:t>
      </w:r>
      <w:r>
        <w:rPr>
          <w:sz w:val="22"/>
          <w:szCs w:val="22"/>
        </w:rPr>
        <w:t>iến hành theo quy định tại khoản 2 Điều này thì thông báo mời họp lần thứ ba phải được gửi trong thời hạn 20 ngày kể từ ngày dự định họp lần thứ hai. Cuộc họp Đại hội đồng cổ đông lần thứ ba được tiến hành không phụ thuộc vào tổng số phiếu biểu quyết của c</w:t>
      </w:r>
      <w:r>
        <w:rPr>
          <w:sz w:val="22"/>
          <w:szCs w:val="22"/>
        </w:rPr>
        <w:t>ác cổ đông dự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lastRenderedPageBreak/>
        <w:t>4. Chỉ có Đại hội đồng cổ đông mới có quyền quyết định thay đổi chương trình họp đã được gửi kèm theo thông báo mời họp theo quy định tại Điều 23 Điều lệ.</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t xml:space="preserve">Điều 27. Thể thức tiến hành họp và biểu quyết tại Đại hội đồng cổ đông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16" w:name="_heading=h.bu66ija6ad3e" w:colFirst="0" w:colLast="0"/>
      <w:bookmarkEnd w:id="16"/>
      <w:r>
        <w:rPr>
          <w:sz w:val="22"/>
          <w:szCs w:val="22"/>
        </w:rPr>
        <w:t>Thể thức tiến hành họp và biểu quyết tại cuộc họp Đại hội đồng cổ đông được tiến hành như sau:</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Trước khi khai mạc cuộc họp, phải tiến hành đăng ký cổ đông dự họp Đại hội đồng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Việc bầu chủ tọa, thư ký và ban kiểm phiếu được quy định như sau:</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Chủ tịch Hội đồng quản trị làm chủ tọa hoặc ủy quyền cho thành viên Hội đồng quản trị khác làm chủ tọa cuộc họp Đại hội đồng cổ đông do Hội đồng quản trị triệu tập; </w:t>
      </w:r>
      <w:r>
        <w:rPr>
          <w:sz w:val="22"/>
          <w:szCs w:val="22"/>
          <w:highlight w:val="white"/>
        </w:rPr>
        <w:t>trường hợp</w:t>
      </w:r>
      <w:r>
        <w:rPr>
          <w:sz w:val="22"/>
          <w:szCs w:val="22"/>
        </w:rPr>
        <w:t xml:space="preserve"> Chủ tịch vắng mặt hoặc tạm thời mất khả năng làm việc thì các thành viên Hội </w:t>
      </w:r>
      <w:r>
        <w:rPr>
          <w:sz w:val="22"/>
          <w:szCs w:val="22"/>
        </w:rPr>
        <w:t>đồng quản trị còn lại bầu một người trong số họ làm chủ tọa cuộc họp theo nguyên tắc đa số; trường hợp không bầu được người làm chủ tọa thì Trưởng Ban kiểm soát điều hành để Đại hội đồng cổ đông bầu chủ tọa cuộc họp và người có số phiếu bầu cao nhất làm ch</w:t>
      </w:r>
      <w:r>
        <w:rPr>
          <w:sz w:val="22"/>
          <w:szCs w:val="22"/>
        </w:rPr>
        <w:t>ủ tọa cuộc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Trừ trường hợp quy định tại điểm a khoản này, người ký tên triệu tập họp Đại hội đồng cổ đông điều hành để Đại hội đồng cổ đông bầu chủ tọa cuộc họp và người có số phiếu bầu cao nhất làm chủ tọa cuộc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Chủ tọa cử một hoặc một số ng</w:t>
      </w:r>
      <w:r>
        <w:rPr>
          <w:sz w:val="22"/>
          <w:szCs w:val="22"/>
        </w:rPr>
        <w:t>ười làm thư ký cuộc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Đại hội đồng cổ đông bầu một hoặc một số ng</w:t>
      </w:r>
      <w:r>
        <w:rPr>
          <w:sz w:val="22"/>
          <w:szCs w:val="22"/>
          <w:highlight w:val="white"/>
        </w:rPr>
        <w:t>ườ</w:t>
      </w:r>
      <w:r>
        <w:rPr>
          <w:sz w:val="22"/>
          <w:szCs w:val="22"/>
        </w:rPr>
        <w:t>i vào ban kiểm phiếu theo đề nghị của chủ tọa cuộc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Chương trình và nội dung họp phải được Đại hội đồng cổ đông thông qua </w:t>
      </w:r>
      <w:r>
        <w:rPr>
          <w:sz w:val="22"/>
          <w:szCs w:val="22"/>
          <w:highlight w:val="white"/>
        </w:rPr>
        <w:t>trong</w:t>
      </w:r>
      <w:r>
        <w:rPr>
          <w:sz w:val="22"/>
          <w:szCs w:val="22"/>
        </w:rPr>
        <w:t> phiên khai mạc. Chương trình phải xác định </w:t>
      </w:r>
      <w:r>
        <w:rPr>
          <w:sz w:val="22"/>
          <w:szCs w:val="22"/>
          <w:highlight w:val="white"/>
        </w:rPr>
        <w:t>thời gian</w:t>
      </w:r>
      <w:r>
        <w:rPr>
          <w:sz w:val="22"/>
          <w:szCs w:val="22"/>
        </w:rPr>
        <w:t> đối </w:t>
      </w:r>
      <w:r>
        <w:rPr>
          <w:sz w:val="22"/>
          <w:szCs w:val="22"/>
          <w:highlight w:val="white"/>
        </w:rPr>
        <w:t>với</w:t>
      </w:r>
      <w:r>
        <w:rPr>
          <w:sz w:val="22"/>
          <w:szCs w:val="22"/>
        </w:rPr>
        <w:t> từng vấn đề trong nội dung chương trình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4. Chủ tọa có quyền thực hiện các biện pháp cần thiết và hợp lý để điều hành cuộc họp một cách có trật tự, đúng theo chương trình đã được thông qua và phản ánh được mong muốn của đa số người dự</w:t>
      </w:r>
      <w:r>
        <w:rPr>
          <w:sz w:val="22"/>
          <w:szCs w:val="22"/>
        </w:rPr>
        <w:t xml:space="preserve">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5. Đại hội đồng cổ đông thảo luận và biểu quyết theo từng vấn đề trong nội dung chương trình. Việc biểu quyết được tiến hành bằng biểu quyết tán thành, không tán thành và không có ý kiến. Kết quả kiểm phiếu được chủ tọa công bố ngay trước khi bế mạc </w:t>
      </w:r>
      <w:r>
        <w:rPr>
          <w:sz w:val="22"/>
          <w:szCs w:val="22"/>
        </w:rPr>
        <w:t>cuộc họp;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6. Cổ đông hoặc người được ủy quyền dự họp đến sau khi cuộc họp đã khai mạc vẫn được đăng ký và có quyền tham gia biểu quyết ngay sau khi đăng ký; </w:t>
      </w:r>
      <w:r>
        <w:rPr>
          <w:sz w:val="22"/>
          <w:szCs w:val="22"/>
          <w:highlight w:val="white"/>
        </w:rPr>
        <w:t>trong</w:t>
      </w:r>
      <w:r>
        <w:rPr>
          <w:sz w:val="22"/>
          <w:szCs w:val="22"/>
        </w:rPr>
        <w:t> trường hợp này, hiệu lực của những nội dung đã được biểu quyết trước đó không thay đổi;</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7. Ng</w:t>
      </w:r>
      <w:r>
        <w:rPr>
          <w:sz w:val="22"/>
          <w:szCs w:val="22"/>
        </w:rPr>
        <w:t>ười triệu tập họp hoặc chủ tọa cuộc họp Đại hội đồng cổ đông có quyền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Yêu cầu tất cả người dự họp chịu sự kiểm tra hoặc các biện pháp an ninh hợp pháp, hợp lý khác;</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Yêu cầu cơ quan có thẩm quyền duy trì trật tự cuộc họp; trục xuất những ngườ</w:t>
      </w:r>
      <w:r>
        <w:rPr>
          <w:sz w:val="22"/>
          <w:szCs w:val="22"/>
        </w:rPr>
        <w:t>i không tuân thủ quyền điều hành của chủ tọa, cố ý gây rối trật tự, ngăn cản tiến triển bình thường của cuộc họp hoặc không tuân thủ các yêu cầu về kiểm tra an ninh ra khỏi cuộc họp Đại hội đồng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8. Chủ tọa có quyền hoãn cuộc họp Đại hội đồng cổ đô</w:t>
      </w:r>
      <w:r>
        <w:rPr>
          <w:sz w:val="22"/>
          <w:szCs w:val="22"/>
        </w:rPr>
        <w:t>ng đã có đủ số người đăng ký dự họp tối đa không quá 03 ngày làm việc kể từ ngày cuộc họp dự định khai mạc và chỉ được hoãn cuộc họp hoặc thay đổi địa điểm họp trong trường hợp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Địa điểm họp không có đủ chỗ ngồi thuận tiện cho tất cả người dự họ</w:t>
      </w:r>
      <w:r>
        <w:rPr>
          <w:sz w:val="22"/>
          <w:szCs w:val="22"/>
        </w:rPr>
        <w:t>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Phương tiện thông tin tại địa điểm họp không bảo đảm cho cổ đông dự họp tham gia, thảo luận và biểu quyết;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Có người dự họp cản trở, gây rối trật tự, có nguy cơ làm cho cuộc họp không được tiến hành một cách công bằng và hợp pháp;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t xml:space="preserve">9. Trường hợp chủ tọa hoãn hoặc tạm dừng họp Đại hội đồng cổ đông trái với quy định tại khoản 8 Điều này, Đại hội đồng cổ đông bầu một người khác trong số những người dự họp để thay thế chủ tọa điều </w:t>
      </w:r>
      <w:r>
        <w:rPr>
          <w:sz w:val="22"/>
          <w:szCs w:val="22"/>
        </w:rPr>
        <w:lastRenderedPageBreak/>
        <w:t>hành cuộc họp cho đến lúc kết thúc; tất cả nghị quyết đượ</w:t>
      </w:r>
      <w:r>
        <w:rPr>
          <w:sz w:val="22"/>
          <w:szCs w:val="22"/>
        </w:rPr>
        <w:t>c thông qua tại cuộc họp đó đều có hiệu lực thi hành.</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left"/>
        <w:rPr>
          <w:sz w:val="22"/>
          <w:szCs w:val="22"/>
        </w:rPr>
      </w:pPr>
      <w:r>
        <w:rPr>
          <w:sz w:val="22"/>
          <w:szCs w:val="22"/>
        </w:rPr>
        <w:t xml:space="preserve">Điều 28. Hình thức thông qua nghị quyết của Đại hội đồng cổ đông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Đại hội đồng cổ đông thông qua các quyết định thuộc thẩm quyền bằng hình thức biểu quyết tại cuộc họp hoặc lấy ý kiến bằng văn bản.</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w:t>
      </w:r>
      <w:r>
        <w:rPr>
          <w:sz w:val="22"/>
          <w:szCs w:val="22"/>
        </w:rPr>
        <w:t>. Nghị quyết của Đại hội đồng cổ đông về các vấn đề sau đây phải được thông qua bằng hình thức biểu quyết tại cuộc họp Đại hội đồng cổ đông: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Sửa đổi, bổ sung các nội dung của Điều lệ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Định hướng phát triển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Loại cổ phần và tổng số cổ phần của từng loại;</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Bầu, miễn nhiệm, bãi nhiệm thành viên Hội đồng quản trị;</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đ) Quyết định đầu tư hoặc bán số tài sản có giá trị bằng hoặc lớn hơn 35% tổng giá trị tài sản được ghi trong báo cáo tài chính gần nhất của công </w:t>
      </w:r>
      <w:r>
        <w:rPr>
          <w:sz w:val="22"/>
          <w:szCs w:val="22"/>
        </w:rPr>
        <w:t xml:space="preserve">ty.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e) Thông qua báo cáo tài chính hằng năm;</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g) Tổ chức lại, giải thể công ty.</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17" w:name="_heading=h.w60kpe6fa5hr" w:colFirst="0" w:colLast="0"/>
      <w:bookmarkEnd w:id="17"/>
      <w:r>
        <w:rPr>
          <w:b/>
          <w:sz w:val="22"/>
          <w:szCs w:val="22"/>
        </w:rPr>
        <w:t xml:space="preserve">Điều 29. Điều kiện để Nghị quyết được thông qua </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1. Nghị quyết về nội dung sau đây được thông qua nếu được số cổ đông đại diện từ 65% tổng số phiếu biểu quyết trở lên của tất c</w:t>
      </w:r>
      <w:r>
        <w:rPr>
          <w:sz w:val="22"/>
          <w:szCs w:val="22"/>
        </w:rPr>
        <w:t>ả cổ đông dự họp tán thành, trừ trường hợp quy định tại các khoản 3, 4 và 6 Điều này: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a) Loại cổ phần và tổng số cổ phần của từng loại;</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b) Thay đổi ngành, nghề và lĩnh vực kinh doanh;</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c) Thay đổi cơ cấu tổ chức quản lý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d) Dự án đầu tư hoặc bán tài sản có giá trị từ 35% tổng giá trị tài sản trở lên được ghi </w:t>
      </w:r>
      <w:r>
        <w:rPr>
          <w:sz w:val="22"/>
          <w:szCs w:val="22"/>
          <w:highlight w:val="white"/>
        </w:rPr>
        <w:t>trong</w:t>
      </w:r>
      <w:r>
        <w:rPr>
          <w:sz w:val="22"/>
          <w:szCs w:val="22"/>
        </w:rPr>
        <w:t> báo cáo tài chính gần nhất của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đ) Tổ chức lại, giải thể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2. Các nghị quyết được thông qua khi được số cổ đông sở hữu trên 50% tổng số phiếu biểu</w:t>
      </w:r>
      <w:r>
        <w:rPr>
          <w:sz w:val="22"/>
          <w:szCs w:val="22"/>
        </w:rPr>
        <w:t xml:space="preserve"> quyết của tất cả cổ đông dự họp tán thành, trừ trường hợp quy định tại các khoản 1, 3, 4 và 6 Điều này.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Việc biểu quyết bầu thành viên Hội đồng quản trị và Ban kiểm soát phải thực hiện theo phương thức bầu dồn phiếu, theo đó mỗi cổ đông có tổng số phiế</w:t>
      </w:r>
      <w:r>
        <w:rPr>
          <w:sz w:val="22"/>
          <w:szCs w:val="22"/>
        </w:rPr>
        <w:t>u biểu quyết tương ứng với tổng số cổ phần sở hữu nhân với số thành viên được bầu của Hội đồng quản trị hoặc Ban kiểm soát và cổ đông có quyền dồn hết hoặc một phần tổng số phiếu bầu của mình cho một hoặc một số ứng cử viên. Người trúng cử thành viên Hội đ</w:t>
      </w:r>
      <w:r>
        <w:rPr>
          <w:sz w:val="22"/>
          <w:szCs w:val="22"/>
        </w:rPr>
        <w:t>ồng quản trị hoặc Kiểm soát viên được xác định theo số phiếu bầu tính từ cao xuống thấp, bắt đầu từ ứng cử viên có số phiếu bầu cao nhất cho đến khi đủ số thành viên. Trường hợp có từ 02 ứng cử viên trở lên đạt cùng số phiếu bầu như nhau cho thành viên cuố</w:t>
      </w:r>
      <w:r>
        <w:rPr>
          <w:sz w:val="22"/>
          <w:szCs w:val="22"/>
        </w:rPr>
        <w:t>i cùng của Hội đồng quản trị hoặc Ban kiểm soát thì sẽ tiến hành bầu lại trong số các ứng cử viên có số phiếu bầu ngang nhau hoặc lựa chọn theo tiêu chí quy định tại quy chế bầu cử.</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4. Trường hợp thông qua nghị quyết dưới hình thức lấy ý kiến bằng văn bản </w:t>
      </w:r>
      <w:r>
        <w:rPr>
          <w:sz w:val="22"/>
          <w:szCs w:val="22"/>
        </w:rPr>
        <w:t>thì nghị quyết Đại hội đồng cổ đông được thông qua nếu được số cổ đông sở hữu trên 50% tổng số phiếu biểu quyết của tất cả cổ đông có quyền biểu quyết tán thành.</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5. Nghị quyết Đại hội đồng cổ đông phải được thông báo đến cổ đông có quyền dự họp Đại hội đồn</w:t>
      </w:r>
      <w:r>
        <w:rPr>
          <w:sz w:val="22"/>
          <w:szCs w:val="22"/>
        </w:rPr>
        <w:t>g cổ đông trong thời hạn 15 ngày kể từ ngày thông qua; trường hợp công ty có trang thông tin điện tử, việc gửi nghị quyết có thể thay thế bằng việc đăng tải lên trang thông tin điện tử của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lastRenderedPageBreak/>
        <w:t xml:space="preserve">6. Nghị quyết Đại hội đồng cổ đông về nội dung làm thay đổi bất lợi quyền và nghĩa vụ của cổ đông sở hữu cổ phần ưu đãi chỉ được thông qua nếu được số cổ đông ưu đãi cùng loại dự họp sở hữu từ 75% tổng số cổ phần ưu đãi loại đó trở lên tán thành hoặc được </w:t>
      </w:r>
      <w:r>
        <w:rPr>
          <w:sz w:val="22"/>
          <w:szCs w:val="22"/>
        </w:rPr>
        <w:t>các cổ đông ưu đãi cùng loại sở hữu từ 75% tổng số cổ phần ưu đãi loại đó trở lên tán thành trong trường hợp thông qua nghị quyết dưới hình thức lấy ý kiến bằng văn bản.</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t>Điều 30. Thẩm quyền và thể thức lấy ý kiến cổ đông bằng văn bản để thông qua nghị quyế</w:t>
      </w:r>
      <w:r>
        <w:rPr>
          <w:sz w:val="22"/>
          <w:szCs w:val="22"/>
        </w:rPr>
        <w:t>t của Đại hội đồng cổ đông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18" w:name="_heading=h.kemxlv5gi22i" w:colFirst="0" w:colLast="0"/>
      <w:bookmarkEnd w:id="18"/>
      <w:r>
        <w:rPr>
          <w:sz w:val="22"/>
          <w:szCs w:val="22"/>
        </w:rPr>
        <w:t>Thẩm quyền và thể thức lấy ý kiến cổ đông bằng văn bản để thông qua nghị quyết của Đại hội đồng cổ đông được thực hiện theo quy định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Hội đồng quản trị có quyền lấy ý kiến cổ đông bằng văn bản để thông qua nghị quyết Đ</w:t>
      </w:r>
      <w:r>
        <w:rPr>
          <w:sz w:val="22"/>
          <w:szCs w:val="22"/>
        </w:rPr>
        <w:t>ại hội đồng cổ đông khi xét thấy cần thiết vì lợi ích của công ty, trừ trường hợp quy định tại khoản 2 Điều 28 Điều lệ;</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Hội đồng quản trị chuẩn bị phiếu lấy ý kiến, dự thảo nghị quyết Đại hội đồng cổ đông, các tài liệu giải trình dự thảo nghị quyết và</w:t>
      </w:r>
      <w:r>
        <w:rPr>
          <w:sz w:val="22"/>
          <w:szCs w:val="22"/>
        </w:rPr>
        <w:t xml:space="preserve"> gửi đến tất cả cổ đông có quyền biểu quyết chậm nhất là 10 ngày trước thời hạn phải gửi lại phiếu lấy ý kiến. Việc lập danh sách cổ đông gửi phiếu lấy ý kiến thực hiện theo quy định tại khoản 1 và khoản 2 Điều 22 Điều lệ. Yêu cầu và cách thức gửi phiếu </w:t>
      </w:r>
      <w:r>
        <w:rPr>
          <w:sz w:val="22"/>
          <w:szCs w:val="22"/>
        </w:rPr>
        <w:t>lấy ý kiến và tài liệu kèm theo thực hiện theo quy định tại Điều 24 Điều lệ;</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Phiếu lấy ý kiến phải bao gồm các nội dung chủ yếu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Tên, địa chỉ trụ sở chính, mã số doanh nghiệp;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Mục đích lấy ý kiến;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hoặc họ, tên, địa chỉ liên lạc, quốc tịch, số g</w:t>
      </w:r>
      <w:r>
        <w:rPr>
          <w:sz w:val="22"/>
          <w:szCs w:val="22"/>
        </w:rPr>
        <w:t>iấy tờ pháp lý của cá nhân đối với đại diện của cổ đông là tổ chức; số lượng cổ phần của từng loại và số phiếu biểu quyết của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Vấn đề cần lấy ý kiến để thông qua;</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đ) Phương án biểu quyết bao gồm tán thành, không tán thành và không có ý kiến;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e) </w:t>
      </w:r>
      <w:r>
        <w:rPr>
          <w:sz w:val="22"/>
          <w:szCs w:val="22"/>
        </w:rPr>
        <w:t>Thời hạn phải gửi về công ty phiếu lấy ý kiến đã được trả lời;</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g) Họ, tên, chữ ký của Chủ tịch Hội đồng quản trị;</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4. Cổ đông có thể gửi phiếu lấy ý kiến đã trả lời đến công ty bằng hình thức gửi thư, fax hoặc thư điện tử theo quy định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Trường hợ</w:t>
      </w:r>
      <w:r>
        <w:rPr>
          <w:sz w:val="22"/>
          <w:szCs w:val="22"/>
        </w:rPr>
        <w:t>p gửi thư, phiếu lấy ý kiến đã được trả lời phải có chữ ký của cổ đông là cá nhân, của người đại diện theo ủy quyền hoặc người đại diện theo pháp luật của cổ đông là tổ chức. Phiếu lấy ý kiến gửi về công ty phải được đựng trong phong bì dán kín và không ai</w:t>
      </w:r>
      <w:r>
        <w:rPr>
          <w:sz w:val="22"/>
          <w:szCs w:val="22"/>
        </w:rPr>
        <w:t xml:space="preserve"> được quyền mở trước khi kiểm phiếu;</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Trường hợp gửi fax hoặc thư điện tử, phiếu lấy ý kiến gửi về công ty phải được giữ bí mật đến thời điểm kiểm phiếu;</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Các phiếu lấy ý kiến gửi về công ty sau thời hạn đã xác định tại nội dung phiếu lấy ý kiến hoặc đ</w:t>
      </w:r>
      <w:r>
        <w:rPr>
          <w:sz w:val="22"/>
          <w:szCs w:val="22"/>
        </w:rPr>
        <w:t>ã bị mở </w:t>
      </w:r>
      <w:r>
        <w:rPr>
          <w:sz w:val="22"/>
          <w:szCs w:val="22"/>
          <w:highlight w:val="white"/>
        </w:rPr>
        <w:t>trong</w:t>
      </w:r>
      <w:r>
        <w:rPr>
          <w:sz w:val="22"/>
          <w:szCs w:val="22"/>
        </w:rPr>
        <w:t> trường hợp gửi thư và bị tiết lộ trong trường hợp gửi fax, thư điện tử là không hợp lệ. Phiếu lấy ý kiến không được gửi về được coi là phiếu không tham gia biểu quyết;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5. Hội đồng quản trị tổ chức kiểm phiếu và lập biên bản kiểm phiếu dưới sự</w:t>
      </w:r>
      <w:r>
        <w:rPr>
          <w:sz w:val="22"/>
          <w:szCs w:val="22"/>
        </w:rPr>
        <w:t xml:space="preserve"> chứng kiến, giám sát của Ban kiểm soát hoặc của cổ đông không nắm giữ chức vụ quản lý công ty. Biên bản kiểm phiếu phải bao gồm các nội dung chủ yếu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Tên, địa chỉ trụ sở chính, mã số doanh nghiệp;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Mục đích và các vấn đề cần lấy ý kiến để thô</w:t>
      </w:r>
      <w:r>
        <w:rPr>
          <w:sz w:val="22"/>
          <w:szCs w:val="22"/>
        </w:rPr>
        <w:t>ng qua nghị quyết;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lastRenderedPageBreak/>
        <w:t>c) Số cổ đông với tổng số phiếu biểu quyết đã tham gia biểu quyết, </w:t>
      </w:r>
      <w:r>
        <w:rPr>
          <w:sz w:val="22"/>
          <w:szCs w:val="22"/>
          <w:highlight w:val="white"/>
        </w:rPr>
        <w:t>trong</w:t>
      </w:r>
      <w:r>
        <w:rPr>
          <w:sz w:val="22"/>
          <w:szCs w:val="22"/>
        </w:rPr>
        <w:t> đó phân biệt số phiếu biểu quyết hợp lệ và số phiếu biểu quyết không hợp lệ và phương thức gửi phiếu biểu quyết, kèm theo phụ lục danh sách cổ đông tham gia biểu qu</w:t>
      </w:r>
      <w:r>
        <w:rPr>
          <w:sz w:val="22"/>
          <w:szCs w:val="22"/>
        </w:rPr>
        <w:t>yết;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Tổng số phiếu tán thành, không tán thành và không có ý kiến đối với từng vấn đề;</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đ) Vấn đề đã được thông qua và tỷ lệ biểu quyết thông qua tương ứng;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e) Họ, tên, chữ ký của Chủ tịch Hội đồng quản trị, người giám sát kiểm phiếu và người kiểm phiếu.</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Các thành viên Hội đồng quản trị, người kiểm phiếu và người giám sát kiểm phiếu phải liên đới chịu trách nhiệm về tính trung thực, chính xác của biên bản kiểm phiếu; liên đới chịu trách nhiệm về các thiệt hại phát sinh từ các quyết định được thông qua do k</w:t>
      </w:r>
      <w:r>
        <w:rPr>
          <w:sz w:val="22"/>
          <w:szCs w:val="22"/>
        </w:rPr>
        <w:t>iểm phiếu không trung thực, không chính xác;</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6. Biên bản kiểm phiếu và nghị quyết phải được gửi đến các cổ đông </w:t>
      </w:r>
      <w:r>
        <w:rPr>
          <w:sz w:val="22"/>
          <w:szCs w:val="22"/>
          <w:highlight w:val="white"/>
        </w:rPr>
        <w:t>trong</w:t>
      </w:r>
      <w:r>
        <w:rPr>
          <w:sz w:val="22"/>
          <w:szCs w:val="22"/>
        </w:rPr>
        <w:t> thời hạn 15 ngày kể từ ngày kết thúc kiểm phiếu. Trường hợp công ty có trang thông tin điện tử, việc gửi biên bản kiểm phiếu và nghị quyết có thể thay thế bằng việc đăng tải lên trang thông tin điện tử của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7. Phiếu lấy ý kiến đã được trả lời, biê</w:t>
      </w:r>
      <w:r>
        <w:rPr>
          <w:sz w:val="22"/>
          <w:szCs w:val="22"/>
        </w:rPr>
        <w:t>n bản kiểm phiếu, nghị quyết đã được thông qua và tài liệu có liên quan gửi kèm theo phiếu lấy ý kiến được lưu giữ tại trụ sở chính của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t>8. Nghị quyết được thông qua theo hình thức lấy ý kiến cổ đông bằng văn bản có giá trị như nghị quyết được thôn</w:t>
      </w:r>
      <w:r>
        <w:rPr>
          <w:sz w:val="22"/>
          <w:szCs w:val="22"/>
        </w:rPr>
        <w:t>g qua tại cuộc họp Đại hội đồng cổ đông.</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t>Điều 31. Biên bản họp Đại hội đồng cổ đông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Cuộc họp Đại hội đồng cổ đông phải được ghi biên bản và có thể ghi âm hoặc ghi và lưu giữ dưới hình thức điện tử khác. Biên bản phải lập bằng tiếng Việt, có thể lập thêm</w:t>
      </w:r>
      <w:r>
        <w:rPr>
          <w:sz w:val="22"/>
          <w:szCs w:val="22"/>
        </w:rPr>
        <w:t xml:space="preserve"> bằng tiếng nước ngoài và có các nội dung chủ yếu sau đây: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Tên, địa chỉ trụ sở chính, mã số doanh nghiệp;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Thời gian và địa điểm họp Đại hội đồng cổ đông;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Chương trình và nội dung cuộc họp;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Họ, tên chủ tọa và thư ký;</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đ) Tóm tắt diễn biến cuộc họp và các ý kiến phát biểu tại Đại hội đồng cổ đông về từng vấn đề trong nội dung chương trình họp;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e) Số cổ đông và tổng số phiếu biểu quyết của các cổ đông dự họp, phụ lục danh sách đăng ký cổ đông, đại diện cổ đông dự họp với </w:t>
      </w:r>
      <w:r>
        <w:rPr>
          <w:sz w:val="22"/>
          <w:szCs w:val="22"/>
        </w:rPr>
        <w:t>số cổ phần và số phiếu bầu tương ứng;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g) Tổng số phiếu biểu quyết đối với từng vấn đề biểu quyết, trong đó ghi rõ phương thức biểu quyết, tổng số phiếu hợp lệ, không hợp lệ, tán thành, không tán thành và không có ý kiến; tỷ lệ tương ứng trên tổng số phiếu </w:t>
      </w:r>
      <w:r>
        <w:rPr>
          <w:sz w:val="22"/>
          <w:szCs w:val="22"/>
        </w:rPr>
        <w:t>biểu quyết của cổ đông dự họp;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h) Các vấn đề đã được thông qua và tỷ lệ phiếu biểu quyết thông qua tương ứng;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i) Chữ ký của chủ tọa và thư ký.</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Biên bản được lập bằng tiếng Việt và tiếng nước ngoài đều có hiệu lực pháp lý như nhau. Trường hợp có sự khác nha</w:t>
      </w:r>
      <w:r>
        <w:rPr>
          <w:sz w:val="22"/>
          <w:szCs w:val="22"/>
        </w:rPr>
        <w:t>u về nội dung biên bản tiếng Việt và tiếng nước ngoài thì nội dung trong biên bản tiếng Việt có hiệu lực áp dụng.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2. Biên bản họp Đại hội đồng cổ đông phải làm xong và thông qua trước khi kết thúc cuộc họp.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Chủ tọa và thư ký cuộc họp hoặc người khác</w:t>
      </w:r>
      <w:r>
        <w:rPr>
          <w:sz w:val="22"/>
          <w:szCs w:val="22"/>
        </w:rPr>
        <w:t xml:space="preserve"> ký tên trong biên bản họp phải liên đới chịu trách nhiệm về tính trung thực, chính xác của nội dung biên bản.</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Biên bản họp Đại hội đồng cổ đông phải được gửi đến tất cả cổ đông trong thời hạn 15 ngày, kể từ ngày kết thúc cuộc họp; việc gửi biên bản kiể</w:t>
      </w:r>
      <w:r>
        <w:rPr>
          <w:sz w:val="22"/>
          <w:szCs w:val="22"/>
        </w:rPr>
        <w:t>m phiếu có thể thay thế bằng việc đăng tải lên trang thông tin điện tử của công ty.</w:t>
      </w:r>
    </w:p>
    <w:p w:rsidR="00ED1433" w:rsidRDefault="00AA54E5">
      <w:pPr>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lastRenderedPageBreak/>
        <w:t xml:space="preserve">Biên bản họp Đại hội đồng cổ đông, phụ lục danh sách cổ đông đăng ký dự họp, nghị quyết đã được thông qua và tài liệu có liên quan gửi kèm theo thông báo mời họp phải được </w:t>
      </w:r>
      <w:r>
        <w:rPr>
          <w:sz w:val="22"/>
          <w:szCs w:val="22"/>
        </w:rPr>
        <w:t>lưu giữ tại trụ sở chính của công ty.</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left"/>
        <w:rPr>
          <w:sz w:val="22"/>
          <w:szCs w:val="22"/>
        </w:rPr>
      </w:pPr>
      <w:r>
        <w:rPr>
          <w:sz w:val="22"/>
          <w:szCs w:val="22"/>
        </w:rPr>
        <w:t>Điều 32. Yêu cầu hủy bỏ nghị quyết của Đại hội đồng cổ đông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Trong thời hạn 90 ngày, kể từ ngày nhận được biên bản họp Đại hội đồng cổ đông hoặc biên bản kết quả kiểm phiếu lấy ý kiến Đại hội đồng cổ đông, cổ đông, nhóm</w:t>
      </w:r>
      <w:r>
        <w:rPr>
          <w:sz w:val="22"/>
          <w:szCs w:val="22"/>
        </w:rPr>
        <w:t xml:space="preserve"> cổ đông quy định tại khoản 2 Điều 6 của Điều lệ này có quyền yêu cầu Tòa án hoặc Trọng tài xem xét, hủy bỏ nghị quyết hoặc một phần nội dung nghị quyết của Đại hội đồng cổ đông trong các trường hợp sau đây: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Trình tự và thủ tục triệu tập họp và ra quyết</w:t>
      </w:r>
      <w:r>
        <w:rPr>
          <w:sz w:val="22"/>
          <w:szCs w:val="22"/>
        </w:rPr>
        <w:t xml:space="preserve"> định của Đại hội đồng cổ đông không thực hiện đúng theo quy định của Luật doanh nghiệp và Điều lệ công ty, trừ trường hợp quy định tại khoản 2 Điều 33 của Điều lệ này;</w:t>
      </w:r>
    </w:p>
    <w:p w:rsidR="00ED1433" w:rsidRDefault="00AA54E5">
      <w:pPr>
        <w:tabs>
          <w:tab w:val="left" w:pos="389"/>
          <w:tab w:val="left" w:pos="432"/>
          <w:tab w:val="left" w:pos="475"/>
          <w:tab w:val="left" w:pos="504"/>
          <w:tab w:val="left" w:pos="576"/>
          <w:tab w:val="left" w:pos="720"/>
          <w:tab w:val="left" w:pos="1440"/>
        </w:tabs>
        <w:spacing w:after="120" w:line="312" w:lineRule="auto"/>
        <w:ind w:hanging="2"/>
        <w:jc w:val="both"/>
        <w:rPr>
          <w:sz w:val="22"/>
          <w:szCs w:val="22"/>
        </w:rPr>
      </w:pPr>
      <w:bookmarkStart w:id="19" w:name="_heading=h.a6bqte9ovhjx" w:colFirst="0" w:colLast="0"/>
      <w:bookmarkEnd w:id="19"/>
      <w:r>
        <w:rPr>
          <w:sz w:val="22"/>
          <w:szCs w:val="22"/>
        </w:rPr>
        <w:t>2. Nội dung nghị quyết vi phạm pháp luật hoặc Điều lệ công ty.</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left"/>
        <w:rPr>
          <w:sz w:val="22"/>
          <w:szCs w:val="22"/>
        </w:rPr>
      </w:pPr>
      <w:r>
        <w:rPr>
          <w:sz w:val="22"/>
          <w:szCs w:val="22"/>
        </w:rPr>
        <w:t>Điều 33. Hiệu lực các nghị quyết của Đại hội đồng cổ đông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Các nghị quyết của Đại hội đồng cổ đông có hiệu lực kể từ ngày được thông qua hoặc từ thời điểm hiệu lực ghi tại nghị quyết đó.</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Các nghị quyết của Đại hội đồng cổ đông được thông qua bằng 100% tổng số cổ phần có quyền biểu quyết là hợp pháp và có hiệu lực ngay cả khi trình tự và thủ tục thông qua nghị quyết đó không được thực hiện đúng như quy định.</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Trường hợp có cổ đông, nhó</w:t>
      </w:r>
      <w:r>
        <w:rPr>
          <w:sz w:val="22"/>
          <w:szCs w:val="22"/>
        </w:rPr>
        <w:t xml:space="preserve">m cổ đông yêu cầu Tòa án hoặc Trọng tài hủy bỏ nghị quyết của Đại hội đồng cổ đông theo quy định tại Điều 32 của Điều lệ này, thì các nghị quyết đó vẫn có hiệu lực thi hành cho đến khi Tòa án, Trọng tài có quyết định khác, trừ trường hợp áp dụng biện pháp </w:t>
      </w:r>
      <w:r>
        <w:rPr>
          <w:sz w:val="22"/>
          <w:szCs w:val="22"/>
        </w:rPr>
        <w:t>khẩn cấp tạm thời theo quyết định của cơ quan có thẩm quyền.</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 xml:space="preserve">Điều 34. Hội đồng quản trị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1. Hội đồng quản trị là cơ quan quản lý công ty, có toàn quyền nhân danh công ty để quyết định, thực hiện các quyền và nghĩa vụ của công ty không thuộc thẩm quyền của </w:t>
      </w:r>
      <w:r>
        <w:rPr>
          <w:sz w:val="22"/>
          <w:szCs w:val="22"/>
        </w:rPr>
        <w:t xml:space="preserve">Đại hội đồng cổ đông.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Hội đồng quản trị có các quyền và nghĩa vụ sau đây: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Quyết định chiến lược, kế hoạch phát triển trung hạn và kế hoạch kinh doanh hằng năm của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Kiến nghị loại cổ phần và tổng số cổ phần được quyền chào bán của từng loạ</w:t>
      </w:r>
      <w:r>
        <w:rPr>
          <w:sz w:val="22"/>
          <w:szCs w:val="22"/>
        </w:rPr>
        <w:t>i;</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Quyết định bán cổ phần mới trong phạm vi số cổ phần được quyền chào bán của từng loại; quyết định huy động thêm vốn theo hình thức khác;</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Quyết định giá bán cổ phần và trái phiếu của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đ) Quyết định mua lại cổ phần theo quy định tại điểm a k</w:t>
      </w:r>
      <w:r>
        <w:rPr>
          <w:sz w:val="22"/>
          <w:szCs w:val="22"/>
        </w:rPr>
        <w:t>hoản 2 Điều 14 của Điều lệ này;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e) Quyết định phương án đầu tư và dự án đầu tư trong thẩm quyền và giới hạn theo quy định của pháp luật;</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g) Quyết định giải pháp phát triển thị trường, tiếp thị và công nghệ;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h) Thông qua hợp đồng mua, bán, vay, cho vay và </w:t>
      </w:r>
      <w:r>
        <w:rPr>
          <w:sz w:val="22"/>
          <w:szCs w:val="22"/>
        </w:rPr>
        <w:t xml:space="preserve">hợp đồng khác có giá trị bằng hoặc lớn hơn 35% tổng giá trị tài sản được ghi trong báo cáo tài chính gần nhất của công ty. Quy định này không áp dụng đối với hợp đồng và giao dịch quy định tại điểm d khoản 2 Điều 20, khoản 1 và khoản 3 Điều 43 của Điều lệ </w:t>
      </w:r>
      <w:r>
        <w:rPr>
          <w:sz w:val="22"/>
          <w:szCs w:val="22"/>
        </w:rPr>
        <w:t>này;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i) Bầu, miễn nhiệm, bãi nhiệm Chủ tịch Hội đồng quản trị; bổ nhiệm, miễn nhiệm, ký hợp đồng, chấm dứt hợp đồng đối với {{ specPosition }}, Phó {{ specPosition }}, Kế toán trưởng công ty; quyết định tiền lương và quyền lợi khác của những người quản lý </w:t>
      </w:r>
      <w:r>
        <w:rPr>
          <w:sz w:val="22"/>
          <w:szCs w:val="22"/>
        </w:rPr>
        <w:t xml:space="preserve">đó; cử người đại diện theo ủy quyền tham gia </w:t>
      </w:r>
      <w:r>
        <w:rPr>
          <w:sz w:val="22"/>
          <w:szCs w:val="22"/>
        </w:rPr>
        <w:lastRenderedPageBreak/>
        <w:t>Hội đồng thành viên hoặc Đại hội đồng cổ đông ở công ty khác, quyết định mức thù lao và quyền lợi khác của những người đó;</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k) Giám sát, chỉ đạo {{ specPosition }}, Phó {{ specPosition }}, Kế toán trưởng trong đi</w:t>
      </w:r>
      <w:r>
        <w:rPr>
          <w:sz w:val="22"/>
          <w:szCs w:val="22"/>
        </w:rPr>
        <w:t>ều hành công việc kinh doanh hằng ngày của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l) Quyết định cơ cấu tổ chức, quy chế quản lý nội bộ của công ty, quyết định thành lập công ty con, lập chi nhánh, văn phòng đại diện và việc góp vốn, mua cổ phần của doanh nghiệp khác;</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m) Duyệt chương tr</w:t>
      </w:r>
      <w:r>
        <w:rPr>
          <w:sz w:val="22"/>
          <w:szCs w:val="22"/>
        </w:rPr>
        <w:t>ình, nội dung tài liệu phục vụ họp Đại hội đồng cổ đông, triệu tập họp Đại hội đồng cổ đông hoặc lấy ý kiến để Đại hội đồng cổ đông thông qua quyết định;</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n) Trình báo cáo quyết toán tài chính hằng năm lên Đại hội đồng cổ đông;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o) Kiến nghị mức cổ tức được trả; quyết định thời hạn và thủ tục trả cổ tức hoặc xử lý lỗ phát sinh trong quá trình kinh doanh;</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p) Kiến nghị việc tổ chức lại, giải thể, yêu cầu phá sản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3. Hội đồng quản trị thông qua quyết định bằng biểu quyết tại </w:t>
      </w:r>
      <w:r>
        <w:rPr>
          <w:sz w:val="22"/>
          <w:szCs w:val="22"/>
        </w:rPr>
        <w:t>cuộc họp, lấy ý kiến bằng văn bản. Mỗi thành viên Hội đồng quản trị có một phiếu biểu quyết.</w:t>
      </w:r>
    </w:p>
    <w:p w:rsidR="00ED1433" w:rsidRDefault="00AA54E5">
      <w:pPr>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t>4. Khi thực hiện chức năng, quyền và nghĩa vụ của mình, Hội đồng quản trị tuân thủ đúng quy định của pháp luật, Điều lệ công ty và nghị quyết của Đại hội đồng cổ đ</w:t>
      </w:r>
      <w:r>
        <w:rPr>
          <w:sz w:val="22"/>
          <w:szCs w:val="22"/>
        </w:rPr>
        <w:t>ông. Trong trường hợp nghị quyết do Hội đồng quản trị thông qua trái với quy định của pháp luật hoặc Điều lệ công ty gây thiệt hại cho công ty thì các thành viên tán thành thông qua nghị quyết đó phải cùng liên đới chịu trách nhiệm cá nhân về nghị quyết đó</w:t>
      </w:r>
      <w:r>
        <w:rPr>
          <w:sz w:val="22"/>
          <w:szCs w:val="22"/>
        </w:rPr>
        <w:t xml:space="preserve"> và phải đền bù thiệt hại cho công ty; thành viên phản đối thông qua nghị quyết nói trên được miễn trừ trách nhiệm. Trường hợp này, cổ đông sở hữu cổ phần của công ty liên tục trong thời hạn ít nhất 01 năm có quyền yêu cầu Hội đồng quản trị đình chỉ thực h</w:t>
      </w:r>
      <w:r>
        <w:rPr>
          <w:sz w:val="22"/>
          <w:szCs w:val="22"/>
        </w:rPr>
        <w:t>iện nghị quyết nói trên.</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left"/>
        <w:rPr>
          <w:sz w:val="22"/>
          <w:szCs w:val="22"/>
        </w:rPr>
      </w:pPr>
      <w:r>
        <w:rPr>
          <w:sz w:val="22"/>
          <w:szCs w:val="22"/>
        </w:rPr>
        <w:t>Điều 35. Nhiệm kỳ và số lượng thành viên Hội đồng quản trị</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1. Hội đồng quản trị có không ít hơn 3 thành viên, không quá 11 thành viên. Số lượng cụ thể sẽ do Đại hội đồng cổ đông quyết định theo từng thời kỳ phù hợp với yêu cầu của </w:t>
      </w:r>
      <w:r>
        <w:rPr>
          <w:sz w:val="22"/>
          <w:szCs w:val="22"/>
        </w:rPr>
        <w:t>hoạt động quản lý công ty. Nhiệm kỳ của thành viên Hội đồng quản trị không quá 05 năm và có thể được bầu lại với số nhiệm kỳ không hạn chế.</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after="120" w:line="312" w:lineRule="auto"/>
        <w:ind w:hanging="2"/>
        <w:jc w:val="both"/>
        <w:rPr>
          <w:sz w:val="22"/>
          <w:szCs w:val="22"/>
        </w:rPr>
      </w:pPr>
      <w:bookmarkStart w:id="20" w:name="_heading=h.apiffpq5ygjb" w:colFirst="0" w:colLast="0"/>
      <w:bookmarkEnd w:id="20"/>
      <w:r>
        <w:rPr>
          <w:sz w:val="22"/>
          <w:szCs w:val="22"/>
        </w:rPr>
        <w:t>2. Trường hợp tất cả thành viên Hội đồng quản trị cùng kết thúc nhiệm kỳ thì các thành viên đó tiếp tục là thành viên Hội đồng quản trị cho đến khi có thành viên mới được bầu thay thế và tiếp quản công việc.</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left"/>
        <w:rPr>
          <w:sz w:val="22"/>
          <w:szCs w:val="22"/>
        </w:rPr>
      </w:pPr>
      <w:r>
        <w:rPr>
          <w:sz w:val="22"/>
          <w:szCs w:val="22"/>
        </w:rPr>
        <w:t>Điều 36. Cơ cấu, tiêu chuẩn và điều kiện làm thà</w:t>
      </w:r>
      <w:r>
        <w:rPr>
          <w:sz w:val="22"/>
          <w:szCs w:val="22"/>
        </w:rPr>
        <w:t xml:space="preserve">nh viên Hội đồng quản trị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Thành viên Hội đồng quản trị phải có các tiêu chuẩn và điều kiện sau đây: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Có năng lực hành vi dân sự đầy đủ, không thuộc đối tượng không được quản lý doanh nghiệp theo quy định tại khoản 2 Điều 17 của Luật doanh nghiệp;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b) </w:t>
      </w:r>
      <w:r>
        <w:rPr>
          <w:sz w:val="22"/>
          <w:szCs w:val="22"/>
          <w:highlight w:val="white"/>
        </w:rPr>
        <w:t xml:space="preserve">Có </w:t>
      </w:r>
      <w:r>
        <w:rPr>
          <w:sz w:val="22"/>
          <w:szCs w:val="22"/>
          <w:highlight w:val="white"/>
        </w:rPr>
        <w:t>trình độ chuyên môn, kinh nghiệm trong quản trị kinh doanh hoặc trong lĩnh vực, ngành, nghề kinh doanh của công ty và không nhất thiết phải là cổ đông của công ty, trừ trường hợp Điều lệ công ty có quy định khác;</w:t>
      </w:r>
    </w:p>
    <w:p w:rsidR="00ED1433" w:rsidRDefault="00AA54E5">
      <w:pPr>
        <w:tabs>
          <w:tab w:val="left" w:pos="389"/>
          <w:tab w:val="left" w:pos="432"/>
          <w:tab w:val="left" w:pos="475"/>
          <w:tab w:val="left" w:pos="504"/>
          <w:tab w:val="left" w:pos="576"/>
          <w:tab w:val="left" w:pos="720"/>
          <w:tab w:val="left" w:pos="1440"/>
        </w:tabs>
        <w:spacing w:after="120" w:line="312" w:lineRule="auto"/>
        <w:ind w:hanging="2"/>
        <w:jc w:val="both"/>
        <w:rPr>
          <w:sz w:val="22"/>
          <w:szCs w:val="22"/>
        </w:rPr>
      </w:pPr>
      <w:bookmarkStart w:id="21" w:name="_heading=h.n0yrxjv8ee9k" w:colFirst="0" w:colLast="0"/>
      <w:bookmarkEnd w:id="21"/>
      <w:r>
        <w:rPr>
          <w:sz w:val="22"/>
          <w:szCs w:val="22"/>
        </w:rPr>
        <w:t xml:space="preserve">c) Thành viên Hội đồng quản trị công ty có </w:t>
      </w:r>
      <w:r>
        <w:rPr>
          <w:sz w:val="22"/>
          <w:szCs w:val="22"/>
        </w:rPr>
        <w:t xml:space="preserve">thể đồng thời là thành viên Hội đồng quản trị của công ty khác. </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left"/>
        <w:rPr>
          <w:sz w:val="22"/>
          <w:szCs w:val="22"/>
        </w:rPr>
      </w:pPr>
      <w:r>
        <w:rPr>
          <w:sz w:val="22"/>
          <w:szCs w:val="22"/>
        </w:rPr>
        <w:t>Điều 37. Chủ tịch Hội đồng quản trị</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1. Hội đồng quản trị bầu một thành viên của Hội đồng quản trị làm Chủ tịch. Chủ tịch Hội đồng quản trị có thể kiêm {{ specPosition }} công ty.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Chủ tịch</w:t>
      </w:r>
      <w:r>
        <w:rPr>
          <w:sz w:val="22"/>
          <w:szCs w:val="22"/>
        </w:rPr>
        <w:t xml:space="preserve"> Hội đồng quản trị có các quyền và nghĩa vụ sau đây: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lastRenderedPageBreak/>
        <w:t>a) Lập chương trình, kế hoạch hoạt động của Hội đồng quản trị;</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Chuẩn bị chương trình, nội dung, tài liệu phục vụ cuộc họp; triệu tập và chủ tọa cuộc họp Hội đồng quản trị;</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Tổ chức việc thông qua ng</w:t>
      </w:r>
      <w:r>
        <w:rPr>
          <w:sz w:val="22"/>
          <w:szCs w:val="22"/>
        </w:rPr>
        <w:t>hị quyết của Hội đồng quản trị;</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Giám sát quá trình tổ chức thực hiện các nghị quyết của Hội đồng quản trị;</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đ) Chủ tọa cuộc họp Đại hội đồng cổ đông, cuộc họp Hội đồng quản trị;</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4. Trường hợp Chủ tịch Hội đồng quản trị vắng mặt hoặc không thể thực hiện được nhiệm vụ của mình thì ủy quyền bằng văn bản cho một thành viên khác thực hiện các quyền và nghĩa vụ của Chủ tịch Hội đồng quản trị theo nguyên tắc quy định tại Điều lệ công ty.</w:t>
      </w:r>
      <w:r>
        <w:rPr>
          <w:sz w:val="22"/>
          <w:szCs w:val="22"/>
        </w:rPr>
        <w:t xml:space="preserve"> Trường hợp không có người được ủy quyền thì các thành viên còn lại bầu một người trong số các thành viên tạm thời giữ chức Chủ tịch Hội đồng quản trị theo nguyên tắc đa số.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5. Khi xét thấy cần thiết, Chủ tịch Hội đồng quản trị tuyển dụng thư ký công ty đ</w:t>
      </w:r>
      <w:r>
        <w:rPr>
          <w:sz w:val="22"/>
          <w:szCs w:val="22"/>
        </w:rPr>
        <w:t>ể hỗ trợ Hội đồng quản trị và Chủ tịch Hội đồng quản trị thực hiện các nghĩa vụ thuộc thẩm quyền theo quy định của pháp luật và Điều lệ công ty. Thư ký công ty có các quyền và nghĩa vụ sau đây: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Hỗ trợ tổ chức triệu tập họp Đại hội đồng cổ đông, Hội đồng</w:t>
      </w:r>
      <w:r>
        <w:rPr>
          <w:sz w:val="22"/>
          <w:szCs w:val="22"/>
        </w:rPr>
        <w:t xml:space="preserve"> quản trị; ghi chép các biên bản họp;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Hỗ trợ thành viên Hội đồng quản trị trong việc thực hiện quyền và nghĩa vụ được giao;</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Hỗ trợ Hội đồng quản trị trong áp dụng và thực hiện nguyên tắc quản trị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Hỗ trợ công ty trong xây dựng quan hệ cổ đông và bảo vệ quyền và lợi ích hợp pháp của cổ đông;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đ) Hỗ trợ công ty trong việc tuân thủ đúng các nghĩa vụ cung cấp thông tin, công khai hóa thông tin và thủ tục hành chính;</w:t>
      </w:r>
    </w:p>
    <w:p w:rsidR="00ED1433" w:rsidRDefault="00AA54E5">
      <w:pPr>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t>6. Chủ tịch Hội đồng quản trị có th</w:t>
      </w:r>
      <w:r>
        <w:rPr>
          <w:sz w:val="22"/>
          <w:szCs w:val="22"/>
        </w:rPr>
        <w:t>ể bị bãi miễn theo quyết định của Hội đồng quản trị.</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left"/>
        <w:rPr>
          <w:sz w:val="22"/>
          <w:szCs w:val="22"/>
        </w:rPr>
      </w:pPr>
      <w:r>
        <w:rPr>
          <w:sz w:val="22"/>
          <w:szCs w:val="22"/>
        </w:rPr>
        <w:t>Điều 38. Cuộc họp Hội đồng quản trị</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Chủ tịch Hội đồng quản trị sẽ được bầu trong cuộc họp đầu tiên của nhiệm kỳ Hội đồng quản trị trong thời hạn 07 ngày làm việc, kể từ ngày kết thúc bầu cử Hội đồng q</w:t>
      </w:r>
      <w:r>
        <w:rPr>
          <w:sz w:val="22"/>
          <w:szCs w:val="22"/>
        </w:rPr>
        <w:t>uản trị nhiệm kỳ đó. Cuộc họp này do thành viên có số phiếu bầu cao nhất hoặc tỷ lệ phiếu bầu cao nhất triệu tập và chủ trì. Trường hợp có nhiều hơn một thành viên có số phiếu bầu hoặc tỷ lệ phiếu bầu cao nhất và ngang nhau thì các thành viên bầu theo nguy</w:t>
      </w:r>
      <w:r>
        <w:rPr>
          <w:sz w:val="22"/>
          <w:szCs w:val="22"/>
        </w:rPr>
        <w:t xml:space="preserve">ên tắc đa số để chọn 01 người trong số họ triệu tập họp Hội đồng quản trị.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Hội đồng quản trị có thể họp định kỳ hoặc bất thường. Hội đồng quản trị họp tại trụ sở chính của công ty hoặc ở nơi khác.</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3. Cuộc họp của Hội đồng quản trị do Chủ tịch Hội đồng </w:t>
      </w:r>
      <w:r>
        <w:rPr>
          <w:sz w:val="22"/>
          <w:szCs w:val="22"/>
        </w:rPr>
        <w:t xml:space="preserve">quản trị triệu tập khi xét thấy cần thiết, nhưng mỗi quý phải họp ít nhất một lần.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4. Chủ tịch Hội đồng quản trị phải triệu tập họp Hội đồng quản trị khi có một trong các trường hợp sau đây: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Có đề nghị của {{ specPosition }}, Ban kiểm soát hoặc ít nhấ</w:t>
      </w:r>
      <w:r>
        <w:rPr>
          <w:sz w:val="22"/>
          <w:szCs w:val="22"/>
        </w:rPr>
        <w:t>t 05 người quản lý khác;</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b) Có đề nghị của ít nhất 02 thành viên điều hành của Hội đồng quản trị;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 Đề nghị phải được lập thành văn bản, trong đó nêu rõ mục đích, vấn đề cần thảo luận và quyết định thuộc thẩm quyền của Hội đồng quản trị.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5. Chủ tịch Hội đ</w:t>
      </w:r>
      <w:r>
        <w:rPr>
          <w:sz w:val="22"/>
          <w:szCs w:val="22"/>
        </w:rPr>
        <w:t>ồng quản trị phải triệu tập họp Hội đồng quản trị trong thời hạn 07 ngày làm việc, kể từ ngày nhận được đề nghị quy định tại khoản 4 Điều này. Trường hợp Chủ tịch không triệu tập họp Hội đồng quản trị theo đề nghị thì Chủ tịch phải chịu trách nhiệm về nhữn</w:t>
      </w:r>
      <w:r>
        <w:rPr>
          <w:sz w:val="22"/>
          <w:szCs w:val="22"/>
        </w:rPr>
        <w:t>g thiệt hại xảy ra đối với công ty; người đề nghị có quyền thay thế Hội đồng quản trị triệu tập họp Hội đồng quản trị.</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6. Chủ tịch Hội đồng quản trị hoặc người triệu tập họp Hội đồng quản trị phải gửi thông báo mời họp chậm nhất 03 ngày làm việc trước ngày</w:t>
      </w:r>
      <w:r>
        <w:rPr>
          <w:sz w:val="22"/>
          <w:szCs w:val="22"/>
        </w:rPr>
        <w:t xml:space="preserve"> họp. Thông báo mời họp phải xác định cụ thể thời gian và địa </w:t>
      </w:r>
      <w:r>
        <w:rPr>
          <w:sz w:val="22"/>
          <w:szCs w:val="22"/>
        </w:rPr>
        <w:lastRenderedPageBreak/>
        <w:t xml:space="preserve">điểm họp, chương trình, các vấn đề thảo luận và quyết định. Kèm theo thông báo mời họp phải có tài liệu sử dụng tại cuộc họp và phiếu biểu quyết của thành viên.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Thông báo mời họp được gửi bằng bưu điện, fax, thư điện tử hoặc phương tiện khác, nhưng phải bảo đảm đến được địa chỉ liên lạc của từng thành viên Hội đồng quản trị được đăng ký tại công ty.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7. Cuộc họp Hội đồng quản trị được tiến hành khi có từ ba phần </w:t>
      </w:r>
      <w:r>
        <w:rPr>
          <w:sz w:val="22"/>
          <w:szCs w:val="22"/>
        </w:rPr>
        <w:t>tư tổng số thành viên trở lên dự họp. Trường hợp cuộc họp được triệu tập theo quy định khoản này không đủ số thành viên dự họp theo quy định thì được triệu tập lần thứ hai trong thời hạn 07 ngày, kể từ ngày dự định họp lần thứ nhất. Trường hợp này, cuộc họ</w:t>
      </w:r>
      <w:r>
        <w:rPr>
          <w:sz w:val="22"/>
          <w:szCs w:val="22"/>
        </w:rPr>
        <w:t>p được tiến hành nếu có hơn một nửa số thành viên Hội đồng quản trị dự họp.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8. Thành viên Hội đồng quản trị được coi là tham dự và biểu quyết tại cuộc họp trong trường hợp sau đây: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Tham dự và biểu quyết trực tiếp tại cuộc họp;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Ủy quyền cho người khác</w:t>
      </w:r>
      <w:r>
        <w:rPr>
          <w:sz w:val="22"/>
          <w:szCs w:val="22"/>
        </w:rPr>
        <w:t xml:space="preserve"> đến dự họp theo quy định tại khoản 9 Điều này.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Tham dự và biểu quyết thông qua hội nghị trực tuyến hoặc hình thức tương tự khác;</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Gửi phiếu biểu quyết đến cuộc họp thông qua thư, fax, thư điện tử.</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Trường hợp gửi phiếu biểu quyết đến cuộc họp thông qu</w:t>
      </w:r>
      <w:r>
        <w:rPr>
          <w:sz w:val="22"/>
          <w:szCs w:val="22"/>
        </w:rPr>
        <w:t xml:space="preserve">a thư, phiếu biểu quyết phải đựng trong phong bì kín và phải được chuyển đến Chủ tịch Hội đồng quản trị chậm nhất một giờ trước khi khai mạc. Phiếu biểu quyết chỉ được mở trước sự chứng kiến của tất cả những người dự họp.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Nghị quyết của Hội đồng quản trị </w:t>
      </w:r>
      <w:r>
        <w:rPr>
          <w:sz w:val="22"/>
          <w:szCs w:val="22"/>
        </w:rPr>
        <w:t>được thông qua nếu được đa số thành viên dự họp tán thành; trường hợp số phiếu ngang nhau thì quyết định cuối cùng thuộc về phía có ý kiến của Chủ tịch Hội đồng quản trị.</w:t>
      </w:r>
    </w:p>
    <w:p w:rsidR="00ED1433" w:rsidRDefault="00AA54E5">
      <w:pPr>
        <w:tabs>
          <w:tab w:val="left" w:pos="389"/>
          <w:tab w:val="left" w:pos="432"/>
          <w:tab w:val="left" w:pos="475"/>
          <w:tab w:val="left" w:pos="504"/>
          <w:tab w:val="left" w:pos="576"/>
          <w:tab w:val="left" w:pos="720"/>
          <w:tab w:val="left" w:pos="1440"/>
        </w:tabs>
        <w:spacing w:after="120" w:line="312" w:lineRule="auto"/>
        <w:ind w:hanging="2"/>
        <w:jc w:val="both"/>
        <w:rPr>
          <w:sz w:val="22"/>
          <w:szCs w:val="22"/>
        </w:rPr>
      </w:pPr>
      <w:bookmarkStart w:id="22" w:name="_heading=h.9bwtz8eewqzd" w:colFirst="0" w:colLast="0"/>
      <w:bookmarkEnd w:id="22"/>
      <w:r>
        <w:rPr>
          <w:sz w:val="22"/>
          <w:szCs w:val="22"/>
        </w:rPr>
        <w:t>9. Thành viên phải tham dự đầy đủ các cuộc họp của Hội đồng quản trị. Thành viên được</w:t>
      </w:r>
      <w:r>
        <w:rPr>
          <w:sz w:val="22"/>
          <w:szCs w:val="22"/>
        </w:rPr>
        <w:t xml:space="preserve"> ủy quyền cho người khác dự họp nếu được đa số thành viên Hội đồng quản trị chấp thuận.</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left"/>
        <w:rPr>
          <w:sz w:val="22"/>
          <w:szCs w:val="22"/>
        </w:rPr>
      </w:pPr>
      <w:r>
        <w:rPr>
          <w:sz w:val="22"/>
          <w:szCs w:val="22"/>
        </w:rPr>
        <w:t>Điều 39. Biên bản họp Hội đồng quản trị</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1. Các cuộc họp của Hội đồng quản trị phải được ghi biên bản và có thể ghi âm, ghi và lưu giữ dưới hình thức điện tử khác. Biên </w:t>
      </w:r>
      <w:r>
        <w:rPr>
          <w:sz w:val="22"/>
          <w:szCs w:val="22"/>
        </w:rPr>
        <w:t>bản phải lập bằng tiếng Việt và có thể lập thêm bằng tiếng nước ngoài, có các nội dung chủ yếu sau đây: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Tên, địa chỉ trụ sở chính, mã số doanh nghiệp;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Mục đích, chương trình và nội dung họp;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Thời gian, địa điểm họp;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Họ, tên từng thành viên dự h</w:t>
      </w:r>
      <w:r>
        <w:rPr>
          <w:sz w:val="22"/>
          <w:szCs w:val="22"/>
        </w:rPr>
        <w:t>ọp hoặc người được ủy quyền dự họp và cách thức dự họp; họ, tên các thành viên không dự họp và lý do;</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đ) Các vấn đề được thảo luận và biểu quyết tại cuộc họp;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e) Tóm tắt phát biểu ý kiến của từng thành viên dự họp theo trình tự diễn biến của cuộc họp;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g) K</w:t>
      </w:r>
      <w:r>
        <w:rPr>
          <w:sz w:val="22"/>
          <w:szCs w:val="22"/>
        </w:rPr>
        <w:t>ết quả biểu quyết trong đó ghi rõ những thành viên tán thành, không tán thành và không có ý kiến;</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h) Các vấn đề đã được thông qua;</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i) Họ, tên, chữ ký chủ tọa và người ghi biên bản.</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Chủ tọa và người ghi biên bản phải chịu trách nhiệm về tính trung thực và chính xác của nội dung biên bản họp Hội đồng quản trị.</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Biên bản họp Hội đồng quản trị và tài liệu sử dụng trong cuộc họp phải được lưu giữ tại trụ chính của công ty.</w:t>
      </w:r>
    </w:p>
    <w:p w:rsidR="00ED1433" w:rsidRDefault="00AA54E5">
      <w:pPr>
        <w:tabs>
          <w:tab w:val="left" w:pos="389"/>
          <w:tab w:val="left" w:pos="432"/>
          <w:tab w:val="left" w:pos="475"/>
          <w:tab w:val="left" w:pos="504"/>
          <w:tab w:val="left" w:pos="576"/>
          <w:tab w:val="left" w:pos="720"/>
          <w:tab w:val="left" w:pos="1440"/>
        </w:tabs>
        <w:spacing w:after="120" w:line="312" w:lineRule="auto"/>
        <w:ind w:hanging="2"/>
        <w:jc w:val="both"/>
        <w:rPr>
          <w:sz w:val="22"/>
          <w:szCs w:val="22"/>
        </w:rPr>
      </w:pPr>
      <w:bookmarkStart w:id="23" w:name="_heading=h.8kgfkyygggzj" w:colFirst="0" w:colLast="0"/>
      <w:bookmarkEnd w:id="23"/>
      <w:r>
        <w:rPr>
          <w:sz w:val="22"/>
          <w:szCs w:val="22"/>
        </w:rPr>
        <w:t>3. Biên bản l</w:t>
      </w:r>
      <w:r>
        <w:rPr>
          <w:sz w:val="22"/>
          <w:szCs w:val="22"/>
        </w:rPr>
        <w:t>ập bằng tiếng Việt và tiếng nước ngoài có hiệu lực ngang nhau. Trường hợp có sự khác nhau về nội dung biên bản tiếng Việt và tiếng nước ngoài thì nội dung trong biên bản tiếng Việt có hiệu lực áp dụng.</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left"/>
        <w:rPr>
          <w:sz w:val="22"/>
          <w:szCs w:val="22"/>
        </w:rPr>
      </w:pPr>
      <w:r>
        <w:rPr>
          <w:sz w:val="22"/>
          <w:szCs w:val="22"/>
        </w:rPr>
        <w:lastRenderedPageBreak/>
        <w:t>Điều 40. Miễn nhiệm, bãi nhiệm và bổ sung thành viên H</w:t>
      </w:r>
      <w:r>
        <w:rPr>
          <w:sz w:val="22"/>
          <w:szCs w:val="22"/>
        </w:rPr>
        <w:t>ội đồng quản trị</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1. Thành viên Hội đồng quản trị bị miễn nhiệm trong các trường hợp sau đây: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Không có đủ tiêu chuẩn và điều kiện theo quy định tại Điều 36 của Điều lệ này;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Có đơn từ chức;</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Thành viên Hội đồng quản trị có thể bị bãi nhiệm theo nghị</w:t>
      </w:r>
      <w:r>
        <w:rPr>
          <w:sz w:val="22"/>
          <w:szCs w:val="22"/>
        </w:rPr>
        <w:t xml:space="preserve"> quyết của Đại hội đồng cổ đông.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Hội đồng quản trị phải triệu tập họp Đại hội đồng cổ đông để bầu bổ sung thành viên Hội đồng quản trị trong trường hợp số thành viên Hội đồng quản trị bị giảm quá một phần ba so với số quy định tại Điều lệ công ty. Trườn</w:t>
      </w:r>
      <w:r>
        <w:rPr>
          <w:sz w:val="22"/>
          <w:szCs w:val="22"/>
        </w:rPr>
        <w:t>g hợp này, Hội đồng quản trị phải triệu tập họp Đại hội đồng cổ đông trong thời hạn 60 ngày, kể từ ngày số thành viên bị giảm quá một phần ba;</w:t>
      </w:r>
    </w:p>
    <w:p w:rsidR="00ED1433" w:rsidRDefault="00AA54E5">
      <w:pPr>
        <w:tabs>
          <w:tab w:val="left" w:pos="389"/>
          <w:tab w:val="left" w:pos="432"/>
          <w:tab w:val="left" w:pos="475"/>
          <w:tab w:val="left" w:pos="504"/>
          <w:tab w:val="left" w:pos="576"/>
          <w:tab w:val="left" w:pos="720"/>
          <w:tab w:val="left" w:pos="1440"/>
        </w:tabs>
        <w:spacing w:after="120" w:line="312" w:lineRule="auto"/>
        <w:ind w:hanging="2"/>
        <w:jc w:val="both"/>
        <w:rPr>
          <w:sz w:val="22"/>
          <w:szCs w:val="22"/>
        </w:rPr>
      </w:pPr>
      <w:bookmarkStart w:id="24" w:name="_heading=h.sjfeu4cv2oed" w:colFirst="0" w:colLast="0"/>
      <w:bookmarkEnd w:id="24"/>
      <w:r>
        <w:rPr>
          <w:sz w:val="22"/>
          <w:szCs w:val="22"/>
        </w:rPr>
        <w:t>Trường hợp khác, tại cuộc họp gần nhất, Đại hội đồng cổ đông bầu thành viên mới thay thế thành viên Hội đồng quản</w:t>
      </w:r>
      <w:r>
        <w:rPr>
          <w:sz w:val="22"/>
          <w:szCs w:val="22"/>
        </w:rPr>
        <w:t xml:space="preserve"> trị đã bị miễn nhiệm, bãi nhiệm.</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left"/>
        <w:rPr>
          <w:sz w:val="22"/>
          <w:szCs w:val="22"/>
        </w:rPr>
      </w:pPr>
      <w:r>
        <w:rPr>
          <w:sz w:val="22"/>
          <w:szCs w:val="22"/>
        </w:rPr>
        <w:t>Điều 41. {{ specPosition }}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1. Hội đồng quản trị bổ nhiệm một người trong số họ hoặc thuê người khác làm {{ specPosition }}.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 specPosition }} là người điều hành công việc kinh doanh hằng ngày của công ty; chị</w:t>
      </w:r>
      <w:r>
        <w:rPr>
          <w:sz w:val="22"/>
          <w:szCs w:val="22"/>
        </w:rPr>
        <w:t xml:space="preserve">u sự giám sát của Hội đồng quản trị; chịu trách nhiệm trước Hội đồng quản trị và trước pháp luật về việc thực hiện các quyền và nghĩa vụ được giao.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Nhiệm kỳ của {{ specPosition }} không quá 05 năm; có thể được bổ nhiệm lại với số nhiệm kỳ không hạn chế.</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Tiêu chuẩn và điều kiện làm {{ specPosition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Có đủ năng lực hành vi dân sự và không thuộc đối tượng không được quản lý doanh nghiệp theo quy định tại khoản 2 Điều 17 của Luật doanh nghiệp.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Có trình độ chuyên môn, kinh nghiệm trong quản trị kinh</w:t>
      </w:r>
      <w:r>
        <w:rPr>
          <w:sz w:val="22"/>
          <w:szCs w:val="22"/>
        </w:rPr>
        <w:t xml:space="preserve"> doanh của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4. {{ specPosition }} có các quyền và nghĩa vụ sau đây: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Quyết định các vấn đề liên quan đến công việc kinh doanh hằng ngày của công ty mà không cần phải có quyết định của Hội đồng quản trị;</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Tổ chức thực hiện các nghị quyết của Hội đồng quản trị;</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Tổ chức thực hiện kế hoạch kinh doanh và phương án đầu tư của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Kiến nghị phương án cơ cấu tổ chức, quy chế quản lý nội bộ của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đ) Bổ nhiệm, miễn nhiệm, bãi nhiệm các chức danh</w:t>
      </w:r>
      <w:r>
        <w:rPr>
          <w:sz w:val="22"/>
          <w:szCs w:val="22"/>
        </w:rPr>
        <w:t xml:space="preserve"> quản lý trong công ty, trừ các chức danh thuộc thẩm quyền của Hội đồng quản trị;</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e) Quyết định tiền lương và quyền lợi khác đối với người lao động trong công ty kể cả người quản lý thuộc thẩm quyền bổ nhiệm của {{ specPosition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g) Tuyển dụng lao động;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h) Kiến nghị phương án trả cổ tức hoặc xử lý lỗ trong kinh doanh;</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i) Quyền và nghĩa vụ khác theo nghị quyết của Hội đồng quản trị.</w:t>
      </w:r>
    </w:p>
    <w:p w:rsidR="00ED1433" w:rsidRDefault="00AA54E5">
      <w:pPr>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t>5. {{ specPosition }} hoặc phải điều hành công việc kinh doanh hằng ngày của công ty theo đúng quy định của pháp luật, Điều l</w:t>
      </w:r>
      <w:r>
        <w:rPr>
          <w:sz w:val="22"/>
          <w:szCs w:val="22"/>
        </w:rPr>
        <w:t>ệ công ty, hợp đồng lao động ký với công ty và nghị quyết của Hội đồng quản trị. Trường hợp điều hành trái với quy định này mà gây thiệt hại cho công ty thì {{ specPosition }} phải chịu trách nhiệm trước pháp luật và phải bồi thường thiệt hại cho công ty.</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left"/>
        <w:rPr>
          <w:sz w:val="22"/>
          <w:szCs w:val="22"/>
        </w:rPr>
      </w:pPr>
      <w:r>
        <w:rPr>
          <w:sz w:val="22"/>
          <w:szCs w:val="22"/>
        </w:rPr>
        <w:t>Điều 42. Trách nhiệm của người quản lý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1. Thành viên Hội đồng quản trị, {{ specPosition }} và người quản lý khác có trách nhiệm sau đây: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lastRenderedPageBreak/>
        <w:t xml:space="preserve">a) Thực hiện các quyền và nghĩa vụ được giao theo đúng quy định của Luật này, pháp luật có liên quan, Điều lệ </w:t>
      </w:r>
      <w:r>
        <w:rPr>
          <w:sz w:val="22"/>
          <w:szCs w:val="22"/>
        </w:rPr>
        <w:t>công ty, nghị quyết của Đại hội đồng cổ đông;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Thực hiện các quyền và nghĩa vụ được giao một cách trung thực, cẩn trọng, tốt nhất nhằm bảo đảm lợi ích hợp pháp tối đa của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Trung thành với lợi ích của công ty và cổ đông; không sử dụng thông tin</w:t>
      </w:r>
      <w:r>
        <w:rPr>
          <w:sz w:val="22"/>
          <w:szCs w:val="22"/>
        </w:rPr>
        <w:t>, bí quyết, cơ hội kinh doanh của công ty, địa vị, chức vụ và sử dụng tài sản của công ty để tư lợi hoặc phục vụ lợi ích của tổ chức, cá nhân khác;</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d) Thông báo kịp thời, đầy đủ, chính xác cho công ty về doanh nghiệp mà họ và người có liên quan của họ làm </w:t>
      </w:r>
      <w:r>
        <w:rPr>
          <w:sz w:val="22"/>
          <w:szCs w:val="22"/>
        </w:rPr>
        <w:t>chủ hoặc có phần vốn góp, cổ phần chi phối; thông báo này được niêm yết tại trụ sở chính và chi nhánh của công ty.</w:t>
      </w:r>
    </w:p>
    <w:p w:rsidR="00ED1433" w:rsidRDefault="00AA54E5">
      <w:pPr>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t>2. Các nghĩa vụ khác theo quy định của Luật doanh nghiệp.</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left"/>
        <w:rPr>
          <w:sz w:val="22"/>
          <w:szCs w:val="22"/>
        </w:rPr>
      </w:pPr>
      <w:r>
        <w:rPr>
          <w:sz w:val="22"/>
          <w:szCs w:val="22"/>
        </w:rPr>
        <w:t xml:space="preserve">Điều 43. Chấp thuận hợp đồng, giao dịch giữa công ty với người có liên quan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Đại</w:t>
      </w:r>
      <w:r>
        <w:rPr>
          <w:sz w:val="22"/>
          <w:szCs w:val="22"/>
        </w:rPr>
        <w:t xml:space="preserve"> hội đồng cổ đông hoặc Hội đồng quản trị chấp thuận hợp đồng, giao dịch giữa công ty với người có liên quan sau đây: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Cổ đông, người đại diện theo ủy quyền của cổ đông là tổ chức sở hữu trên 10% tổng số cổ phần phổ thông của công ty và người có liên quan</w:t>
      </w:r>
      <w:r>
        <w:rPr>
          <w:sz w:val="22"/>
          <w:szCs w:val="22"/>
        </w:rPr>
        <w:t xml:space="preserve"> của họ;</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Thành viên Hội đồng quản trị, {{ specPosition }} và người có liên quan của họ;</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Doanh nghiệp mà thành viên Hội đồng quản trị, Kiểm soát viên, {{ specPosition }} hoặc Phó {{ specPosition }} và người quản lý khác của công ty phải kê khai theo quy định tại khoản 2 Điều 164 của Luật doanh nghiệp.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Hội đồng quản trị chấp thuận các hợp</w:t>
      </w:r>
      <w:r>
        <w:rPr>
          <w:sz w:val="22"/>
          <w:szCs w:val="22"/>
        </w:rPr>
        <w:t xml:space="preserve"> đồng, giao dịch theo quy định khoản 1 Điều này và có giá trị nhỏ hơn 35% tổng giá trị tài sản của doanh nghiệp ghi trong báo cáo tài chính gần nhất hoặc một tỷ lệ hoặc giá trị khác nhỏ hơn theo quy định tại Điều lệ công ty. Trường hợp này, người đại diện </w:t>
      </w:r>
      <w:r>
        <w:rPr>
          <w:sz w:val="22"/>
          <w:szCs w:val="22"/>
        </w:rPr>
        <w:t>công ty ký hợp đồng, giao dịch phải thông báo cho thành viên Hội đồng quản trị, Kiểm soát viên về các đối tượng có liên quan đối với hợp đồng, giao dịch đó và gửi kèm theo dự thảo hợp đồng hoặc nội dung chủ yếu của giao dịch. Hội đồng quản trị quyết định v</w:t>
      </w:r>
      <w:r>
        <w:rPr>
          <w:sz w:val="22"/>
          <w:szCs w:val="22"/>
        </w:rPr>
        <w:t>iệc chấp thuận hợp đồng, giao dịch trong thời hạn 15 ngày kể từ ngày nhận được thông báo, trừ trường hợp Điều lệ công ty quy định một thời hạn khác; thành viên Hội đồng quản trị có lợi ích liên quan đến các bên trong hợp đồng, giao dịch không có quyền biểu</w:t>
      </w:r>
      <w:r>
        <w:rPr>
          <w:sz w:val="22"/>
          <w:szCs w:val="22"/>
        </w:rPr>
        <w:t xml:space="preserve"> quyết.</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Đại hội đồng cổ đông chấp thuận hợp đồng, giao dịch sau đây: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Hợp đồng, giao dịch khác ngoài hợp đồng, giao dịch quy định tại khoản 2 Điều này;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Hợp đồng, giao dịch vay, cho vay, bán tài sản có giá trị lớn hơn 10% tổng giá trị tài sản của do</w:t>
      </w:r>
      <w:r>
        <w:rPr>
          <w:sz w:val="22"/>
          <w:szCs w:val="22"/>
        </w:rPr>
        <w:t>anh nghiệp ghi trong báo cáo tài chính gần nhất giữa công ty và cổ đông sở hữu từ 51% tổng số cổ phần có quyền biểu quyết trở lên hoặc người có liên quan của cổ đông đó.</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4. Trường hợp chấp thuận hợp đồng, giao dịch theo quy định tại khoản 3 Điều này, người</w:t>
      </w:r>
      <w:r>
        <w:rPr>
          <w:sz w:val="22"/>
          <w:szCs w:val="22"/>
        </w:rPr>
        <w:t xml:space="preserve"> đại diện công ty ký hợp đồng, giao dịch phải thông báo cho Hội đồng quản trị và Kiểm soát viên về đối tượng có liên quan đối với hợp đồng, giao dịch đó và gửi kèm theo dự thảo hợp đồng hoặc thông báo nội dung chủ yếu của giao dịch. Hội đồng quản trị trình</w:t>
      </w:r>
      <w:r>
        <w:rPr>
          <w:sz w:val="22"/>
          <w:szCs w:val="22"/>
        </w:rPr>
        <w:t xml:space="preserve"> dự thảo hợp đồng, giao dịch hoặc giải trình về nội dung chủ yếu của hợp đồng, giao dịch tại cuộc họp Đại hội đồng cổ đông hoặc lấy ý kiến cổ đông bằng văn bản. Trường hợp này, cổ đông có lợi ích liên quan đến các bên trong hợp đồng, giao dịch không có quy</w:t>
      </w:r>
      <w:r>
        <w:rPr>
          <w:sz w:val="22"/>
          <w:szCs w:val="22"/>
        </w:rPr>
        <w:t>ền biểu quyết; hợp đồng, giao dịch được chấp thuận theo quy định tại khoản 1 và khoản 4 Điều 148 của Luật Doanh nghiệp.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5. Hợp đồng, giao dịch bị vô hiệu theo quyết định của Tòa án và xử lý theo quy định của pháp luật khi được ký kết không đúng với quy địn</w:t>
      </w:r>
      <w:r>
        <w:rPr>
          <w:sz w:val="22"/>
          <w:szCs w:val="22"/>
        </w:rPr>
        <w:t xml:space="preserve">h tại Điều này; người ký kết hợp đồng, giao dịch, cổ đông, thành </w:t>
      </w:r>
      <w:r>
        <w:rPr>
          <w:sz w:val="22"/>
          <w:szCs w:val="22"/>
        </w:rPr>
        <w:lastRenderedPageBreak/>
        <w:t>viên Hội đồng quản trị hoặc {{ specPosition }} hoặc phó {{ specPosition }} có liên quan phải liên đới bồi thường thiệt hại phát sinh, hoàn trả cho công ty khoản lợi thu được từ việc thực hiện</w:t>
      </w:r>
      <w:r>
        <w:rPr>
          <w:sz w:val="22"/>
          <w:szCs w:val="22"/>
        </w:rPr>
        <w:t xml:space="preserve"> hợp đồng, giao dịch đó.</w:t>
      </w:r>
    </w:p>
    <w:p w:rsidR="00ED1433" w:rsidRDefault="00AA54E5">
      <w:pPr>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t xml:space="preserve">6. Công ty phải công khai hợp đồng, giao dịch có liên quan theo quy định của pháp luật có liên quan. </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left"/>
        <w:rPr>
          <w:sz w:val="22"/>
          <w:szCs w:val="22"/>
        </w:rPr>
      </w:pPr>
      <w:r>
        <w:rPr>
          <w:sz w:val="22"/>
          <w:szCs w:val="22"/>
        </w:rPr>
        <w:t>Điều 44. Quyền khởi kiện đối với thành viên Hội đồng quản trị, {{ specPosition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Cổ đông, nhóm cổ đông sở hữu ít nhất 1% số c</w:t>
      </w:r>
      <w:r>
        <w:rPr>
          <w:sz w:val="22"/>
          <w:szCs w:val="22"/>
        </w:rPr>
        <w:t xml:space="preserve">ổ phần phổ thông liên tục trong thời hạn 06 tháng có quyền tự mình hoặc nhân danh công ty khởi kiện trách nhiệm dân sự đối với thành viên Hội đồng quản trị, {{ specPosition }} trong các trường hợp sau đây: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Vi phạm nghĩa vụ người quản lý công ty theo qu</w:t>
      </w:r>
      <w:r>
        <w:rPr>
          <w:sz w:val="22"/>
          <w:szCs w:val="22"/>
        </w:rPr>
        <w:t>y định tại Điều 42 của Điều lệ này;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b) Không thực hiện đúng các quyền và nghĩa vụ được giao; không thực hiện, thực hiện không đầy đủ, không kịp thời nghị quyết của Hội đồng quản trị;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c) Thực hiện các quyền và nghĩa vụ được giao trái với quy định của pháp </w:t>
      </w:r>
      <w:r>
        <w:rPr>
          <w:sz w:val="22"/>
          <w:szCs w:val="22"/>
        </w:rPr>
        <w:t xml:space="preserve">luật, Điều lệ công ty hoặc nghị quyết của Đại hội đồng cổ đông;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d) Sử dụng thông tin, bí quyết, cơ hội kinh doanh của công ty để tư lợi riêng hoặc phục vụ cho lợi ích của tổ chức, cá nhân khác;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đ) Sử dụng địa vị, chức vụ và sử dụng tài sản của công ty để</w:t>
      </w:r>
      <w:r>
        <w:rPr>
          <w:sz w:val="22"/>
          <w:szCs w:val="22"/>
        </w:rPr>
        <w:t xml:space="preserve"> tư lợi riêng hoặc phục vụ lợi ích của tổ chức, cá nhân khác;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e) Các trường hợp khác theo quy định của pháp luật</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2. Trình tự, thủ tục khởi kiện thực hiện tương ứng theo quy định của pháp luật về tố tụng dân sự. Chi phí khởi kiện trong trường hợp cổ đông, </w:t>
      </w:r>
      <w:r>
        <w:rPr>
          <w:sz w:val="22"/>
          <w:szCs w:val="22"/>
        </w:rPr>
        <w:t>nhóm cổ đông khởi kiện nhân danh công ty sẽ tính vào chi phí của công ty, trừ trường hợp thành viên khởi kiện bị bác yêu cầu khởi kiện.</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 xml:space="preserve">Điều 45. Ban kiểm soát </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Ban kiểm soát có từ 03 đến 05 thành viên, nhiệm kỳ của Kiểm soát viên không quá 05 năm và Kiểm soát viên có thể được bầu lại với số nhiệm kỳ không hạn chế.</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Các Kiểm soát viên bầu một người trong số họ làm Trưởng Ban kiểm soát theo nguyên tắc đa số. B</w:t>
      </w:r>
      <w:r>
        <w:rPr>
          <w:sz w:val="22"/>
          <w:szCs w:val="22"/>
        </w:rPr>
        <w:t>an kiểm soát phải có hơn một nửa số thành viên thường trú ở Việt Nam. Trưởng Ban kiểm soát phải là kế toán viên hoặc kiểm toán viên chuyên nghiệp và phải làm việc chuyên trách tại công ty, trừ trường hợp Điều lệ công ty quy định tiêu chuẩn khác cao hơn.</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3. Trường hợp Kiểm soát viên có cùng thời điểm kết thúc nhiệm kỳ mà Kiểm soát viên nhiệm kỳ mới chưa được bầu thì Kiểm soát viên đã hết nhiệm kỳ vẫn tiếp tục thực hiện quyền và nghĩa vụ cho đến khi Kiểm soát viên nhiệm kỳ mới được bầu và nhận nhiệm vụ. </w:t>
      </w:r>
    </w:p>
    <w:p w:rsidR="00ED1433" w:rsidRDefault="00ED1433">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b/>
          <w:sz w:val="22"/>
          <w:szCs w:val="22"/>
        </w:rPr>
      </w:pP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Pr>
          <w:b/>
          <w:sz w:val="22"/>
          <w:szCs w:val="22"/>
        </w:rPr>
        <w:t>C</w:t>
      </w:r>
      <w:r>
        <w:rPr>
          <w:b/>
          <w:sz w:val="22"/>
          <w:szCs w:val="22"/>
        </w:rPr>
        <w:t xml:space="preserve">HƯƠNG III. </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after="120" w:line="312" w:lineRule="auto"/>
        <w:ind w:hanging="2"/>
        <w:jc w:val="center"/>
        <w:rPr>
          <w:sz w:val="22"/>
          <w:szCs w:val="22"/>
        </w:rPr>
      </w:pPr>
      <w:bookmarkStart w:id="25" w:name="_heading=h.cattwsqjhlk3" w:colFirst="0" w:colLast="0"/>
      <w:bookmarkEnd w:id="25"/>
      <w:r>
        <w:rPr>
          <w:b/>
          <w:sz w:val="22"/>
          <w:szCs w:val="22"/>
        </w:rPr>
        <w:t xml:space="preserve">CĂN CỨ, PHƯƠNG PHÁP XÁC ĐỊNH THÙ LAO, TIỀN LƯƠNG VÀ THƯỞNG CHO NGƯỜI QUẢN LÝ </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left"/>
        <w:rPr>
          <w:sz w:val="22"/>
          <w:szCs w:val="22"/>
        </w:rPr>
      </w:pPr>
      <w:r>
        <w:rPr>
          <w:sz w:val="22"/>
          <w:szCs w:val="22"/>
        </w:rPr>
        <w:t>Điều 46. Thù lao, tiền lương và lợi ích khác của thành viên Hội đồng quản trị, {{ specPosition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Công ty có quyền trả thù lao cho thành viên Hội đồng quản trị, trả lương cho {{ specPosition }} và người quản lý khác theo kết quả và hiệu quả kinh doanh.</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Thù lao, tiền lương và quyền lợi khác của thành viên Hội đồng quản trị, {{ specPosition }} được</w:t>
      </w:r>
      <w:r>
        <w:rPr>
          <w:sz w:val="22"/>
          <w:szCs w:val="22"/>
        </w:rPr>
        <w:t xml:space="preserve"> trả theo quy định sau đây: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a) Thành viên Hội đồng quản trị được hưởng thù lao công việc và tiền thưởng. Thù lao công việc được tính theo số ngày công cần thiết hoàn thành nhiệm vụ của thành viên Hội đồng quản trị và mức thù lao </w:t>
      </w:r>
      <w:r>
        <w:rPr>
          <w:sz w:val="22"/>
          <w:szCs w:val="22"/>
        </w:rPr>
        <w:lastRenderedPageBreak/>
        <w:t>mỗi ngày. Hội đồng quản tr</w:t>
      </w:r>
      <w:r>
        <w:rPr>
          <w:sz w:val="22"/>
          <w:szCs w:val="22"/>
        </w:rPr>
        <w:t>ị dự tính mức thù lao cho từng thành viên theo nguyên tắc nhất trí. Tổng mức thù lao của Hội đồng quản trị do Đại hội đồng cổ đông quyết định tại cuộc họp thường niên;</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Thành viên Hội đồng quản trị có quyền được thanh toán các chi phí ăn, ở, đi lại và ch</w:t>
      </w:r>
      <w:r>
        <w:rPr>
          <w:sz w:val="22"/>
          <w:szCs w:val="22"/>
        </w:rPr>
        <w:t>i phí hợp lý khác mà họ chi trả khi thực hiện nhiệm vụ được giao;</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 specPosition }} được trả lương và tiền thưởng. Tiền lương của {{ specPosition }} do Hội đồng quản trị quyết định.</w:t>
      </w:r>
    </w:p>
    <w:p w:rsidR="00ED1433" w:rsidRDefault="00AA54E5">
      <w:pPr>
        <w:tabs>
          <w:tab w:val="left" w:pos="389"/>
          <w:tab w:val="left" w:pos="432"/>
          <w:tab w:val="left" w:pos="475"/>
          <w:tab w:val="left" w:pos="504"/>
          <w:tab w:val="left" w:pos="576"/>
          <w:tab w:val="left" w:pos="720"/>
          <w:tab w:val="left" w:pos="1440"/>
        </w:tabs>
        <w:spacing w:after="120" w:line="312" w:lineRule="auto"/>
        <w:ind w:hanging="2"/>
        <w:jc w:val="both"/>
        <w:rPr>
          <w:sz w:val="22"/>
          <w:szCs w:val="22"/>
        </w:rPr>
      </w:pPr>
      <w:bookmarkStart w:id="26" w:name="_heading=h.4f1ou9ktyc3r" w:colFirst="0" w:colLast="0"/>
      <w:bookmarkEnd w:id="26"/>
      <w:r>
        <w:rPr>
          <w:sz w:val="22"/>
          <w:szCs w:val="22"/>
        </w:rPr>
        <w:t>3. Thù lao của thành viên Hội đồng quản trị và tiền lương của {{ specP</w:t>
      </w:r>
      <w:r>
        <w:rPr>
          <w:sz w:val="22"/>
          <w:szCs w:val="22"/>
        </w:rPr>
        <w:t>osition }} và người quản lý khác được tính vào chi phí kinh doanh của công ty theo quy định của pháp luật về thuế thu nhập doanh nghiệp và phải được thể hiện thành mục riêng trong báo cáo tài chính hằng năm của công ty, phải báo cáo Đại hội đồng cổ đông tạ</w:t>
      </w:r>
      <w:r>
        <w:rPr>
          <w:sz w:val="22"/>
          <w:szCs w:val="22"/>
        </w:rPr>
        <w:t>i cuộc họp thường niên.</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left"/>
        <w:rPr>
          <w:sz w:val="22"/>
          <w:szCs w:val="22"/>
        </w:rPr>
      </w:pPr>
      <w:r>
        <w:rPr>
          <w:sz w:val="22"/>
          <w:szCs w:val="22"/>
        </w:rPr>
        <w:t xml:space="preserve">Điều 47. Công khai các lợi ích liên quan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Việc công khai hóa lợi ích và người có liên quan của công ty thực hiện theo quy định sau đây: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Công ty phải tập hợp và cập nhật danh sách những người có liên quan của công ty theo quy định</w:t>
      </w:r>
      <w:r>
        <w:rPr>
          <w:sz w:val="22"/>
          <w:szCs w:val="22"/>
        </w:rPr>
        <w:t xml:space="preserve"> tại khoản 23 Điều 4 của Luật doanh nghiệp và các giao dịch tương ứng của họ với công ty;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Thành viên Hội đồng quản trị, {{ specPosition }} và người quản lý khác của công ty phải kê khai các lợi ích liên quan của họ với công ty, bao gồm:</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Tên, mã số doanh nghiệp, địa chỉ trụ sở chính, ngành, nghề kinh doanh của doanh nghiệp mà họ có sở hữu phần vốn góp hoặc cổ phần; tỷ lệ và thời điểm sở hữu phần vốn góp hoặc cổ phần đó;</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b) Tên, mã số doanh nghiệp, địa chỉ trụ sở chính, ngành, nghề kinh </w:t>
      </w:r>
      <w:r>
        <w:rPr>
          <w:sz w:val="22"/>
          <w:szCs w:val="22"/>
        </w:rPr>
        <w:t>doanh của doanh nghiệp mà những người có liên quan của họ cùng sở hữu hoặc sở hữu riêng phần vốn góp hoặc cổ phần trên 10% vốn điều lệ;</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3. Việc kê khai quy định tại khoản 2 Điều này phải được thực hiện trong thời hạn 07 ngày làm việc, kể từ ngày phát sinh </w:t>
      </w:r>
      <w:r>
        <w:rPr>
          <w:sz w:val="22"/>
          <w:szCs w:val="22"/>
        </w:rPr>
        <w:t>lợi ích liên quan; việc sửa đổi, bổ sung phải được thông báo với công ty trong thời hạn 07 ngày làm việc, kể từ ngày có sửa đổi, bổ sung tương ứng;</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4. Việc công khai, xem xét, trích lục, sao chép Danh sách người có liên quan và lợi ích có liên quan được kê</w:t>
      </w:r>
      <w:r>
        <w:rPr>
          <w:sz w:val="22"/>
          <w:szCs w:val="22"/>
        </w:rPr>
        <w:t xml:space="preserve"> khai quy định tại khoản 1 và khoản 2 Điều này được thực hiện như sau:</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Công ty phải thông báo Danh sách người có liên quan và lợi ích có liên quan cho Đại hội đồng cổ đông tại cuộc họp thường niên;</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Danh sách người có liên quan và lợi ích có liên quan</w:t>
      </w:r>
      <w:r>
        <w:rPr>
          <w:sz w:val="22"/>
          <w:szCs w:val="22"/>
        </w:rPr>
        <w:t xml:space="preserve"> được lưu giữ tại trụ sở chính của Công ty; trường hợp cần thiết có thể lưu giữ một phần hoặc toàn bộ nội dung Danh sách nói trên tại các chi nhánh của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Cổ đông, đại diện theo ủy quyền của cổ đông, thành viên Hội đồng quản trị, {{ specPosition }</w:t>
      </w:r>
      <w:r>
        <w:rPr>
          <w:sz w:val="22"/>
          <w:szCs w:val="22"/>
        </w:rPr>
        <w:t>} và người quản lý khác có quyền xem xét, trích lục và sao một phần hoặc toàn bộ nội dung kê khai trong giờ làm việc;</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Công ty phải tạo điều kiện để những người quy định tại điểm c khoản này tiếp cận, xem, trích lục và sao chép danh sách những người có l</w:t>
      </w:r>
      <w:r>
        <w:rPr>
          <w:sz w:val="22"/>
          <w:szCs w:val="22"/>
        </w:rPr>
        <w:t>iên quan của công ty và những nội dung khác một cách nhanh nhất, thuận lợi nhất; không được ngăn cản, gây khó khăn đối với họ trong thực hiện quyền này. Trình tự, thủ tục xem xét, trích lục và sao chép nội dung kê khai người có liên quan và lợi ích có liên</w:t>
      </w:r>
      <w:r>
        <w:rPr>
          <w:sz w:val="22"/>
          <w:szCs w:val="22"/>
        </w:rPr>
        <w:t xml:space="preserve"> quan được thực hiện theo quy định tại Điều lệ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5. Thành viên Hội đồng quản trị, {{ specPosition }} nhân danh cá nhân hoặc nhân danh người khác để thực hiện công việc dưới mọi hình thức trong phạm vi công việc kinh doanh của công ty đều phải giải t</w:t>
      </w:r>
      <w:r>
        <w:rPr>
          <w:sz w:val="22"/>
          <w:szCs w:val="22"/>
        </w:rPr>
        <w:t xml:space="preserve">rình bản chất, nội dung của công việc đó trước Hội đồng quản trị, chỉ được thực hiện khi được đa số </w:t>
      </w:r>
      <w:r>
        <w:rPr>
          <w:sz w:val="22"/>
          <w:szCs w:val="22"/>
        </w:rPr>
        <w:lastRenderedPageBreak/>
        <w:t>thành viên còn lại của Hội đồng quản trị chấp thuận; nếu thực hiện mà không khai báo hoặc không được sự chấp thuận của Hội đồng quản trị thì tất cả thu nhập</w:t>
      </w:r>
      <w:r>
        <w:rPr>
          <w:sz w:val="22"/>
          <w:szCs w:val="22"/>
        </w:rPr>
        <w:t xml:space="preserve"> có được từ hoạt động đó thuộc về công ty.</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Pr>
          <w:b/>
          <w:sz w:val="22"/>
          <w:szCs w:val="22"/>
        </w:rPr>
        <w:t>CHƯƠNG IV</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Pr>
          <w:b/>
          <w:sz w:val="22"/>
          <w:szCs w:val="22"/>
        </w:rPr>
        <w:t>CHẾ ĐỘ TÀI CHÍNH – KẾ TOÁN</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Pr>
          <w:b/>
          <w:sz w:val="22"/>
          <w:szCs w:val="22"/>
        </w:rPr>
        <w:t>PHÂN CHIA LỢI NHUẬN VÀ XỬ LÝ LỖ TRONG KINH DOANH</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 w:val="left" w:pos="1500"/>
        </w:tabs>
        <w:spacing w:line="312" w:lineRule="auto"/>
        <w:ind w:hanging="2"/>
        <w:jc w:val="both"/>
        <w:rPr>
          <w:sz w:val="22"/>
          <w:szCs w:val="22"/>
        </w:rPr>
      </w:pPr>
      <w:r>
        <w:rPr>
          <w:b/>
          <w:sz w:val="22"/>
          <w:szCs w:val="22"/>
        </w:rPr>
        <w:tab/>
        <w:t>Điều 48. Chế độ hạch toán kế toán – tài chính</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1. Công ty hoạt động trên nguyên tắc tự quản về tài chính, tự cân đối các khoản thu, chi có trách nhiệm bảo toàn và làm sinh lợi các nguồn vốn của Công ty. </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Năm tài chính của Công ty bắt đầu từ ngày 01 tháng 01 và kết thúc vào cuối ngày 31 tháng 12 hàng</w:t>
      </w:r>
      <w:r>
        <w:rPr>
          <w:sz w:val="22"/>
          <w:szCs w:val="22"/>
        </w:rPr>
        <w:t xml:space="preserve"> năm, riêng năm tài chính đầu tiên bắt đầu từ ngày Công ty được cấp Giấy chứng nhận đăng ký doanh nghiệp và kết thúc vào ngày 31 tháng 12 của năm đó. Trong thời hạn 90 ngày kể từ ngày kết thúc năm tài chính, công ty phải gửi báo cáo tài chính hàng năm đã đ</w:t>
      </w:r>
      <w:r>
        <w:rPr>
          <w:sz w:val="22"/>
          <w:szCs w:val="22"/>
        </w:rPr>
        <w:t>ược Đại hội đồng cổ đông thông qua đến cơ quan thuế và cơ quan đăng ký kinh doanh. Tóm tắt nội dung báo cáo tài chính hàng năm phải được thông báo đến tất cả cổ đông.</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Công ty thực hiện hạch toán kế toán theo đúng quy định của Luật về Kế toán và pháp luậ</w:t>
      </w:r>
      <w:r>
        <w:rPr>
          <w:sz w:val="22"/>
          <w:szCs w:val="22"/>
        </w:rPr>
        <w:t>t có liên quan.</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4. Tại thời điểm kết thúc năm tài chính, Hội đồng quản trị phải chuẩn bị các báo cáo và tài liệu sau đây: </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Báo cáo kết quả kinh doanh của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Báo cáo tài chính;</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Báo cáo đánh giá công tác quản lý, điều hành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5. Các báo </w:t>
      </w:r>
      <w:r>
        <w:rPr>
          <w:sz w:val="22"/>
          <w:szCs w:val="22"/>
        </w:rPr>
        <w:t>cáo và tài liệu quy định tại khoản 4 Điều này phải có ở trụ sở chính của Công ty chậm nhất 15 ngày trước ngày khai mạc cuộc họp thường niên của Đại hội đồng cổ đông.</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Cổ đông sở hữu cổ phần của công ty liên tục ít nhất 01 năm có quyền tự mình hoặc cùng với </w:t>
      </w:r>
      <w:r>
        <w:rPr>
          <w:sz w:val="22"/>
          <w:szCs w:val="22"/>
        </w:rPr>
        <w:t>luật sư hoặc kế toán và kiểm toán viên có chứng chỉ hành nghề trực tiếp xem xét các báo cáo quy định tại Điều này trong thời gian hợp lý.</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49. Lợi nhuận, phân phối lợi nhuận và trích lập quỹ.</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rPr>
          <w:sz w:val="22"/>
          <w:szCs w:val="22"/>
        </w:rPr>
      </w:pPr>
      <w:r>
        <w:rPr>
          <w:sz w:val="22"/>
          <w:szCs w:val="22"/>
        </w:rPr>
        <w:t>1. Theo các quy định về chế độ tài chính do Nhà nước ban hành với các công ty cổ phần, lợi nhuận của Công ty gồm:</w:t>
      </w:r>
    </w:p>
    <w:p w:rsidR="00ED1433" w:rsidRDefault="00AA54E5">
      <w:pPr>
        <w:numPr>
          <w:ilvl w:val="0"/>
          <w:numId w:val="1"/>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rPr>
          <w:sz w:val="22"/>
          <w:szCs w:val="22"/>
        </w:rPr>
      </w:pPr>
      <w:r>
        <w:rPr>
          <w:sz w:val="22"/>
          <w:szCs w:val="22"/>
        </w:rPr>
        <w:t>Lợi nhuận chung = Tổng thu nhập – Tổng chi phí;</w:t>
      </w:r>
    </w:p>
    <w:p w:rsidR="00ED1433" w:rsidRDefault="00AA54E5">
      <w:pPr>
        <w:numPr>
          <w:ilvl w:val="0"/>
          <w:numId w:val="1"/>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rPr>
          <w:sz w:val="22"/>
          <w:szCs w:val="22"/>
        </w:rPr>
      </w:pPr>
      <w:r>
        <w:rPr>
          <w:sz w:val="22"/>
          <w:szCs w:val="22"/>
        </w:rPr>
        <w:t>Lợi nhuận ròng = Lợi nhuận chung – Thuế;</w:t>
      </w:r>
    </w:p>
    <w:p w:rsidR="00ED1433" w:rsidRDefault="00AA54E5">
      <w:pPr>
        <w:tabs>
          <w:tab w:val="left" w:pos="389"/>
          <w:tab w:val="left" w:pos="432"/>
          <w:tab w:val="left" w:pos="475"/>
          <w:tab w:val="left" w:pos="504"/>
          <w:tab w:val="left" w:pos="576"/>
          <w:tab w:val="left" w:pos="720"/>
          <w:tab w:val="left" w:pos="1440"/>
        </w:tabs>
        <w:spacing w:line="312" w:lineRule="auto"/>
        <w:ind w:right="44" w:hanging="2"/>
        <w:rPr>
          <w:sz w:val="22"/>
          <w:szCs w:val="22"/>
        </w:rPr>
      </w:pPr>
      <w:r>
        <w:rPr>
          <w:sz w:val="22"/>
          <w:szCs w:val="22"/>
        </w:rPr>
        <w:t xml:space="preserve">2. Hết năm tài chính và khi kinh doanh có lãi, trước khi chia cổ tức cho các cổ đông Công ty phải trích lập từ lợi nhuận ròng để lập các quỹ theo quy định của pháp luật và Điều lệ Công ty như sau. </w:t>
      </w:r>
    </w:p>
    <w:p w:rsidR="00ED1433" w:rsidRDefault="00AA54E5">
      <w:pPr>
        <w:tabs>
          <w:tab w:val="left" w:pos="389"/>
          <w:tab w:val="left" w:pos="432"/>
          <w:tab w:val="left" w:pos="475"/>
          <w:tab w:val="left" w:pos="504"/>
          <w:tab w:val="left" w:pos="576"/>
          <w:tab w:val="left" w:pos="720"/>
          <w:tab w:val="left" w:pos="1440"/>
        </w:tabs>
        <w:spacing w:line="312" w:lineRule="auto"/>
        <w:ind w:right="44" w:hanging="2"/>
        <w:rPr>
          <w:sz w:val="22"/>
          <w:szCs w:val="22"/>
        </w:rPr>
      </w:pPr>
      <w:r>
        <w:rPr>
          <w:sz w:val="22"/>
          <w:szCs w:val="22"/>
        </w:rPr>
        <w:t>a)  Quỹ dự trữ bắt buộc: Ít nhất bằng 5% lợi nhuận ròng để</w:t>
      </w:r>
      <w:r>
        <w:rPr>
          <w:sz w:val="22"/>
          <w:szCs w:val="22"/>
        </w:rPr>
        <w:t xml:space="preserve"> bổ sung vốn điều lệ và để dự trữ tài chính cho năm sau, được trích cho đến khi quỹ dự trữ bằng 10% vốn điều lệ của Công ty.</w:t>
      </w:r>
    </w:p>
    <w:p w:rsidR="00ED1433" w:rsidRDefault="00AA54E5">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Pr>
          <w:sz w:val="22"/>
          <w:szCs w:val="22"/>
        </w:rPr>
        <w:t xml:space="preserve">b)  Quỹ đầu tư phát triển; </w:t>
      </w:r>
    </w:p>
    <w:p w:rsidR="00ED1433" w:rsidRDefault="00AA54E5">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Pr>
          <w:sz w:val="22"/>
          <w:szCs w:val="22"/>
        </w:rPr>
        <w:t>c)  Quỹ khen thưởng;</w:t>
      </w:r>
    </w:p>
    <w:p w:rsidR="00ED1433" w:rsidRDefault="00AA54E5">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Pr>
          <w:sz w:val="22"/>
          <w:szCs w:val="22"/>
        </w:rPr>
        <w:t>d)  Quỹ phúc lợi;</w:t>
      </w:r>
    </w:p>
    <w:p w:rsidR="00ED1433" w:rsidRDefault="00AA54E5">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Pr>
          <w:sz w:val="22"/>
          <w:szCs w:val="22"/>
        </w:rPr>
        <w:t>c)  Các quỹ không hình thành từ lợi nhuận:</w:t>
      </w:r>
    </w:p>
    <w:p w:rsidR="00ED1433" w:rsidRDefault="00AA54E5">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Pr>
          <w:sz w:val="22"/>
          <w:szCs w:val="22"/>
        </w:rPr>
        <w:t>+ Quỹ bảo hành sản phẩm;</w:t>
      </w:r>
    </w:p>
    <w:p w:rsidR="00ED1433" w:rsidRDefault="00AA54E5">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Pr>
          <w:sz w:val="22"/>
          <w:szCs w:val="22"/>
        </w:rPr>
        <w:t>+ Quỹ khấu hao tài sản cố định;</w:t>
      </w:r>
    </w:p>
    <w:p w:rsidR="00ED1433" w:rsidRDefault="00AA54E5">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Pr>
          <w:sz w:val="22"/>
          <w:szCs w:val="22"/>
        </w:rPr>
        <w:t xml:space="preserve">+ Quỹ khấu hao sửa chữa lớn tài sản. </w:t>
      </w:r>
    </w:p>
    <w:p w:rsidR="00ED1433" w:rsidRDefault="00AA54E5">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Pr>
          <w:sz w:val="22"/>
          <w:szCs w:val="22"/>
        </w:rPr>
        <w:lastRenderedPageBreak/>
        <w:t>3. Tỷ lệ (%) trích lập các quỹ nêu trên do Hội đồng quản trị Công ty đề nghị tùy theo kết quả hoạt động của từng năm, tuân thủ đúng các quy định của pháp luật và</w:t>
      </w:r>
      <w:r>
        <w:rPr>
          <w:sz w:val="22"/>
          <w:szCs w:val="22"/>
        </w:rPr>
        <w:t xml:space="preserve"> phải phải trình Đại hội đồng cổ đông quyết định.</w:t>
      </w:r>
    </w:p>
    <w:p w:rsidR="00ED1433" w:rsidRDefault="00AA54E5">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Pr>
          <w:sz w:val="22"/>
          <w:szCs w:val="22"/>
        </w:rPr>
        <w:t>4. Hội đồng quản trị có trách nhiệm xây dựng quy chế phân phối lợi nhuận và sử dụng các quỹ để trình Đại hội đồng cổ đông quyết định cho từng năm.</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50. Xử lý lỗ trong kinh doanh</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Trường hợp kinh doanh th</w:t>
      </w:r>
      <w:r>
        <w:rPr>
          <w:sz w:val="22"/>
          <w:szCs w:val="22"/>
        </w:rPr>
        <w:t>ua lỗ, Đại hội đồng cổ đông có thể quyết định giải quyết kịp thời các giải pháp:</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Trích từ quỹ dự trữ bù lỗ;</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Chuyển một phần lỗ sang năm sau, đồng thời Đại hội đồng cổ đông phải quyết định cho biện pháp để khắc phục.</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Pr>
          <w:b/>
          <w:sz w:val="22"/>
          <w:szCs w:val="22"/>
        </w:rPr>
        <w:t>CHƯƠNG V</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GIẢI THỂ, PHÁ SẢN VÀ GIẢI QUYẾT TRANH CHẤP, THANH LÝ TÀI SẢN</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51. Các trường hợp và điều kiện giải thể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Công ty bị giải thể trong các trường hợp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Theo nghị quyết của Đại hội đồng cổ đông;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Công ty không còn đủ số lượng thành viên tối thiểu theo quy định của Luật doanh nghiệp trong thời hạn 06 tháng liên tục mà không làm thủ tục chuyển đổi loại hình doanh nghiệp;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Bị thu hồi Giấy chứng nhận </w:t>
      </w:r>
      <w:r>
        <w:rPr>
          <w:sz w:val="22"/>
          <w:szCs w:val="22"/>
          <w:highlight w:val="white"/>
        </w:rPr>
        <w:t>đăng ký</w:t>
      </w:r>
      <w:r>
        <w:rPr>
          <w:sz w:val="22"/>
          <w:szCs w:val="22"/>
        </w:rPr>
        <w:t> doanh nghiệp.</w:t>
      </w:r>
    </w:p>
    <w:p w:rsidR="00ED1433" w:rsidRDefault="00AA54E5">
      <w:pPr>
        <w:tabs>
          <w:tab w:val="left" w:pos="389"/>
          <w:tab w:val="left" w:pos="432"/>
          <w:tab w:val="left" w:pos="475"/>
          <w:tab w:val="left" w:pos="504"/>
          <w:tab w:val="left" w:pos="576"/>
          <w:tab w:val="left" w:pos="720"/>
          <w:tab w:val="left" w:pos="1440"/>
        </w:tabs>
        <w:spacing w:after="120" w:line="312" w:lineRule="auto"/>
        <w:ind w:hanging="2"/>
        <w:jc w:val="both"/>
        <w:rPr>
          <w:sz w:val="22"/>
          <w:szCs w:val="22"/>
        </w:rPr>
      </w:pPr>
      <w:bookmarkStart w:id="27" w:name="_heading=h.ppyxy267ooqn" w:colFirst="0" w:colLast="0"/>
      <w:bookmarkEnd w:id="27"/>
      <w:r>
        <w:rPr>
          <w:sz w:val="22"/>
          <w:szCs w:val="22"/>
        </w:rPr>
        <w:t>2. Công ty chỉ được giải</w:t>
      </w:r>
      <w:r>
        <w:rPr>
          <w:sz w:val="22"/>
          <w:szCs w:val="22"/>
        </w:rPr>
        <w:t xml:space="preserve"> thể khi bảo đảm thanh toán hết các khoản nợ và nghĩa vụ tài sản khác và Công ty không trong quá trình giải quyết tranh chấp tại Tòa án hoặc cơ quan trọng tài. Người quản lý có liên quan và Công ty quy định tại điểm c khoản 1 Điều này cùng liên đới chịu tr</w:t>
      </w:r>
      <w:r>
        <w:rPr>
          <w:sz w:val="22"/>
          <w:szCs w:val="22"/>
        </w:rPr>
        <w:t>ách nhiệm về các khoản nợ của Công ty.</w:t>
      </w:r>
    </w:p>
    <w:p w:rsidR="00ED1433" w:rsidRDefault="00AA54E5">
      <w:pPr>
        <w:pStyle w:val="Heading3"/>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t>Điều 52. Trình tự, thủ tục giải thể Công ty và các hoạt động bị cấm kể từ khi có quyết định giải thể, thanh lý tài sản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I. Việc giải thể doanh nghiệp trong trường hợp quy định tại các điểm a, b khoản 1 Điều 51 Điều lê</w:t>
      </w:r>
      <w:r>
        <w:rPr>
          <w:sz w:val="22"/>
          <w:szCs w:val="22"/>
        </w:rPr>
        <w:t>̣ được thực hiện theo quy định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Thông qua nghị quyết, quyết định giải thể doanh nghiệp. Nghị quyết, quyết định giải thể doanh nghiệp phải bao gồm các nội dung chủ yếu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Tên, địa chỉ trụ sở chính của doanh nghiệp;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Lý do giải thể;</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c) </w:t>
      </w:r>
      <w:r>
        <w:rPr>
          <w:sz w:val="22"/>
          <w:szCs w:val="22"/>
        </w:rPr>
        <w:t>Thời hạn, thủ tục thanh lý hợp đồng và thanh toán các khoản nợ của doanh nghiệp;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d) Phương án xử lý các nghĩa vụ phát sinh từ hợp đồng lao động;</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đ) Họ, tên, chữ ký của Chủ tịch Hội đồng quản trị;</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Hội đồng quản trị trực tiếp tổ chức thanh lý tài sản doan</w:t>
      </w:r>
      <w:r>
        <w:rPr>
          <w:sz w:val="22"/>
          <w:szCs w:val="22"/>
        </w:rPr>
        <w:t>h nghiệp;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w:t>
      </w:r>
      <w:r>
        <w:rPr>
          <w:sz w:val="22"/>
          <w:szCs w:val="22"/>
        </w:rPr>
        <w:t xml:space="preserve"> trên Cổng thông tin quốc gia về đăng ký doanh nghiệp và được niêm yết công khai tại trụ sở chính, chi nhánh, văn phòng đại diện của doanh nghiệp.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w:t>
      </w:r>
      <w:r>
        <w:rPr>
          <w:sz w:val="22"/>
          <w:szCs w:val="22"/>
        </w:rPr>
        <w:t>ủa chủ nợ; số nợ, thời hạn, địa điểm và phương thức thanh toán số nợ đó; cách thức và thời hạn giải quyết khiếu nại của chủ nợ;</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lastRenderedPageBreak/>
        <w:t>4. Cơ quan đăng ký kinh doanh phải thông báo tình trạng doanh nghiệp đang làm thủ tục giải thể trên Cổng thông tin quốc gia về đ</w:t>
      </w:r>
      <w:r>
        <w:rPr>
          <w:sz w:val="22"/>
          <w:szCs w:val="22"/>
        </w:rPr>
        <w:t>ăng ký doanh nghiệp ngay sau khi nhận được nghị quyết, quyết định giải thể của doanh nghiệp. Kèm theo thông báo phải đăng tải nghị quyết, quyết định giải thể và phương án giải quyết nợ (nếu có);</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5. Các khoản nợ của doanh nghiệp được thanh toán theo thứ tự </w:t>
      </w:r>
      <w:r>
        <w:rPr>
          <w:sz w:val="22"/>
          <w:szCs w:val="22"/>
        </w:rPr>
        <w:t>ưu tiên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w:t>
      </w:r>
      <w:r>
        <w:rPr>
          <w:sz w:val="22"/>
          <w:szCs w:val="22"/>
          <w:highlight w:val="white"/>
        </w:rPr>
        <w:t>kết</w:t>
      </w:r>
      <w:r>
        <w:rPr>
          <w:sz w:val="22"/>
          <w:szCs w:val="22"/>
        </w:rPr>
        <w: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Nợ thuế;</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Các khoản nợ khác;</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6. Sau khi đã thanh toán chi phí giải thể doanh nghiệp và các khoản nợ, phần còn lại chia cho cổ đông công ty theo tỷ lệ sở hữu phần cổ phần;</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7. Người đại diện theo pháp luật của doanh nghiệp gửi hồ sơ giải thể doanh nghiệp cho Cơ qua</w:t>
      </w:r>
      <w:r>
        <w:rPr>
          <w:sz w:val="22"/>
          <w:szCs w:val="22"/>
        </w:rPr>
        <w:t>n đăng ký kinh doanh trong thời hạn 05 ngày làm việc kể từ ngày thanh toán hết các khoản nợ của doanh nghiệp;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II. Việc giải thể doanh nghiệp trong trường hợp bị thu hồi Giấy chứng nhận đăng ký doanh nghiệp hoặc theo quyết định của Tòa án được thực hiện the</w:t>
      </w:r>
      <w:r>
        <w:rPr>
          <w:sz w:val="22"/>
          <w:szCs w:val="22"/>
        </w:rPr>
        <w:t>o trình tự, thủ tục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Trong thời hạn 10 ngày kể từ ngày nhận được quyết định thu hồi Giấy chứng nhận đăng ký doanh nghiệp hoặc quyết định của Tòa án có hiệu lực pháp luật, doanh nghiệp phải triệu tập họp để quyết định giải thể. Nghị quyết giải th</w:t>
      </w:r>
      <w:r>
        <w:rPr>
          <w:sz w:val="22"/>
          <w:szCs w:val="22"/>
        </w:rPr>
        <w:t>ể và bản sao quyết định thu hồi Giấy chứng nhận đăng ký doanh nghiệp hoặc quyết định của Tòa án có hiệu lực pháp luật phải được gửi đến Cơ quan đăng ký kinh doanh, cơ quan thuế, người lao động trong doanh nghiệp và phải được niêm yết công khai tại trụ sở c</w:t>
      </w:r>
      <w:r>
        <w:rPr>
          <w:sz w:val="22"/>
          <w:szCs w:val="22"/>
        </w:rPr>
        <w:t>hính, chi nhánh, văn phòng đại diện của doanh nghiệp. Đối với trường hợp pháp luật yêu cầu phải đăng báo thì nghị quyết, quyết định giải thể doanh nghiệp phải được đăng ít nhất trên 01 tờ báo in hoặc báo điện tử </w:t>
      </w:r>
      <w:r>
        <w:rPr>
          <w:sz w:val="22"/>
          <w:szCs w:val="22"/>
          <w:highlight w:val="white"/>
        </w:rPr>
        <w:t>trong</w:t>
      </w:r>
      <w:r>
        <w:rPr>
          <w:sz w:val="22"/>
          <w:szCs w:val="22"/>
        </w:rPr>
        <w:t> 03 số liên tiếp.</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Trường hợp doanh nghi</w:t>
      </w:r>
      <w:r>
        <w:rPr>
          <w:sz w:val="22"/>
          <w:szCs w:val="22"/>
        </w:rPr>
        <w:t>ệp còn nghĩa vụ tài chính chưa thanh toán thì phải đồng thời gửi kèm theo nghị quyết, quyết định giải thể của doanh nghiệp, phương án giải quyết nợ đến các chủ nợ, người có quyền lợi và nghĩa vụ có liên quan. Thông báo phải có tên, địa chỉ của chủ nợ; số n</w:t>
      </w:r>
      <w:r>
        <w:rPr>
          <w:sz w:val="22"/>
          <w:szCs w:val="22"/>
        </w:rPr>
        <w:t>ợ, thời hạn, địa điểm và phương thức thanh toán số nợ đó; cách thức và thời hạn giải quyết khiếu nại của chủ nợ;</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Các khoản nợ của doanh nghiệp được thanh toán theo thứ tự ưu tiên sau đây: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a) Các khoản nợ lương, trợ cấp thôi việc, bảo hiểm xã hội, bảo hi</w:t>
      </w:r>
      <w:r>
        <w:rPr>
          <w:sz w:val="22"/>
          <w:szCs w:val="22"/>
        </w:rPr>
        <w:t>ểm y tế, bảo hiểm thất nghiệp theo quy định của pháp luật và các quyền lợi khác của người lao động theo thỏa ước lao động tập thể và hợp đồng lao động đã ký </w:t>
      </w:r>
      <w:r>
        <w:rPr>
          <w:sz w:val="22"/>
          <w:szCs w:val="22"/>
          <w:highlight w:val="white"/>
        </w:rPr>
        <w:t>kết</w:t>
      </w:r>
      <w:r>
        <w:rPr>
          <w:sz w:val="22"/>
          <w:szCs w:val="22"/>
        </w:rPr>
        <w:t>;</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b) Nợ thuế;</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c) Các khoản nợ khác;</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Người đại diện theo pháp luật của doanh nghiệp gửi hồ sơ giải thể doanh nghiệp cho Cơ quan đăng ký kinh doanh </w:t>
      </w:r>
      <w:r>
        <w:rPr>
          <w:sz w:val="22"/>
          <w:szCs w:val="22"/>
          <w:highlight w:val="white"/>
        </w:rPr>
        <w:t>trong thời hạn</w:t>
      </w:r>
      <w:r>
        <w:rPr>
          <w:sz w:val="22"/>
          <w:szCs w:val="22"/>
        </w:rPr>
        <w:t> 05 ngày làm việc kể từ ngày thanh toán hết các khoản nợ của doanh nghiệp;</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53. Phá sản Công ty.</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Việc phá sản được thực hiện theo quy định của pháp luật về phá sản.</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54. Giải quyết tranh chấp nội bộ</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Tranh chấp về quyền lợi của người lao động với người sử dụng lao động được giải quyết theo các Quy chế quản lý nội bộ công ty, Thỏa ước lao động tậ</w:t>
      </w:r>
      <w:r>
        <w:rPr>
          <w:sz w:val="22"/>
          <w:szCs w:val="22"/>
        </w:rPr>
        <w:t>p thể và Nội quy lao động của Công ty.</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Tùy từng nội dung tranh chấp, mà người có thẩm quyền giải quyết theo thứ tự: Trưởng các đơn vị trực thuộc, {{ specPosition }} Công ty, Hội đồng quản trị.</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lastRenderedPageBreak/>
        <w:t xml:space="preserve">2. Tranh chấp nội bộ giữa Hội đồng quản trị do Đại hội đồng cổ </w:t>
      </w:r>
      <w:r>
        <w:rPr>
          <w:sz w:val="22"/>
          <w:szCs w:val="22"/>
        </w:rPr>
        <w:t>đông giải quyết.</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3. Tranh chấp giữa các cổ đông trong Công ty; giữa cổ đông và Công ty; giữa cổ đông với Hội đồng quản trị, {{ specPosition }} phải thông qua thương lượng hòa giải. </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4. Trường hợp Công ty không tự giải quyết được, tranh chấp nội bộ sẽ được </w:t>
      </w:r>
      <w:r>
        <w:rPr>
          <w:sz w:val="22"/>
          <w:szCs w:val="22"/>
        </w:rPr>
        <w:t>giải quyết tại cơ quan có thẩm quyền theo quy định của pháp luật.</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Pr>
          <w:b/>
          <w:sz w:val="22"/>
          <w:szCs w:val="22"/>
        </w:rPr>
        <w:t>CHƯƠNG VI</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Pr>
          <w:b/>
          <w:sz w:val="22"/>
          <w:szCs w:val="22"/>
        </w:rPr>
        <w:t>CÁC QUY ĐỊNH KHÁC</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55. Tuyển dụng lao động</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Hội đồng quản trị Công ty ấn định mức lương tối đa, tổng số nhân viên và quỹ lương của Công ty. {{ specPosition }} Công ty có quyề</w:t>
      </w:r>
      <w:r>
        <w:rPr>
          <w:sz w:val="22"/>
          <w:szCs w:val="22"/>
        </w:rPr>
        <w:t xml:space="preserve">n tuyển dụng lao động hoặc chấm dứt hợp đồng lao động theo yêu cầu sản xuất, kinh doanh của Công ty trên cơ sở định mức đó. </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 specPosition }} Công ty có trách nhiệm tuân thủ các quy định của pháp luật về lao động và quy chế tuyển dụng, sử dụng lao độn</w:t>
      </w:r>
      <w:r>
        <w:rPr>
          <w:sz w:val="22"/>
          <w:szCs w:val="22"/>
        </w:rPr>
        <w:t>g của Công ty. {{ specPosition }} có quyền đề ra nội quy lao động và thông qua ý kiến của Hội đồng quản trị Công ty trước khi ban hành.</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56. Dấu của Công ty</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1. Dấu bao gồm dấu được làm tại cơ sở khắc dấu hoặc dấu dưới hình thức chữ ký số theo quy định của pháp luật về giao dịch điện tử.</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 xml:space="preserve">2. Doanh nghiệp có quyền quyết định loại dấu, số lượng, hình thức và nội dung dấu của doanh nghiệp, chi nhánh, văn phòng đại </w:t>
      </w:r>
      <w:r>
        <w:rPr>
          <w:sz w:val="22"/>
          <w:szCs w:val="22"/>
        </w:rPr>
        <w:t>diện và đơn vị khác của doanh nghiệp.</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3. Người đại diện theo pháp luật của Công ty chịu trách nhiệm quản lý và lưu giữ dấu theo quy chế của Công ty.</w:t>
      </w:r>
    </w:p>
    <w:p w:rsidR="00ED1433" w:rsidRDefault="00AA54E5">
      <w:pP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4. Dấu được sử dụng trong các trường hợp theo quy định của pháp luật hoặc các bên giao dịch có thỏa thuận v</w:t>
      </w:r>
      <w:r>
        <w:rPr>
          <w:sz w:val="22"/>
          <w:szCs w:val="22"/>
        </w:rPr>
        <w:t>ề việc sử dụng dấu.</w:t>
      </w:r>
    </w:p>
    <w:p w:rsidR="00ED1433" w:rsidRDefault="00AA54E5">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Pr>
          <w:b/>
          <w:sz w:val="22"/>
          <w:szCs w:val="22"/>
        </w:rPr>
        <w:t>Điều 57. Thể thức sửa đổi, bổ sung Điều lệ Công ty</w:t>
      </w:r>
    </w:p>
    <w:p w:rsidR="00ED1433" w:rsidRDefault="00AA54E5">
      <w:pPr>
        <w:tabs>
          <w:tab w:val="left" w:pos="389"/>
          <w:tab w:val="left" w:pos="432"/>
          <w:tab w:val="left" w:pos="475"/>
          <w:tab w:val="left" w:pos="504"/>
          <w:tab w:val="left" w:pos="576"/>
          <w:tab w:val="left" w:pos="720"/>
          <w:tab w:val="left" w:pos="1440"/>
        </w:tabs>
        <w:spacing w:line="312" w:lineRule="auto"/>
        <w:ind w:right="43" w:hanging="2"/>
        <w:jc w:val="both"/>
        <w:rPr>
          <w:sz w:val="22"/>
          <w:szCs w:val="22"/>
        </w:rPr>
      </w:pPr>
      <w:r>
        <w:rPr>
          <w:sz w:val="22"/>
          <w:szCs w:val="22"/>
        </w:rPr>
        <w:t>1. Việc sửa đổi, bổ sung Điều lệ do Đại hội đồng cổ đông quyết định. Khi muốn bổ sung, sửa đổi Điều lệ này, Hội đồng quản trị sẽ đề nghị những mục hay vấn đề cần thay đổi hoặc cần bổ su</w:t>
      </w:r>
      <w:r>
        <w:rPr>
          <w:sz w:val="22"/>
          <w:szCs w:val="22"/>
        </w:rPr>
        <w:t>ng và trình Đại hội đồng cổ đông thông qua.</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Pr>
          <w:sz w:val="22"/>
          <w:szCs w:val="22"/>
        </w:rPr>
        <w:t>2. Trong trường hợp có những quy định của pháp luật liên quan đến hoạt động của Công ty chưa được đề cập trong bản Điều lệ này hoặc trong trường hợp có những quy định mới của pháp luật khác với những điều khoản trong Điều lệ này, thì những quy định của phá</w:t>
      </w:r>
      <w:r>
        <w:rPr>
          <w:sz w:val="22"/>
          <w:szCs w:val="22"/>
        </w:rPr>
        <w:t>p luật đó đương nhiên được áp dụng và điều chỉnh hoạt động của Công ty.</w:t>
      </w:r>
    </w:p>
    <w:p w:rsidR="00ED1433" w:rsidRDefault="00AA54E5">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Pr>
          <w:sz w:val="22"/>
          <w:szCs w:val="22"/>
        </w:rPr>
        <w:t xml:space="preserve">3. Điều lệ được sửa đổi, bổ sung phải có họ tên và chữ ký của các cổ đông công ty và Người đại diện theo pháp luật </w:t>
      </w:r>
    </w:p>
    <w:p w:rsidR="00ED1433" w:rsidRDefault="00AA54E5">
      <w:pPr>
        <w:tabs>
          <w:tab w:val="left" w:pos="389"/>
          <w:tab w:val="left" w:pos="432"/>
          <w:tab w:val="left" w:pos="475"/>
          <w:tab w:val="left" w:pos="504"/>
          <w:tab w:val="left" w:pos="576"/>
          <w:tab w:val="left" w:pos="720"/>
          <w:tab w:val="left" w:pos="1440"/>
        </w:tabs>
        <w:spacing w:line="312" w:lineRule="auto"/>
        <w:ind w:right="43" w:hanging="2"/>
        <w:jc w:val="both"/>
        <w:rPr>
          <w:sz w:val="22"/>
          <w:szCs w:val="22"/>
        </w:rPr>
      </w:pPr>
      <w:r>
        <w:rPr>
          <w:b/>
          <w:sz w:val="22"/>
          <w:szCs w:val="22"/>
        </w:rPr>
        <w:t>Điều 58. Điều khoản cuối cùng</w:t>
      </w:r>
    </w:p>
    <w:p w:rsidR="00ED1433" w:rsidRDefault="00AA54E5">
      <w:pPr>
        <w:pBdr>
          <w:top w:val="nil"/>
          <w:left w:val="nil"/>
          <w:bottom w:val="nil"/>
          <w:right w:val="nil"/>
          <w:between w:val="nil"/>
        </w:pBdr>
        <w:tabs>
          <w:tab w:val="left" w:pos="389"/>
          <w:tab w:val="left" w:pos="432"/>
          <w:tab w:val="left" w:pos="475"/>
          <w:tab w:val="left" w:pos="504"/>
          <w:tab w:val="left" w:pos="576"/>
          <w:tab w:val="left" w:pos="720"/>
          <w:tab w:val="left" w:pos="1440"/>
        </w:tabs>
        <w:spacing w:after="120" w:line="312" w:lineRule="auto"/>
        <w:ind w:hanging="2"/>
        <w:jc w:val="both"/>
        <w:rPr>
          <w:sz w:val="22"/>
          <w:szCs w:val="22"/>
        </w:rPr>
      </w:pPr>
      <w:r>
        <w:rPr>
          <w:sz w:val="22"/>
          <w:szCs w:val="22"/>
        </w:rPr>
        <w:t>1. Bản điều lệ này gồm 6 chương 58 điề</w:t>
      </w:r>
      <w:r>
        <w:rPr>
          <w:sz w:val="22"/>
          <w:szCs w:val="22"/>
        </w:rPr>
        <w:t>u được các cổ đông sáng lập thông qua ngày ... tháng ... năm …… có hiệu lực kể từ ngày Công ty được cấp Giấy chứng nhận Đăng ký doanh nghiệp.</w:t>
      </w:r>
    </w:p>
    <w:p w:rsidR="00ED1433" w:rsidRDefault="00AA54E5">
      <w:pPr>
        <w:spacing w:line="360" w:lineRule="auto"/>
        <w:jc w:val="center"/>
        <w:rPr>
          <w:b/>
          <w:sz w:val="22"/>
          <w:szCs w:val="22"/>
        </w:rPr>
      </w:pPr>
      <w:r>
        <w:rPr>
          <w:b/>
          <w:sz w:val="22"/>
          <w:szCs w:val="22"/>
        </w:rPr>
        <w:t>CHỮ KÝ CỦA CỔ ĐÔNG SÁNG LẬP</w:t>
      </w:r>
    </w:p>
    <w:p w:rsidR="00ED1433" w:rsidRDefault="00ED1433">
      <w:pPr>
        <w:widowControl w:val="0"/>
        <w:spacing w:line="360" w:lineRule="auto"/>
        <w:rPr>
          <w:b/>
          <w:sz w:val="22"/>
          <w:szCs w:val="22"/>
        </w:rPr>
      </w:pPr>
    </w:p>
    <w:p w:rsidR="00ED1433" w:rsidRDefault="00ED1433">
      <w:pPr>
        <w:widowControl w:val="0"/>
        <w:spacing w:line="360" w:lineRule="auto"/>
        <w:rPr>
          <w:b/>
          <w:sz w:val="22"/>
          <w:szCs w:val="22"/>
        </w:rPr>
      </w:pPr>
    </w:p>
    <w:p w:rsidR="00ED1433" w:rsidRDefault="00ED1433">
      <w:pPr>
        <w:widowControl w:val="0"/>
        <w:spacing w:line="360" w:lineRule="auto"/>
        <w:jc w:val="center"/>
        <w:rPr>
          <w:b/>
          <w:sz w:val="22"/>
          <w:szCs w:val="22"/>
        </w:rPr>
      </w:pPr>
    </w:p>
    <w:p w:rsidR="00ED1433" w:rsidRDefault="00ED1433">
      <w:pPr>
        <w:widowControl w:val="0"/>
        <w:spacing w:line="360" w:lineRule="auto"/>
        <w:jc w:val="center"/>
        <w:rPr>
          <w:b/>
          <w:sz w:val="22"/>
          <w:szCs w:val="22"/>
        </w:rPr>
      </w:pPr>
    </w:p>
    <w:tbl>
      <w:tblPr>
        <w:tblStyle w:val="ae"/>
        <w:tblW w:w="8810" w:type="dxa"/>
        <w:tblBorders>
          <w:top w:val="nil"/>
          <w:left w:val="nil"/>
          <w:bottom w:val="nil"/>
          <w:right w:val="nil"/>
          <w:insideH w:val="nil"/>
          <w:insideV w:val="nil"/>
        </w:tblBorders>
        <w:tblLayout w:type="fixed"/>
        <w:tblLook w:val="0400" w:firstRow="0" w:lastRow="0" w:firstColumn="0" w:lastColumn="0" w:noHBand="0" w:noVBand="1"/>
      </w:tblPr>
      <w:tblGrid>
        <w:gridCol w:w="4405"/>
        <w:gridCol w:w="4405"/>
      </w:tblGrid>
      <w:tr w:rsidR="00ED1433">
        <w:trPr>
          <w:trHeight w:val="384"/>
        </w:trPr>
        <w:tc>
          <w:tcPr>
            <w:tcW w:w="8810" w:type="dxa"/>
            <w:gridSpan w:val="2"/>
          </w:tcPr>
          <w:p w:rsidR="00ED1433" w:rsidRDefault="00AA54E5">
            <w:pPr>
              <w:widowControl w:val="0"/>
              <w:spacing w:line="360" w:lineRule="auto"/>
              <w:ind w:hanging="2"/>
              <w:jc w:val="center"/>
              <w:rPr>
                <w:b/>
                <w:sz w:val="22"/>
                <w:szCs w:val="22"/>
              </w:rPr>
            </w:pPr>
            <w:r>
              <w:rPr>
                <w:b/>
                <w:sz w:val="22"/>
                <w:szCs w:val="22"/>
              </w:rPr>
              <w:t>{%tr for i in membersSigner %}</w:t>
            </w:r>
          </w:p>
        </w:tc>
      </w:tr>
      <w:tr w:rsidR="00ED1433">
        <w:trPr>
          <w:trHeight w:val="384"/>
        </w:trPr>
        <w:tc>
          <w:tcPr>
            <w:tcW w:w="8810" w:type="dxa"/>
            <w:gridSpan w:val="2"/>
          </w:tcPr>
          <w:p w:rsidR="00ED1433" w:rsidRDefault="00AA54E5">
            <w:pPr>
              <w:widowControl w:val="0"/>
              <w:spacing w:line="360" w:lineRule="auto"/>
              <w:ind w:hanging="2"/>
              <w:jc w:val="center"/>
              <w:rPr>
                <w:b/>
                <w:sz w:val="22"/>
                <w:szCs w:val="22"/>
              </w:rPr>
            </w:pPr>
            <w:r>
              <w:rPr>
                <w:b/>
                <w:sz w:val="22"/>
                <w:szCs w:val="22"/>
              </w:rPr>
              <w:lastRenderedPageBreak/>
              <w:t>{%tr if i | length &gt; 1%}</w:t>
            </w:r>
          </w:p>
        </w:tc>
      </w:tr>
      <w:tr w:rsidR="00ED1433">
        <w:trPr>
          <w:trHeight w:val="1539"/>
        </w:trPr>
        <w:tc>
          <w:tcPr>
            <w:tcW w:w="4405" w:type="dxa"/>
          </w:tcPr>
          <w:p w:rsidR="00ED1433" w:rsidRDefault="00AA54E5">
            <w:pPr>
              <w:widowControl w:val="0"/>
              <w:spacing w:line="360" w:lineRule="auto"/>
              <w:ind w:hanging="2"/>
              <w:jc w:val="center"/>
              <w:rPr>
                <w:b/>
                <w:sz w:val="22"/>
                <w:szCs w:val="22"/>
              </w:rPr>
            </w:pPr>
            <w:bookmarkStart w:id="28" w:name="_heading=h.lt02nw322q7c" w:colFirst="0" w:colLast="0"/>
            <w:bookmarkEnd w:id="28"/>
            <w:r>
              <w:rPr>
                <w:b/>
                <w:sz w:val="22"/>
                <w:szCs w:val="22"/>
              </w:rPr>
              <w:t>{{ v(i) }}</w:t>
            </w:r>
          </w:p>
        </w:tc>
        <w:tc>
          <w:tcPr>
            <w:tcW w:w="4405" w:type="dxa"/>
          </w:tcPr>
          <w:p w:rsidR="00ED1433" w:rsidRDefault="00AA54E5">
            <w:pPr>
              <w:widowControl w:val="0"/>
              <w:spacing w:line="360" w:lineRule="auto"/>
              <w:ind w:hanging="2"/>
              <w:jc w:val="center"/>
              <w:rPr>
                <w:b/>
                <w:sz w:val="22"/>
                <w:szCs w:val="22"/>
              </w:rPr>
            </w:pPr>
            <w:r>
              <w:rPr>
                <w:b/>
                <w:sz w:val="22"/>
                <w:szCs w:val="22"/>
              </w:rPr>
              <w:t xml:space="preserve">{{v(i)}} </w:t>
            </w:r>
          </w:p>
          <w:p w:rsidR="00ED1433" w:rsidRDefault="00ED1433">
            <w:pPr>
              <w:widowControl w:val="0"/>
              <w:spacing w:line="360" w:lineRule="auto"/>
              <w:ind w:hanging="2"/>
              <w:jc w:val="center"/>
              <w:rPr>
                <w:b/>
                <w:sz w:val="22"/>
                <w:szCs w:val="22"/>
              </w:rPr>
            </w:pPr>
          </w:p>
          <w:p w:rsidR="00ED1433" w:rsidRDefault="00ED1433">
            <w:pPr>
              <w:widowControl w:val="0"/>
              <w:spacing w:line="360" w:lineRule="auto"/>
              <w:ind w:hanging="2"/>
              <w:jc w:val="center"/>
              <w:rPr>
                <w:b/>
                <w:sz w:val="22"/>
                <w:szCs w:val="22"/>
              </w:rPr>
            </w:pPr>
          </w:p>
          <w:p w:rsidR="00ED1433" w:rsidRDefault="00ED1433">
            <w:pPr>
              <w:widowControl w:val="0"/>
              <w:spacing w:line="360" w:lineRule="auto"/>
              <w:ind w:hanging="2"/>
              <w:jc w:val="center"/>
              <w:rPr>
                <w:b/>
                <w:sz w:val="22"/>
                <w:szCs w:val="22"/>
              </w:rPr>
            </w:pPr>
          </w:p>
        </w:tc>
      </w:tr>
      <w:tr w:rsidR="00ED1433">
        <w:trPr>
          <w:trHeight w:val="384"/>
        </w:trPr>
        <w:tc>
          <w:tcPr>
            <w:tcW w:w="8810" w:type="dxa"/>
            <w:gridSpan w:val="2"/>
          </w:tcPr>
          <w:p w:rsidR="00ED1433" w:rsidRDefault="00AA54E5">
            <w:pPr>
              <w:widowControl w:val="0"/>
              <w:spacing w:line="360" w:lineRule="auto"/>
              <w:ind w:hanging="2"/>
              <w:jc w:val="center"/>
              <w:rPr>
                <w:b/>
                <w:sz w:val="22"/>
                <w:szCs w:val="22"/>
              </w:rPr>
            </w:pPr>
            <w:r>
              <w:rPr>
                <w:b/>
                <w:sz w:val="22"/>
                <w:szCs w:val="22"/>
              </w:rPr>
              <w:t>{%tr else %}</w:t>
            </w:r>
          </w:p>
        </w:tc>
      </w:tr>
      <w:tr w:rsidR="00ED1433">
        <w:trPr>
          <w:trHeight w:val="1580"/>
        </w:trPr>
        <w:tc>
          <w:tcPr>
            <w:tcW w:w="8810" w:type="dxa"/>
            <w:gridSpan w:val="2"/>
          </w:tcPr>
          <w:p w:rsidR="00ED1433" w:rsidRDefault="00AA54E5">
            <w:pPr>
              <w:widowControl w:val="0"/>
              <w:spacing w:line="360" w:lineRule="auto"/>
              <w:ind w:hanging="2"/>
              <w:jc w:val="center"/>
              <w:rPr>
                <w:b/>
                <w:sz w:val="22"/>
                <w:szCs w:val="22"/>
              </w:rPr>
            </w:pPr>
            <w:r>
              <w:rPr>
                <w:b/>
                <w:sz w:val="22"/>
                <w:szCs w:val="22"/>
              </w:rPr>
              <w:t xml:space="preserve">{{v(i)}} </w:t>
            </w:r>
          </w:p>
          <w:p w:rsidR="00ED1433" w:rsidRDefault="00ED1433">
            <w:pPr>
              <w:widowControl w:val="0"/>
              <w:spacing w:line="360" w:lineRule="auto"/>
              <w:ind w:hanging="2"/>
              <w:jc w:val="center"/>
              <w:rPr>
                <w:b/>
                <w:sz w:val="22"/>
                <w:szCs w:val="22"/>
              </w:rPr>
            </w:pPr>
          </w:p>
          <w:p w:rsidR="00ED1433" w:rsidRDefault="00ED1433">
            <w:pPr>
              <w:widowControl w:val="0"/>
              <w:spacing w:line="360" w:lineRule="auto"/>
              <w:ind w:hanging="2"/>
              <w:jc w:val="center"/>
              <w:rPr>
                <w:b/>
                <w:sz w:val="22"/>
                <w:szCs w:val="22"/>
              </w:rPr>
            </w:pPr>
          </w:p>
          <w:p w:rsidR="00ED1433" w:rsidRDefault="00ED1433">
            <w:pPr>
              <w:widowControl w:val="0"/>
              <w:spacing w:line="360" w:lineRule="auto"/>
              <w:ind w:hanging="2"/>
              <w:jc w:val="center"/>
              <w:rPr>
                <w:b/>
                <w:sz w:val="22"/>
                <w:szCs w:val="22"/>
              </w:rPr>
            </w:pPr>
          </w:p>
        </w:tc>
      </w:tr>
      <w:tr w:rsidR="00ED1433">
        <w:trPr>
          <w:trHeight w:val="246"/>
        </w:trPr>
        <w:tc>
          <w:tcPr>
            <w:tcW w:w="8810" w:type="dxa"/>
            <w:gridSpan w:val="2"/>
          </w:tcPr>
          <w:p w:rsidR="00ED1433" w:rsidRDefault="00AA54E5">
            <w:pPr>
              <w:widowControl w:val="0"/>
              <w:spacing w:line="360" w:lineRule="auto"/>
              <w:ind w:hanging="2"/>
              <w:jc w:val="center"/>
              <w:rPr>
                <w:b/>
                <w:sz w:val="22"/>
                <w:szCs w:val="22"/>
              </w:rPr>
            </w:pPr>
            <w:r>
              <w:rPr>
                <w:b/>
                <w:sz w:val="22"/>
                <w:szCs w:val="22"/>
              </w:rPr>
              <w:t>{%tr endif %}</w:t>
            </w:r>
          </w:p>
        </w:tc>
      </w:tr>
      <w:tr w:rsidR="00ED1433">
        <w:trPr>
          <w:trHeight w:val="384"/>
        </w:trPr>
        <w:tc>
          <w:tcPr>
            <w:tcW w:w="8810" w:type="dxa"/>
            <w:gridSpan w:val="2"/>
          </w:tcPr>
          <w:p w:rsidR="00ED1433" w:rsidRDefault="00AA54E5">
            <w:pPr>
              <w:widowControl w:val="0"/>
              <w:spacing w:line="360" w:lineRule="auto"/>
              <w:ind w:hanging="2"/>
              <w:jc w:val="center"/>
              <w:rPr>
                <w:b/>
                <w:sz w:val="22"/>
                <w:szCs w:val="22"/>
              </w:rPr>
            </w:pPr>
            <w:r>
              <w:rPr>
                <w:b/>
                <w:sz w:val="22"/>
                <w:szCs w:val="22"/>
              </w:rPr>
              <w:t>{%tr endfor%}</w:t>
            </w:r>
          </w:p>
        </w:tc>
      </w:tr>
    </w:tbl>
    <w:p w:rsidR="00ED1433" w:rsidRDefault="00ED1433">
      <w:pPr>
        <w:widowControl w:val="0"/>
        <w:spacing w:line="360" w:lineRule="auto"/>
        <w:jc w:val="center"/>
        <w:rPr>
          <w:b/>
          <w:sz w:val="22"/>
          <w:szCs w:val="22"/>
        </w:rPr>
      </w:pPr>
    </w:p>
    <w:p w:rsidR="00ED1433" w:rsidRDefault="00AA54E5">
      <w:pPr>
        <w:widowControl w:val="0"/>
        <w:spacing w:line="360" w:lineRule="auto"/>
        <w:jc w:val="center"/>
        <w:rPr>
          <w:b/>
          <w:sz w:val="22"/>
          <w:szCs w:val="22"/>
        </w:rPr>
      </w:pPr>
      <w:r>
        <w:rPr>
          <w:b/>
          <w:sz w:val="22"/>
          <w:szCs w:val="22"/>
        </w:rPr>
        <w:t>NGƯỜI ĐẠI DIỆN THEO PHÁP LUẬT CỦA CÔNG TY</w:t>
      </w:r>
    </w:p>
    <w:p w:rsidR="00ED1433" w:rsidRDefault="00ED1433">
      <w:pPr>
        <w:widowControl w:val="0"/>
        <w:spacing w:line="360" w:lineRule="auto"/>
        <w:jc w:val="center"/>
        <w:rPr>
          <w:b/>
          <w:sz w:val="22"/>
          <w:szCs w:val="22"/>
        </w:rPr>
      </w:pPr>
    </w:p>
    <w:p w:rsidR="00ED1433" w:rsidRDefault="00ED1433">
      <w:pPr>
        <w:widowControl w:val="0"/>
        <w:spacing w:line="360" w:lineRule="auto"/>
        <w:jc w:val="center"/>
        <w:rPr>
          <w:b/>
          <w:sz w:val="22"/>
          <w:szCs w:val="22"/>
        </w:rPr>
      </w:pPr>
    </w:p>
    <w:p w:rsidR="00ED1433" w:rsidRDefault="00ED1433">
      <w:pPr>
        <w:widowControl w:val="0"/>
        <w:spacing w:line="360" w:lineRule="auto"/>
        <w:jc w:val="center"/>
        <w:rPr>
          <w:b/>
          <w:sz w:val="22"/>
          <w:szCs w:val="22"/>
        </w:rPr>
      </w:pPr>
    </w:p>
    <w:p w:rsidR="00ED1433" w:rsidRDefault="00ED1433">
      <w:pPr>
        <w:widowControl w:val="0"/>
        <w:spacing w:line="360" w:lineRule="auto"/>
        <w:jc w:val="center"/>
        <w:rPr>
          <w:b/>
          <w:sz w:val="22"/>
          <w:szCs w:val="22"/>
        </w:rPr>
      </w:pPr>
    </w:p>
    <w:p w:rsidR="00ED1433" w:rsidRDefault="00AA54E5">
      <w:pPr>
        <w:widowControl w:val="0"/>
        <w:spacing w:line="360" w:lineRule="auto"/>
        <w:ind w:left="2160" w:firstLine="720"/>
        <w:rPr>
          <w:b/>
          <w:sz w:val="22"/>
          <w:szCs w:val="22"/>
        </w:rPr>
      </w:pPr>
      <w:r>
        <w:rPr>
          <w:b/>
          <w:sz w:val="22"/>
          <w:szCs w:val="22"/>
        </w:rPr>
        <w:t xml:space="preserve"> </w:t>
      </w:r>
      <w:r>
        <w:rPr>
          <w:b/>
          <w:sz w:val="22"/>
          <w:szCs w:val="22"/>
        </w:rPr>
        <w:tab/>
      </w:r>
      <w:r>
        <w:rPr>
          <w:b/>
          <w:sz w:val="22"/>
          <w:szCs w:val="22"/>
        </w:rPr>
        <w:tab/>
      </w:r>
      <w:r>
        <w:rPr>
          <w:b/>
          <w:sz w:val="22"/>
          <w:szCs w:val="22"/>
        </w:rPr>
        <w:tab/>
        <w:t xml:space="preserve"> </w:t>
      </w:r>
    </w:p>
    <w:p w:rsidR="00ED1433" w:rsidRDefault="00AA54E5">
      <w:pPr>
        <w:widowControl w:val="0"/>
        <w:tabs>
          <w:tab w:val="center" w:pos="2070"/>
          <w:tab w:val="center" w:pos="8010"/>
          <w:tab w:val="center" w:pos="9360"/>
        </w:tabs>
        <w:spacing w:line="360" w:lineRule="auto"/>
        <w:jc w:val="center"/>
        <w:rPr>
          <w:b/>
          <w:sz w:val="22"/>
          <w:szCs w:val="22"/>
        </w:rPr>
      </w:pPr>
      <w:bookmarkStart w:id="29" w:name="_heading=h.px3lkndgtck3" w:colFirst="0" w:colLast="0"/>
      <w:bookmarkEnd w:id="29"/>
      <w:r>
        <w:rPr>
          <w:b/>
          <w:sz w:val="22"/>
          <w:szCs w:val="22"/>
        </w:rPr>
        <w:t>{{ v(signer) }}</w:t>
      </w:r>
    </w:p>
    <w:p w:rsidR="00ED1433" w:rsidRDefault="00ED1433">
      <w:pPr>
        <w:tabs>
          <w:tab w:val="left" w:pos="389"/>
          <w:tab w:val="left" w:pos="432"/>
          <w:tab w:val="left" w:pos="475"/>
          <w:tab w:val="left" w:pos="504"/>
          <w:tab w:val="left" w:pos="576"/>
          <w:tab w:val="left" w:pos="720"/>
          <w:tab w:val="left" w:pos="1440"/>
        </w:tabs>
        <w:spacing w:line="312" w:lineRule="auto"/>
        <w:ind w:hanging="2"/>
        <w:rPr>
          <w:sz w:val="22"/>
          <w:szCs w:val="22"/>
        </w:rPr>
      </w:pPr>
    </w:p>
    <w:p w:rsidR="00ED1433" w:rsidRDefault="00ED1433">
      <w:pPr>
        <w:tabs>
          <w:tab w:val="left" w:pos="389"/>
          <w:tab w:val="left" w:pos="432"/>
          <w:tab w:val="left" w:pos="475"/>
          <w:tab w:val="left" w:pos="504"/>
          <w:tab w:val="left" w:pos="576"/>
          <w:tab w:val="left" w:pos="720"/>
          <w:tab w:val="left" w:pos="1440"/>
        </w:tabs>
        <w:spacing w:line="312" w:lineRule="auto"/>
        <w:ind w:hanging="2"/>
        <w:rPr>
          <w:sz w:val="22"/>
          <w:szCs w:val="22"/>
        </w:rPr>
      </w:pPr>
    </w:p>
    <w:p w:rsidR="00ED1433" w:rsidRDefault="00ED1433">
      <w:pPr>
        <w:tabs>
          <w:tab w:val="left" w:pos="389"/>
          <w:tab w:val="left" w:pos="432"/>
          <w:tab w:val="left" w:pos="475"/>
          <w:tab w:val="left" w:pos="504"/>
          <w:tab w:val="left" w:pos="576"/>
          <w:tab w:val="left" w:pos="720"/>
          <w:tab w:val="left" w:pos="1440"/>
        </w:tabs>
        <w:spacing w:after="120" w:line="312" w:lineRule="auto"/>
        <w:ind w:hanging="2"/>
        <w:jc w:val="center"/>
        <w:rPr>
          <w:sz w:val="22"/>
          <w:szCs w:val="22"/>
        </w:rPr>
      </w:pPr>
    </w:p>
    <w:sectPr w:rsidR="00ED1433">
      <w:headerReference w:type="even" r:id="rId9"/>
      <w:headerReference w:type="default" r:id="rId10"/>
      <w:footerReference w:type="even" r:id="rId11"/>
      <w:footerReference w:type="default" r:id="rId12"/>
      <w:headerReference w:type="first" r:id="rId13"/>
      <w:footerReference w:type="first" r:id="rId14"/>
      <w:pgSz w:w="11907" w:h="16840"/>
      <w:pgMar w:top="810" w:right="1134" w:bottom="720" w:left="1701"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54E5" w:rsidRDefault="00AA54E5">
      <w:r>
        <w:separator/>
      </w:r>
    </w:p>
  </w:endnote>
  <w:endnote w:type="continuationSeparator" w:id="0">
    <w:p w:rsidR="00AA54E5" w:rsidRDefault="00AA5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panose1 w:val="00000000000000000000"/>
    <w:charset w:val="00"/>
    <w:family w:val="roman"/>
    <w:notTrueType/>
    <w:pitch w:val="default"/>
  </w:font>
  <w:font w:name=".VnTime">
    <w:panose1 w:val="00000000000000000000"/>
    <w:charset w:val="00"/>
    <w:family w:val="roman"/>
    <w:notTrueType/>
    <w:pitch w:val="default"/>
  </w:font>
  <w:font w:name="Verdana">
    <w:panose1 w:val="020B0604030504040204"/>
    <w:charset w:val="00"/>
    <w:family w:val="roman"/>
    <w:notTrueType/>
    <w:pitch w:val="default"/>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433" w:rsidRDefault="00AA54E5">
    <w:pPr>
      <w:pBdr>
        <w:top w:val="nil"/>
        <w:left w:val="nil"/>
        <w:bottom w:val="nil"/>
        <w:right w:val="nil"/>
        <w:between w:val="nil"/>
      </w:pBdr>
      <w:tabs>
        <w:tab w:val="center" w:pos="4320"/>
        <w:tab w:val="right" w:pos="8640"/>
      </w:tabs>
      <w:ind w:left="1" w:hanging="3"/>
      <w:jc w:val="center"/>
      <w:rPr>
        <w:color w:val="000000"/>
        <w:sz w:val="27"/>
        <w:szCs w:val="27"/>
      </w:rPr>
    </w:pPr>
    <w:r>
      <w:rPr>
        <w:color w:val="000000"/>
        <w:sz w:val="27"/>
        <w:szCs w:val="27"/>
      </w:rPr>
      <w:fldChar w:fldCharType="begin"/>
    </w:r>
    <w:r>
      <w:rPr>
        <w:color w:val="000000"/>
        <w:sz w:val="27"/>
        <w:szCs w:val="27"/>
      </w:rPr>
      <w:instrText>PAGE</w:instrText>
    </w:r>
    <w:r>
      <w:rPr>
        <w:color w:val="000000"/>
        <w:sz w:val="27"/>
        <w:szCs w:val="27"/>
      </w:rPr>
      <w:fldChar w:fldCharType="end"/>
    </w:r>
  </w:p>
  <w:p w:rsidR="00ED1433" w:rsidRDefault="00ED1433">
    <w:pPr>
      <w:pBdr>
        <w:top w:val="nil"/>
        <w:left w:val="nil"/>
        <w:bottom w:val="nil"/>
        <w:right w:val="nil"/>
        <w:between w:val="nil"/>
      </w:pBdr>
      <w:tabs>
        <w:tab w:val="center" w:pos="4320"/>
        <w:tab w:val="right" w:pos="8640"/>
      </w:tabs>
      <w:ind w:left="1" w:hanging="3"/>
      <w:rPr>
        <w:color w:val="000000"/>
        <w:sz w:val="27"/>
        <w:szCs w:val="27"/>
      </w:rPr>
    </w:pPr>
  </w:p>
  <w:p w:rsidR="00ED1433" w:rsidRDefault="00ED1433">
    <w:pPr>
      <w:ind w:hanging="2"/>
      <w:rPr>
        <w:sz w:val="23"/>
        <w:szCs w:val="23"/>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433" w:rsidRDefault="00AA54E5">
    <w:pPr>
      <w:pBdr>
        <w:top w:val="nil"/>
        <w:left w:val="nil"/>
        <w:bottom w:val="nil"/>
        <w:right w:val="nil"/>
        <w:between w:val="nil"/>
      </w:pBdr>
      <w:tabs>
        <w:tab w:val="center" w:pos="4320"/>
        <w:tab w:val="right" w:pos="8640"/>
      </w:tabs>
      <w:ind w:left="1" w:hanging="3"/>
      <w:jc w:val="center"/>
      <w:rPr>
        <w:color w:val="000000"/>
        <w:sz w:val="25"/>
        <w:szCs w:val="25"/>
      </w:rPr>
    </w:pPr>
    <w:r>
      <w:rPr>
        <w:color w:val="000000"/>
        <w:sz w:val="25"/>
        <w:szCs w:val="25"/>
      </w:rPr>
      <w:fldChar w:fldCharType="begin"/>
    </w:r>
    <w:r>
      <w:rPr>
        <w:color w:val="000000"/>
        <w:sz w:val="25"/>
        <w:szCs w:val="25"/>
      </w:rPr>
      <w:instrText>PAGE</w:instrText>
    </w:r>
    <w:r w:rsidR="007C7057">
      <w:rPr>
        <w:color w:val="000000"/>
        <w:sz w:val="25"/>
        <w:szCs w:val="25"/>
      </w:rPr>
      <w:fldChar w:fldCharType="separate"/>
    </w:r>
    <w:r w:rsidR="007C7057">
      <w:rPr>
        <w:noProof/>
        <w:color w:val="000000"/>
        <w:sz w:val="25"/>
        <w:szCs w:val="25"/>
      </w:rPr>
      <w:t>2</w:t>
    </w:r>
    <w:r>
      <w:rPr>
        <w:color w:val="000000"/>
        <w:sz w:val="25"/>
        <w:szCs w:val="25"/>
      </w:rPr>
      <w:fldChar w:fldCharType="end"/>
    </w:r>
  </w:p>
  <w:p w:rsidR="00ED1433" w:rsidRDefault="00ED1433">
    <w:pPr>
      <w:pBdr>
        <w:top w:val="nil"/>
        <w:left w:val="nil"/>
        <w:bottom w:val="nil"/>
        <w:right w:val="nil"/>
        <w:between w:val="nil"/>
      </w:pBdr>
      <w:tabs>
        <w:tab w:val="center" w:pos="4320"/>
        <w:tab w:val="right" w:pos="8640"/>
      </w:tabs>
      <w:ind w:left="1" w:hanging="3"/>
      <w:jc w:val="center"/>
      <w:rPr>
        <w:color w:val="000000"/>
        <w:sz w:val="27"/>
        <w:szCs w:val="27"/>
      </w:rPr>
    </w:pPr>
  </w:p>
  <w:p w:rsidR="00ED1433" w:rsidRDefault="00ED1433">
    <w:pPr>
      <w:pBdr>
        <w:top w:val="nil"/>
        <w:left w:val="nil"/>
        <w:bottom w:val="nil"/>
        <w:right w:val="nil"/>
        <w:between w:val="nil"/>
      </w:pBdr>
      <w:tabs>
        <w:tab w:val="center" w:pos="4320"/>
        <w:tab w:val="right" w:pos="8640"/>
      </w:tabs>
      <w:ind w:left="1" w:hanging="3"/>
      <w:rPr>
        <w:color w:val="000000"/>
        <w:sz w:val="27"/>
        <w:szCs w:val="27"/>
      </w:rPr>
    </w:pPr>
  </w:p>
  <w:p w:rsidR="00ED1433" w:rsidRDefault="00ED1433">
    <w:pPr>
      <w:ind w:hanging="2"/>
      <w:rPr>
        <w:sz w:val="23"/>
        <w:szCs w:val="23"/>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433" w:rsidRDefault="00ED1433">
    <w:pPr>
      <w:pBdr>
        <w:top w:val="nil"/>
        <w:left w:val="nil"/>
        <w:bottom w:val="nil"/>
        <w:right w:val="nil"/>
        <w:between w:val="nil"/>
      </w:pBdr>
      <w:tabs>
        <w:tab w:val="center" w:pos="4320"/>
        <w:tab w:val="right" w:pos="8640"/>
      </w:tabs>
      <w:ind w:left="1" w:hanging="3"/>
      <w:rPr>
        <w:color w:val="000000"/>
        <w:sz w:val="28"/>
        <w:szCs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54E5" w:rsidRDefault="00AA54E5">
      <w:r>
        <w:separator/>
      </w:r>
    </w:p>
  </w:footnote>
  <w:footnote w:type="continuationSeparator" w:id="0">
    <w:p w:rsidR="00AA54E5" w:rsidRDefault="00AA54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433" w:rsidRDefault="00ED1433">
    <w:pPr>
      <w:pBdr>
        <w:top w:val="nil"/>
        <w:left w:val="nil"/>
        <w:bottom w:val="nil"/>
        <w:right w:val="nil"/>
        <w:between w:val="nil"/>
      </w:pBdr>
      <w:tabs>
        <w:tab w:val="center" w:pos="4320"/>
        <w:tab w:val="right" w:pos="8640"/>
      </w:tabs>
      <w:ind w:left="1" w:hanging="3"/>
      <w:rPr>
        <w:color w:val="000000"/>
        <w:sz w:val="28"/>
        <w:szCs w:val="28"/>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433" w:rsidRDefault="00ED1433">
    <w:pPr>
      <w:pBdr>
        <w:top w:val="nil"/>
        <w:left w:val="nil"/>
        <w:bottom w:val="nil"/>
        <w:right w:val="nil"/>
        <w:between w:val="nil"/>
      </w:pBdr>
      <w:tabs>
        <w:tab w:val="center" w:pos="4320"/>
        <w:tab w:val="right" w:pos="8640"/>
      </w:tabs>
      <w:ind w:left="1" w:hanging="3"/>
      <w:rPr>
        <w:color w:val="000000"/>
        <w:sz w:val="27"/>
        <w:szCs w:val="27"/>
      </w:rPr>
    </w:pPr>
  </w:p>
  <w:p w:rsidR="00ED1433" w:rsidRDefault="00ED1433">
    <w:pPr>
      <w:ind w:hanging="2"/>
      <w:rPr>
        <w:sz w:val="23"/>
        <w:szCs w:val="23"/>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433" w:rsidRDefault="00ED1433">
    <w:pPr>
      <w:pBdr>
        <w:top w:val="nil"/>
        <w:left w:val="nil"/>
        <w:bottom w:val="nil"/>
        <w:right w:val="nil"/>
        <w:between w:val="nil"/>
      </w:pBdr>
      <w:tabs>
        <w:tab w:val="center" w:pos="4320"/>
        <w:tab w:val="right" w:pos="8640"/>
      </w:tabs>
      <w:ind w:left="1" w:hanging="3"/>
      <w:rPr>
        <w:color w:val="000000"/>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7749F"/>
    <w:multiLevelType w:val="multilevel"/>
    <w:tmpl w:val="AA6A4FF6"/>
    <w:lvl w:ilvl="0">
      <w:start w:val="1"/>
      <w:numFmt w:val="decimal"/>
      <w:lvlText w:val="%1."/>
      <w:lvlJc w:val="left"/>
      <w:pPr>
        <w:ind w:left="735" w:hanging="360"/>
      </w:pPr>
      <w:rPr>
        <w:vertAlign w:val="baseline"/>
      </w:rPr>
    </w:lvl>
    <w:lvl w:ilvl="1">
      <w:start w:val="1"/>
      <w:numFmt w:val="lowerLetter"/>
      <w:lvlText w:val="%2."/>
      <w:lvlJc w:val="left"/>
      <w:pPr>
        <w:ind w:left="1455" w:hanging="360"/>
      </w:pPr>
      <w:rPr>
        <w:vertAlign w:val="baseline"/>
      </w:rPr>
    </w:lvl>
    <w:lvl w:ilvl="2">
      <w:start w:val="1"/>
      <w:numFmt w:val="lowerRoman"/>
      <w:lvlText w:val="%3."/>
      <w:lvlJc w:val="right"/>
      <w:pPr>
        <w:ind w:left="2175" w:hanging="180"/>
      </w:pPr>
      <w:rPr>
        <w:vertAlign w:val="baseline"/>
      </w:rPr>
    </w:lvl>
    <w:lvl w:ilvl="3">
      <w:start w:val="1"/>
      <w:numFmt w:val="decimal"/>
      <w:lvlText w:val="%4."/>
      <w:lvlJc w:val="left"/>
      <w:pPr>
        <w:ind w:left="2895" w:hanging="360"/>
      </w:pPr>
      <w:rPr>
        <w:vertAlign w:val="baseline"/>
      </w:rPr>
    </w:lvl>
    <w:lvl w:ilvl="4">
      <w:start w:val="1"/>
      <w:numFmt w:val="lowerLetter"/>
      <w:lvlText w:val="%5."/>
      <w:lvlJc w:val="left"/>
      <w:pPr>
        <w:ind w:left="3615" w:hanging="360"/>
      </w:pPr>
      <w:rPr>
        <w:vertAlign w:val="baseline"/>
      </w:rPr>
    </w:lvl>
    <w:lvl w:ilvl="5">
      <w:start w:val="1"/>
      <w:numFmt w:val="lowerRoman"/>
      <w:lvlText w:val="%6."/>
      <w:lvlJc w:val="right"/>
      <w:pPr>
        <w:ind w:left="4335" w:hanging="180"/>
      </w:pPr>
      <w:rPr>
        <w:vertAlign w:val="baseline"/>
      </w:rPr>
    </w:lvl>
    <w:lvl w:ilvl="6">
      <w:start w:val="1"/>
      <w:numFmt w:val="decimal"/>
      <w:lvlText w:val="%7."/>
      <w:lvlJc w:val="left"/>
      <w:pPr>
        <w:ind w:left="5055" w:hanging="360"/>
      </w:pPr>
      <w:rPr>
        <w:vertAlign w:val="baseline"/>
      </w:rPr>
    </w:lvl>
    <w:lvl w:ilvl="7">
      <w:start w:val="1"/>
      <w:numFmt w:val="lowerLetter"/>
      <w:lvlText w:val="%8."/>
      <w:lvlJc w:val="left"/>
      <w:pPr>
        <w:ind w:left="5775" w:hanging="360"/>
      </w:pPr>
      <w:rPr>
        <w:vertAlign w:val="baseline"/>
      </w:rPr>
    </w:lvl>
    <w:lvl w:ilvl="8">
      <w:start w:val="1"/>
      <w:numFmt w:val="lowerRoman"/>
      <w:lvlText w:val="%9."/>
      <w:lvlJc w:val="right"/>
      <w:pPr>
        <w:ind w:left="6495" w:hanging="180"/>
      </w:pPr>
      <w:rPr>
        <w:vertAlign w:val="baseline"/>
      </w:rPr>
    </w:lvl>
  </w:abstractNum>
  <w:abstractNum w:abstractNumId="1" w15:restartNumberingAfterBreak="0">
    <w:nsid w:val="14D90884"/>
    <w:multiLevelType w:val="multilevel"/>
    <w:tmpl w:val="BA4EBE6A"/>
    <w:lvl w:ilvl="0">
      <w:start w:val="1"/>
      <w:numFmt w:val="bullet"/>
      <w:lvlText w:val="●"/>
      <w:lvlJc w:val="left"/>
      <w:pPr>
        <w:ind w:left="1095" w:hanging="360"/>
      </w:pPr>
      <w:rPr>
        <w:rFonts w:ascii="Noto Sans Symbols" w:eastAsia="Noto Sans Symbols" w:hAnsi="Noto Sans Symbols" w:cs="Noto Sans Symbols"/>
        <w:vertAlign w:val="baseline"/>
      </w:rPr>
    </w:lvl>
    <w:lvl w:ilvl="1">
      <w:start w:val="1"/>
      <w:numFmt w:val="bullet"/>
      <w:lvlText w:val="o"/>
      <w:lvlJc w:val="left"/>
      <w:pPr>
        <w:ind w:left="1815" w:hanging="360"/>
      </w:pPr>
      <w:rPr>
        <w:rFonts w:ascii="Courier New" w:eastAsia="Courier New" w:hAnsi="Courier New" w:cs="Courier New"/>
        <w:vertAlign w:val="baseline"/>
      </w:rPr>
    </w:lvl>
    <w:lvl w:ilvl="2">
      <w:start w:val="1"/>
      <w:numFmt w:val="bullet"/>
      <w:lvlText w:val="▪"/>
      <w:lvlJc w:val="left"/>
      <w:pPr>
        <w:ind w:left="2535" w:hanging="360"/>
      </w:pPr>
      <w:rPr>
        <w:rFonts w:ascii="Noto Sans Symbols" w:eastAsia="Noto Sans Symbols" w:hAnsi="Noto Sans Symbols" w:cs="Noto Sans Symbols"/>
        <w:vertAlign w:val="baseline"/>
      </w:rPr>
    </w:lvl>
    <w:lvl w:ilvl="3">
      <w:start w:val="1"/>
      <w:numFmt w:val="bullet"/>
      <w:lvlText w:val="●"/>
      <w:lvlJc w:val="left"/>
      <w:pPr>
        <w:ind w:left="3255" w:hanging="360"/>
      </w:pPr>
      <w:rPr>
        <w:rFonts w:ascii="Noto Sans Symbols" w:eastAsia="Noto Sans Symbols" w:hAnsi="Noto Sans Symbols" w:cs="Noto Sans Symbols"/>
        <w:vertAlign w:val="baseline"/>
      </w:rPr>
    </w:lvl>
    <w:lvl w:ilvl="4">
      <w:start w:val="1"/>
      <w:numFmt w:val="bullet"/>
      <w:lvlText w:val="o"/>
      <w:lvlJc w:val="left"/>
      <w:pPr>
        <w:ind w:left="3975" w:hanging="360"/>
      </w:pPr>
      <w:rPr>
        <w:rFonts w:ascii="Courier New" w:eastAsia="Courier New" w:hAnsi="Courier New" w:cs="Courier New"/>
        <w:vertAlign w:val="baseline"/>
      </w:rPr>
    </w:lvl>
    <w:lvl w:ilvl="5">
      <w:start w:val="1"/>
      <w:numFmt w:val="bullet"/>
      <w:lvlText w:val="▪"/>
      <w:lvlJc w:val="left"/>
      <w:pPr>
        <w:ind w:left="4695" w:hanging="360"/>
      </w:pPr>
      <w:rPr>
        <w:rFonts w:ascii="Noto Sans Symbols" w:eastAsia="Noto Sans Symbols" w:hAnsi="Noto Sans Symbols" w:cs="Noto Sans Symbols"/>
        <w:vertAlign w:val="baseline"/>
      </w:rPr>
    </w:lvl>
    <w:lvl w:ilvl="6">
      <w:start w:val="1"/>
      <w:numFmt w:val="bullet"/>
      <w:lvlText w:val="●"/>
      <w:lvlJc w:val="left"/>
      <w:pPr>
        <w:ind w:left="5415" w:hanging="360"/>
      </w:pPr>
      <w:rPr>
        <w:rFonts w:ascii="Noto Sans Symbols" w:eastAsia="Noto Sans Symbols" w:hAnsi="Noto Sans Symbols" w:cs="Noto Sans Symbols"/>
        <w:vertAlign w:val="baseline"/>
      </w:rPr>
    </w:lvl>
    <w:lvl w:ilvl="7">
      <w:start w:val="1"/>
      <w:numFmt w:val="bullet"/>
      <w:lvlText w:val="o"/>
      <w:lvlJc w:val="left"/>
      <w:pPr>
        <w:ind w:left="6135" w:hanging="360"/>
      </w:pPr>
      <w:rPr>
        <w:rFonts w:ascii="Courier New" w:eastAsia="Courier New" w:hAnsi="Courier New" w:cs="Courier New"/>
        <w:vertAlign w:val="baseline"/>
      </w:rPr>
    </w:lvl>
    <w:lvl w:ilvl="8">
      <w:start w:val="1"/>
      <w:numFmt w:val="bullet"/>
      <w:lvlText w:val="▪"/>
      <w:lvlJc w:val="left"/>
      <w:pPr>
        <w:ind w:left="6855" w:hanging="360"/>
      </w:pPr>
      <w:rPr>
        <w:rFonts w:ascii="Noto Sans Symbols" w:eastAsia="Noto Sans Symbols" w:hAnsi="Noto Sans Symbols" w:cs="Noto Sans Symbols"/>
        <w:vertAlign w:val="baseline"/>
      </w:rPr>
    </w:lvl>
  </w:abstractNum>
  <w:abstractNum w:abstractNumId="2" w15:restartNumberingAfterBreak="0">
    <w:nsid w:val="508C5548"/>
    <w:multiLevelType w:val="multilevel"/>
    <w:tmpl w:val="E42C017A"/>
    <w:lvl w:ilvl="0">
      <w:start w:val="1"/>
      <w:numFmt w:val="lowerLetter"/>
      <w:lvlText w:val="%1)"/>
      <w:lvlJc w:val="left"/>
      <w:pPr>
        <w:ind w:left="734" w:hanging="357"/>
      </w:pPr>
      <w:rPr>
        <w:vertAlign w:val="baseline"/>
      </w:rPr>
    </w:lvl>
    <w:lvl w:ilvl="1">
      <w:start w:val="1"/>
      <w:numFmt w:val="lowerLetter"/>
      <w:lvlText w:val="%2."/>
      <w:lvlJc w:val="left"/>
      <w:pPr>
        <w:ind w:left="1454" w:hanging="360"/>
      </w:pPr>
      <w:rPr>
        <w:vertAlign w:val="baseline"/>
      </w:rPr>
    </w:lvl>
    <w:lvl w:ilvl="2">
      <w:start w:val="1"/>
      <w:numFmt w:val="lowerRoman"/>
      <w:lvlText w:val="%3."/>
      <w:lvlJc w:val="right"/>
      <w:pPr>
        <w:ind w:left="2174" w:hanging="180"/>
      </w:pPr>
      <w:rPr>
        <w:vertAlign w:val="baseline"/>
      </w:rPr>
    </w:lvl>
    <w:lvl w:ilvl="3">
      <w:start w:val="1"/>
      <w:numFmt w:val="decimal"/>
      <w:lvlText w:val="%4."/>
      <w:lvlJc w:val="left"/>
      <w:pPr>
        <w:ind w:left="2894" w:hanging="360"/>
      </w:pPr>
      <w:rPr>
        <w:vertAlign w:val="baseline"/>
      </w:rPr>
    </w:lvl>
    <w:lvl w:ilvl="4">
      <w:start w:val="1"/>
      <w:numFmt w:val="lowerLetter"/>
      <w:lvlText w:val="%5."/>
      <w:lvlJc w:val="left"/>
      <w:pPr>
        <w:ind w:left="3614" w:hanging="360"/>
      </w:pPr>
      <w:rPr>
        <w:vertAlign w:val="baseline"/>
      </w:rPr>
    </w:lvl>
    <w:lvl w:ilvl="5">
      <w:start w:val="1"/>
      <w:numFmt w:val="lowerRoman"/>
      <w:lvlText w:val="%6."/>
      <w:lvlJc w:val="right"/>
      <w:pPr>
        <w:ind w:left="4334" w:hanging="180"/>
      </w:pPr>
      <w:rPr>
        <w:vertAlign w:val="baseline"/>
      </w:rPr>
    </w:lvl>
    <w:lvl w:ilvl="6">
      <w:start w:val="1"/>
      <w:numFmt w:val="decimal"/>
      <w:lvlText w:val="%7."/>
      <w:lvlJc w:val="left"/>
      <w:pPr>
        <w:ind w:left="5054" w:hanging="360"/>
      </w:pPr>
      <w:rPr>
        <w:vertAlign w:val="baseline"/>
      </w:rPr>
    </w:lvl>
    <w:lvl w:ilvl="7">
      <w:start w:val="1"/>
      <w:numFmt w:val="lowerLetter"/>
      <w:lvlText w:val="%8."/>
      <w:lvlJc w:val="left"/>
      <w:pPr>
        <w:ind w:left="5774" w:hanging="360"/>
      </w:pPr>
      <w:rPr>
        <w:vertAlign w:val="baseline"/>
      </w:rPr>
    </w:lvl>
    <w:lvl w:ilvl="8">
      <w:start w:val="1"/>
      <w:numFmt w:val="lowerRoman"/>
      <w:lvlText w:val="%9."/>
      <w:lvlJc w:val="right"/>
      <w:pPr>
        <w:ind w:left="6494" w:hanging="180"/>
      </w:pPr>
      <w:rPr>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433"/>
    <w:rsid w:val="007C7057"/>
    <w:rsid w:val="00AA54E5"/>
    <w:rsid w:val="00ED14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99FFE9-8033-4EFB-9366-769CBA70B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ja-JP" w:bidi="ar-SA"/>
      </w:rPr>
    </w:rPrDefault>
    <w:pPrDefault>
      <w:pPr>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ind w:left="3600"/>
      <w:jc w:val="center"/>
      <w:outlineLvl w:val="0"/>
    </w:pPr>
    <w:rPr>
      <w:b/>
      <w:i/>
    </w:rPr>
  </w:style>
  <w:style w:type="paragraph" w:styleId="Heading2">
    <w:name w:val="heading 2"/>
    <w:basedOn w:val="Normal"/>
    <w:next w:val="Normal"/>
    <w:pPr>
      <w:keepNext/>
      <w:jc w:val="center"/>
      <w:outlineLvl w:val="1"/>
    </w:pPr>
    <w:rPr>
      <w:rFonts w:ascii="Arial" w:eastAsia="Arial" w:hAnsi="Arial" w:cs="Arial"/>
      <w:b/>
      <w:sz w:val="20"/>
      <w:szCs w:val="20"/>
    </w:rPr>
  </w:style>
  <w:style w:type="paragraph" w:styleId="Heading3">
    <w:name w:val="heading 3"/>
    <w:basedOn w:val="Normal"/>
    <w:next w:val="Normal"/>
    <w:pPr>
      <w:keepNext/>
      <w:jc w:val="center"/>
      <w:outlineLvl w:val="2"/>
    </w:pPr>
    <w:rPr>
      <w:b/>
      <w:sz w:val="32"/>
      <w:szCs w:val="32"/>
    </w:rPr>
  </w:style>
  <w:style w:type="paragraph" w:styleId="Heading4">
    <w:name w:val="heading 4"/>
    <w:basedOn w:val="Normal"/>
    <w:next w:val="Normal"/>
    <w:pPr>
      <w:keepNext/>
      <w:ind w:left="7200"/>
      <w:jc w:val="center"/>
      <w:outlineLvl w:val="3"/>
    </w:pPr>
    <w:rPr>
      <w:b/>
      <w:sz w:val="26"/>
      <w:szCs w:val="26"/>
    </w:rPr>
  </w:style>
  <w:style w:type="paragraph" w:styleId="Heading5">
    <w:name w:val="heading 5"/>
    <w:basedOn w:val="Normal"/>
    <w:next w:val="Normal"/>
    <w:pPr>
      <w:keepNext/>
      <w:ind w:left="720"/>
      <w:jc w:val="both"/>
      <w:outlineLvl w:val="4"/>
    </w:pPr>
    <w:rPr>
      <w:b/>
      <w:sz w:val="26"/>
      <w:szCs w:val="26"/>
    </w:rPr>
  </w:style>
  <w:style w:type="paragraph" w:styleId="Heading6">
    <w:name w:val="heading 6"/>
    <w:basedOn w:val="Normal"/>
    <w:next w:val="Normal"/>
    <w:pPr>
      <w:keepNext/>
      <w:jc w:val="center"/>
      <w:outlineLvl w:val="5"/>
    </w:pPr>
    <w:rPr>
      <w:b/>
      <w:sz w:val="26"/>
      <w:szCs w:val="26"/>
    </w:rPr>
  </w:style>
  <w:style w:type="paragraph" w:styleId="Heading7">
    <w:name w:val="heading 7"/>
    <w:basedOn w:val="Normal"/>
    <w:next w:val="Normal"/>
    <w:pPr>
      <w:keepNext/>
      <w:spacing w:before="120" w:after="120"/>
      <w:jc w:val="both"/>
      <w:outlineLvl w:val="6"/>
    </w:pPr>
    <w:rPr>
      <w:i/>
      <w:iCs/>
      <w:sz w:val="28"/>
      <w:szCs w:val="20"/>
    </w:rPr>
  </w:style>
  <w:style w:type="paragraph" w:styleId="Heading8">
    <w:name w:val="heading 8"/>
    <w:basedOn w:val="Normal"/>
    <w:next w:val="Normal"/>
    <w:pPr>
      <w:keepNext/>
      <w:spacing w:before="120" w:after="120"/>
      <w:jc w:val="both"/>
      <w:outlineLvl w:val="7"/>
    </w:pPr>
    <w:rPr>
      <w:rFonts w:ascii="Arial" w:hAnsi="Arial" w:cs="Arial"/>
      <w:bCs/>
      <w:i/>
      <w:iCs/>
      <w:sz w:val="26"/>
      <w:szCs w:val="26"/>
    </w:rPr>
  </w:style>
  <w:style w:type="paragraph" w:styleId="Heading9">
    <w:name w:val="heading 9"/>
    <w:basedOn w:val="Normal"/>
    <w:next w:val="Normal"/>
    <w:pPr>
      <w:keepNext/>
      <w:spacing w:after="120"/>
      <w:jc w:val="center"/>
      <w:outlineLvl w:val="8"/>
    </w:pPr>
    <w:rPr>
      <w:rFonts w:ascii=".VnTimeH" w:hAnsi=".VnTimeH"/>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b/>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BodyTextIndent2">
    <w:name w:val="Body Text Indent 2"/>
    <w:basedOn w:val="Normal"/>
    <w:pPr>
      <w:ind w:left="720" w:hanging="720"/>
      <w:jc w:val="both"/>
    </w:pPr>
    <w:rPr>
      <w:rFonts w:ascii=".VnTime" w:hAnsi=".VnTime"/>
      <w:sz w:val="28"/>
      <w:szCs w:val="20"/>
    </w:rPr>
  </w:style>
  <w:style w:type="paragraph" w:styleId="BodyTextIndent3">
    <w:name w:val="Body Text Indent 3"/>
    <w:basedOn w:val="Normal"/>
    <w:pPr>
      <w:ind w:left="720"/>
      <w:jc w:val="both"/>
    </w:pPr>
    <w:rPr>
      <w:rFonts w:ascii=".VnTime" w:hAnsi=".VnTime"/>
      <w:b/>
      <w:i/>
      <w:sz w:val="26"/>
      <w:szCs w:val="20"/>
    </w:rPr>
  </w:style>
  <w:style w:type="paragraph" w:styleId="BodyTextIndent">
    <w:name w:val="Body Text Indent"/>
    <w:basedOn w:val="Normal"/>
    <w:pPr>
      <w:ind w:firstLine="720"/>
      <w:jc w:val="both"/>
    </w:pPr>
    <w:rPr>
      <w:rFonts w:ascii=".VnTime" w:hAnsi=".VnTime"/>
      <w:b/>
      <w:sz w:val="26"/>
      <w:szCs w:val="20"/>
    </w:rPr>
  </w:style>
  <w:style w:type="paragraph" w:styleId="BodyText">
    <w:name w:val="Body Text"/>
    <w:basedOn w:val="Normal"/>
    <w:pPr>
      <w:jc w:val="both"/>
    </w:pPr>
    <w:rPr>
      <w:rFonts w:ascii=".VnTime" w:hAnsi=".VnTime"/>
      <w:sz w:val="26"/>
      <w:szCs w:val="20"/>
    </w:rPr>
  </w:style>
  <w:style w:type="paragraph" w:styleId="BodyText2">
    <w:name w:val="Body Text 2"/>
    <w:basedOn w:val="Normal"/>
    <w:pPr>
      <w:jc w:val="both"/>
    </w:pPr>
    <w:rPr>
      <w:rFonts w:ascii=".VnTime" w:hAnsi=".VnTime"/>
      <w:sz w:val="28"/>
      <w:szCs w:val="20"/>
    </w:rPr>
  </w:style>
  <w:style w:type="character" w:customStyle="1" w:styleId="normal1">
    <w:name w:val="normal1"/>
    <w:rPr>
      <w:rFonts w:ascii="Arial" w:hAnsi="Arial" w:cs="Arial" w:hint="default"/>
      <w:w w:val="100"/>
      <w:position w:val="-1"/>
      <w:sz w:val="18"/>
      <w:szCs w:val="18"/>
      <w:effect w:val="none"/>
      <w:vertAlign w:val="baseline"/>
      <w:cs w:val="0"/>
      <w:em w:val="none"/>
    </w:rPr>
  </w:style>
  <w:style w:type="paragraph" w:styleId="BodyText3">
    <w:name w:val="Body Text 3"/>
    <w:basedOn w:val="Normal"/>
    <w:pPr>
      <w:jc w:val="center"/>
    </w:pPr>
    <w:rPr>
      <w:rFonts w:ascii="Arial" w:hAnsi="Arial" w:cs="Arial"/>
      <w:b/>
      <w:sz w:val="20"/>
      <w:szCs w:val="20"/>
    </w:rPr>
  </w:style>
  <w:style w:type="paragraph" w:styleId="NormalWeb">
    <w:name w:val="Normal (Web)"/>
    <w:basedOn w:val="Normal"/>
    <w:uiPriority w:val="99"/>
    <w:pPr>
      <w:spacing w:before="100" w:beforeAutospacing="1" w:after="100" w:afterAutospacing="1"/>
    </w:pPr>
  </w:style>
  <w:style w:type="paragraph" w:styleId="Footer">
    <w:name w:val="footer"/>
    <w:basedOn w:val="Normal"/>
    <w:pPr>
      <w:tabs>
        <w:tab w:val="center" w:pos="4320"/>
        <w:tab w:val="right" w:pos="8640"/>
      </w:tabs>
    </w:pPr>
    <w:rPr>
      <w:rFonts w:ascii=".VnTime" w:hAnsi=".VnTime"/>
      <w:sz w:val="28"/>
      <w:szCs w:val="20"/>
    </w:rPr>
  </w:style>
  <w:style w:type="character" w:styleId="PageNumber">
    <w:name w:val="page number"/>
    <w:basedOn w:val="DefaultParagraphFont"/>
    <w:rPr>
      <w:w w:val="100"/>
      <w:position w:val="-1"/>
      <w:effect w:val="none"/>
      <w:vertAlign w:val="baseline"/>
      <w:cs w:val="0"/>
      <w:em w:val="none"/>
    </w:rPr>
  </w:style>
  <w:style w:type="paragraph" w:customStyle="1" w:styleId="giua">
    <w:name w:val="giua"/>
    <w:basedOn w:val="Normal"/>
    <w:pPr>
      <w:spacing w:before="100" w:beforeAutospacing="1" w:after="100" w:afterAutospacing="1"/>
    </w:pPr>
    <w:rPr>
      <w:color w:val="000000"/>
    </w:rPr>
  </w:style>
  <w:style w:type="character" w:customStyle="1" w:styleId="NormalWebChar">
    <w:name w:val="Normal (Web) Char"/>
    <w:rPr>
      <w:w w:val="100"/>
      <w:position w:val="-1"/>
      <w:sz w:val="24"/>
      <w:szCs w:val="24"/>
      <w:effect w:val="none"/>
      <w:vertAlign w:val="baseline"/>
      <w:cs w:val="0"/>
      <w:em w:val="none"/>
      <w:lang w:val="en-US" w:eastAsia="en-US" w:bidi="ar-SA"/>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table" w:styleId="TableGrid">
    <w:name w:val="Table Grid"/>
    <w:basedOn w:val="TableNormal"/>
    <w:uiPriority w:val="39"/>
    <w:qFormat/>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right="72" w:hangingChars="1"/>
      <w:jc w:val="both"/>
      <w:textDirection w:val="btLr"/>
      <w:textAlignment w:val="top"/>
      <w:outlineLvl w:val="0"/>
    </w:pPr>
    <w:rPr>
      <w:color w:val="000000"/>
      <w:position w:val="-1"/>
      <w:sz w:val="26"/>
      <w:szCs w:val="26"/>
      <w:lang w:val="en-US"/>
    </w:rPr>
  </w:style>
  <w:style w:type="character" w:customStyle="1" w:styleId="hps">
    <w:name w:val="hps"/>
    <w:basedOn w:val="DefaultParagraphFont"/>
    <w:rPr>
      <w:w w:val="100"/>
      <w:position w:val="-1"/>
      <w:effect w:val="none"/>
      <w:vertAlign w:val="baseline"/>
      <w:cs w:val="0"/>
      <w:em w:val="none"/>
    </w:rPr>
  </w:style>
  <w:style w:type="paragraph" w:customStyle="1" w:styleId="CharCharCharChar">
    <w:name w:val="Char Char Char Char"/>
    <w:next w:val="Normal"/>
    <w:pPr>
      <w:suppressAutoHyphens/>
      <w:spacing w:after="160" w:line="240" w:lineRule="atLeast"/>
      <w:ind w:leftChars="-1" w:left="-1" w:hangingChars="1"/>
      <w:jc w:val="both"/>
      <w:textDirection w:val="btLr"/>
      <w:textAlignment w:val="top"/>
      <w:outlineLvl w:val="0"/>
    </w:pPr>
    <w:rPr>
      <w:position w:val="-1"/>
      <w:sz w:val="28"/>
      <w:szCs w:val="22"/>
      <w:lang w:val="en-US"/>
    </w:rPr>
  </w:style>
  <w:style w:type="paragraph" w:customStyle="1" w:styleId="CM40">
    <w:name w:val="CM40"/>
    <w:basedOn w:val="Normal"/>
    <w:next w:val="BodyText"/>
    <w:pPr>
      <w:widowControl w:val="0"/>
      <w:autoSpaceDE w:val="0"/>
      <w:autoSpaceDN w:val="0"/>
      <w:adjustRightInd w:val="0"/>
    </w:pPr>
    <w:rPr>
      <w:sz w:val="22"/>
      <w:szCs w:val="22"/>
    </w:rPr>
  </w:style>
  <w:style w:type="paragraph" w:customStyle="1" w:styleId="normal-p">
    <w:name w:val="normal-p"/>
    <w:basedOn w:val="Normal"/>
    <w:rPr>
      <w:sz w:val="20"/>
      <w:szCs w:val="20"/>
    </w:rPr>
  </w:style>
  <w:style w:type="paragraph" w:customStyle="1" w:styleId="CharCharCharCharCharCharCharCharChar1Char">
    <w:name w:val="Char Char Char Char Char Char Char Char Char1 Char"/>
    <w:basedOn w:val="Normal"/>
    <w:next w:val="Normal"/>
    <w:pPr>
      <w:spacing w:before="120" w:after="120" w:line="312" w:lineRule="auto"/>
    </w:pPr>
    <w:rPr>
      <w:sz w:val="28"/>
      <w:szCs w:val="22"/>
    </w:rPr>
  </w:style>
  <w:style w:type="paragraph" w:customStyle="1" w:styleId="CharCharCharCharCharCharCharCharChar1Char0">
    <w:name w:val="Char Char Char Char Char Char Char Char Char1 Char"/>
    <w:basedOn w:val="Normal"/>
    <w:next w:val="Normal"/>
    <w:pPr>
      <w:spacing w:before="120" w:after="120" w:line="312" w:lineRule="auto"/>
    </w:pPr>
    <w:rPr>
      <w:sz w:val="28"/>
      <w:szCs w:val="22"/>
    </w:rPr>
  </w:style>
  <w:style w:type="paragraph" w:customStyle="1" w:styleId="ZchnZchn">
    <w:name w:val="Zchn Zchn"/>
    <w:basedOn w:val="Normal"/>
    <w:pPr>
      <w:spacing w:after="160" w:line="240" w:lineRule="atLeast"/>
    </w:pPr>
    <w:rPr>
      <w:rFonts w:ascii="Verdana" w:hAnsi="Verdana"/>
      <w:sz w:val="20"/>
      <w:szCs w:val="20"/>
    </w:rPr>
  </w:style>
  <w:style w:type="paragraph" w:customStyle="1" w:styleId="Giua0">
    <w:name w:val="Giua"/>
    <w:basedOn w:val="Normal"/>
    <w:pPr>
      <w:spacing w:after="120"/>
      <w:jc w:val="center"/>
    </w:pPr>
    <w:rPr>
      <w:rFonts w:ascii=".VnTime" w:hAnsi=".VnTime"/>
      <w:color w:val="0000FF"/>
      <w:szCs w:val="20"/>
    </w:rPr>
  </w:style>
  <w:style w:type="paragraph" w:customStyle="1" w:styleId="CharCharCharCharCharChar">
    <w:name w:val="Char Char Char Char Char Char"/>
    <w:basedOn w:val="Normal"/>
    <w:pPr>
      <w:spacing w:after="160" w:line="240" w:lineRule="atLeast"/>
    </w:pPr>
    <w:rPr>
      <w:rFonts w:ascii="Verdana" w:hAnsi="Verdana"/>
      <w:sz w:val="20"/>
      <w:szCs w:val="20"/>
    </w:rPr>
  </w:style>
  <w:style w:type="character" w:styleId="Strong">
    <w:name w:val="Strong"/>
    <w:rPr>
      <w:b/>
      <w:bCs/>
      <w:w w:val="100"/>
      <w:position w:val="-1"/>
      <w:effect w:val="none"/>
      <w:vertAlign w:val="baseline"/>
      <w:cs w:val="0"/>
      <w:em w:val="none"/>
    </w:rPr>
  </w:style>
  <w:style w:type="paragraph" w:customStyle="1" w:styleId="ZchnZchn0">
    <w:name w:val="Zchn Zchn"/>
    <w:basedOn w:val="Normal"/>
    <w:pPr>
      <w:spacing w:after="160" w:line="240" w:lineRule="atLeast"/>
    </w:pPr>
    <w:rPr>
      <w:rFonts w:ascii="Verdana" w:hAnsi="Verdana"/>
      <w:sz w:val="20"/>
      <w:szCs w:val="20"/>
    </w:rPr>
  </w:style>
  <w:style w:type="paragraph" w:styleId="Header">
    <w:name w:val="header"/>
    <w:basedOn w:val="Normal"/>
    <w:pPr>
      <w:tabs>
        <w:tab w:val="center" w:pos="4320"/>
        <w:tab w:val="right" w:pos="8640"/>
      </w:tabs>
    </w:pPr>
    <w:rPr>
      <w:rFonts w:ascii=".VnTime" w:hAnsi=".VnTime"/>
      <w:sz w:val="28"/>
      <w:szCs w:val="20"/>
    </w:rPr>
  </w:style>
  <w:style w:type="paragraph" w:styleId="BalloonText">
    <w:name w:val="Balloon Text"/>
    <w:basedOn w:val="Normal"/>
    <w:pPr>
      <w:ind w:firstLine="567"/>
      <w:jc w:val="both"/>
    </w:pPr>
    <w:rPr>
      <w:rFonts w:ascii="Tahoma" w:eastAsia="Calibri" w:hAnsi="Tahoma"/>
      <w:color w:val="0000FF"/>
      <w:sz w:val="16"/>
      <w:szCs w:val="16"/>
    </w:rPr>
  </w:style>
  <w:style w:type="character" w:customStyle="1" w:styleId="BalloonTextChar">
    <w:name w:val="Balloon Text Char"/>
    <w:rPr>
      <w:rFonts w:ascii="Tahoma" w:eastAsia="Calibri" w:hAnsi="Tahoma"/>
      <w:color w:val="0000FF"/>
      <w:w w:val="100"/>
      <w:position w:val="-1"/>
      <w:sz w:val="16"/>
      <w:szCs w:val="16"/>
      <w:effect w:val="none"/>
      <w:vertAlign w:val="baseline"/>
      <w:cs w:val="0"/>
      <w:em w:val="none"/>
      <w:lang w:bidi="ar-SA"/>
    </w:rPr>
  </w:style>
  <w:style w:type="paragraph" w:styleId="FootnoteText">
    <w:name w:val="footnote text"/>
    <w:basedOn w:val="Normal"/>
    <w:qFormat/>
    <w:pPr>
      <w:spacing w:after="120" w:line="312" w:lineRule="auto"/>
      <w:jc w:val="both"/>
    </w:pPr>
    <w:rPr>
      <w:sz w:val="20"/>
      <w:szCs w:val="20"/>
    </w:rPr>
  </w:style>
  <w:style w:type="character" w:customStyle="1" w:styleId="FootnoteTextChar">
    <w:name w:val="Footnote Text Char"/>
    <w:rPr>
      <w:w w:val="100"/>
      <w:position w:val="-1"/>
      <w:effect w:val="none"/>
      <w:vertAlign w:val="baseline"/>
      <w:cs w:val="0"/>
      <w:em w:val="none"/>
      <w:lang w:val="en-US" w:eastAsia="en-US" w:bidi="ar-SA"/>
    </w:rPr>
  </w:style>
  <w:style w:type="paragraph" w:customStyle="1" w:styleId="CharCharCharCharCharChar0">
    <w:name w:val="Char Char Char Char Char Char"/>
    <w:basedOn w:val="Normal"/>
    <w:pPr>
      <w:spacing w:after="160" w:line="240" w:lineRule="atLeast"/>
    </w:pPr>
    <w:rPr>
      <w:rFonts w:ascii="Verdana" w:hAnsi="Verdana"/>
      <w:sz w:val="20"/>
      <w:szCs w:val="20"/>
    </w:rPr>
  </w:style>
  <w:style w:type="paragraph" w:customStyle="1" w:styleId="msonormalcxsplast">
    <w:name w:val="msonormalcxsplast"/>
    <w:basedOn w:val="Normal"/>
    <w:pPr>
      <w:spacing w:before="100" w:beforeAutospacing="1" w:after="100" w:afterAutospacing="1"/>
    </w:pPr>
  </w:style>
  <w:style w:type="paragraph" w:customStyle="1" w:styleId="msonormalcxspmiddle">
    <w:name w:val="msonormalcxspmiddle"/>
    <w:basedOn w:val="Normal"/>
    <w:pPr>
      <w:spacing w:before="100" w:beforeAutospacing="1" w:after="100" w:afterAutospacing="1"/>
    </w:pPr>
  </w:style>
  <w:style w:type="character" w:customStyle="1" w:styleId="apple-converted-space">
    <w:name w:val="apple-converted-space"/>
    <w:basedOn w:val="DefaultParagraphFont"/>
    <w:rPr>
      <w:w w:val="100"/>
      <w:position w:val="-1"/>
      <w:effect w:val="none"/>
      <w:vertAlign w:val="baseline"/>
      <w:cs w:val="0"/>
      <w:em w:val="none"/>
    </w:rPr>
  </w:style>
  <w:style w:type="paragraph" w:styleId="ListParagraph">
    <w:name w:val="List Paragraph"/>
    <w:basedOn w:val="Normal"/>
    <w:pPr>
      <w:ind w:left="720"/>
    </w:pPr>
  </w:style>
  <w:style w:type="character" w:customStyle="1" w:styleId="BodyTextIndentChar">
    <w:name w:val="Body Text Indent Char"/>
    <w:rPr>
      <w:rFonts w:ascii=".VnTime" w:hAnsi=".VnTime"/>
      <w:b/>
      <w:w w:val="100"/>
      <w:position w:val="-1"/>
      <w:sz w:val="26"/>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NoSpacing">
    <w:name w:val="No Spacing"/>
    <w:pPr>
      <w:suppressAutoHyphens/>
      <w:spacing w:line="1" w:lineRule="atLeast"/>
      <w:ind w:leftChars="-1" w:left="-1" w:hangingChars="1"/>
      <w:textDirection w:val="btLr"/>
      <w:textAlignment w:val="top"/>
      <w:outlineLvl w:val="0"/>
    </w:pPr>
    <w:rPr>
      <w:rFonts w:ascii="Arial" w:hAnsi="Arial" w:cs="Arial"/>
      <w:position w:val="-1"/>
      <w:lang w:val="en-US"/>
    </w:rPr>
  </w:style>
  <w:style w:type="character" w:customStyle="1" w:styleId="ListParagraphChar">
    <w:name w:val="List Paragraph Char"/>
    <w:rPr>
      <w:w w:val="100"/>
      <w:position w:val="-1"/>
      <w:sz w:val="24"/>
      <w:szCs w:val="24"/>
      <w:effect w:val="none"/>
      <w:vertAlign w:val="baseline"/>
      <w:cs w:val="0"/>
      <w:em w:val="none"/>
    </w:rPr>
  </w:style>
  <w:style w:type="character" w:customStyle="1" w:styleId="cpChagiiquyt1">
    <w:name w:val="Đề cập Chưa giải quyết1"/>
    <w:qFormat/>
    <w:rPr>
      <w:color w:val="605E5C"/>
      <w:w w:val="100"/>
      <w:position w:val="-1"/>
      <w:effect w:val="none"/>
      <w:shd w:val="clear" w:color="auto" w:fill="E1DFDD"/>
      <w:vertAlign w:val="baseline"/>
      <w:cs w:val="0"/>
      <w:em w:val="none"/>
    </w:rPr>
  </w:style>
  <w:style w:type="paragraph" w:customStyle="1" w:styleId="TableParagraph">
    <w:name w:val="Table Paragraph"/>
    <w:basedOn w:val="Normal"/>
    <w:pPr>
      <w:widowControl w:val="0"/>
      <w:autoSpaceDE w:val="0"/>
      <w:autoSpaceDN w:val="0"/>
    </w:pPr>
    <w:rPr>
      <w:sz w:val="22"/>
      <w:szCs w:val="22"/>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29" w:type="dxa"/>
        <w:right w:w="29"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29" w:type="dxa"/>
        <w:right w:w="29"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29" w:type="dxa"/>
        <w:right w:w="29"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Subtitle">
    <w:name w:val="Subtitle"/>
    <w:basedOn w:val="Normal"/>
    <w:next w:val="Normal"/>
    <w:pPr>
      <w:spacing w:line="288" w:lineRule="auto"/>
      <w:jc w:val="center"/>
    </w:pPr>
    <w:rPr>
      <w:b/>
      <w:sz w:val="28"/>
      <w:szCs w:val="28"/>
    </w:r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29" w:type="dxa"/>
        <w:right w:w="29"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egLeGliIbt7FjEDC//eSfbIXXw==">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13385</Words>
  <Characters>76297</Characters>
  <Application>Microsoft Office Word</Application>
  <DocSecurity>0</DocSecurity>
  <Lines>635</Lines>
  <Paragraphs>179</Paragraphs>
  <ScaleCrop>false</ScaleCrop>
  <Company/>
  <LinksUpToDate>false</LinksUpToDate>
  <CharactersWithSpaces>89503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Tran Van Hung</cp:lastModifiedBy>
  <cp:revision>3</cp:revision>
  <dcterms:created xsi:type="dcterms:W3CDTF">2025-07-04T03:21:00Z</dcterms:created>
  <dcterms:modified xsi:type="dcterms:W3CDTF">2025-09-19T04:01:00Z</dcterms:modified>
</cp:coreProperties>
</file>