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center"/>
        <w:rPr>
          <w:sz w:val="22"/>
          <w:szCs w:val="22"/>
        </w:rPr>
      </w:pPr>
      <w:r w:rsidRPr="00AB15D8">
        <w:rPr>
          <w:b/>
          <w:sz w:val="22"/>
          <w:szCs w:val="22"/>
        </w:rPr>
        <w:t>CỘNG HOÀ XÃ HỘI CHỦ NGHĨA VIỆT NAM</w:t>
      </w:r>
    </w:p>
    <w:p w:rsid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center"/>
        <w:rPr>
          <w:b/>
          <w:sz w:val="22"/>
          <w:szCs w:val="22"/>
          <w:u w:val="single"/>
        </w:rPr>
      </w:pPr>
      <w:r w:rsidRPr="00AB15D8">
        <w:rPr>
          <w:b/>
          <w:sz w:val="22"/>
          <w:szCs w:val="22"/>
          <w:u w:val="single"/>
        </w:rPr>
        <w:t>Độc lập - Tự do - Hạnh phúc</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center"/>
        <w:rPr>
          <w:sz w:val="22"/>
          <w:szCs w:val="22"/>
          <w:u w:val="single"/>
        </w:rPr>
      </w:pPr>
      <w:r w:rsidRPr="00AB15D8">
        <w:rPr>
          <w:noProof/>
          <w:sz w:val="22"/>
          <w:szCs w:val="22"/>
          <w:lang w:val="en-US" w:eastAsia="zh-CN"/>
        </w:rPr>
        <mc:AlternateContent>
          <mc:Choice Requires="wps">
            <w:drawing>
              <wp:anchor distT="0" distB="0" distL="114300" distR="114300" simplePos="0" relativeHeight="251658240" behindDoc="0" locked="0" layoutInCell="1" hidden="0" allowOverlap="1">
                <wp:simplePos x="0" y="0"/>
                <wp:positionH relativeFrom="column">
                  <wp:posOffset>2146300</wp:posOffset>
                </wp:positionH>
                <wp:positionV relativeFrom="paragraph">
                  <wp:posOffset>190500</wp:posOffset>
                </wp:positionV>
                <wp:extent cx="635" cy="12700"/>
                <wp:effectExtent l="0" t="0" r="0" b="0"/>
                <wp:wrapNone/>
                <wp:docPr id="1001" name="Straight Arrow Connector 4"/>
                <wp:cNvGraphicFramePr/>
                <a:graphic xmlns:a="http://schemas.openxmlformats.org/drawingml/2006/main">
                  <a:graphicData uri="http://schemas.microsoft.com/office/word/2010/wordprocessingShape">
                    <wps:wsp>
                      <wps:cNvCnPr/>
                      <wps:spPr>
                        <a:xfrm>
                          <a:off x="4678298" y="3779683"/>
                          <a:ext cx="1335405" cy="635"/>
                        </a:xfrm>
                        <a:prstGeom prst="straightConnector1">
                          <a:avLst/>
                        </a:prstGeom>
                        <a:solidFill>
                          <a:srgbClr val="FFFFFF"/>
                        </a:solidFill>
                        <a:ln w="9525" cap="flat" cmpd="sng">
                          <a:solidFill>
                            <a:srgbClr val="000000"/>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2146300</wp:posOffset>
                </wp:positionH>
                <wp:positionV relativeFrom="paragraph">
                  <wp:posOffset>190500</wp:posOffset>
                </wp:positionV>
                <wp:extent cx="635" cy="12700"/>
                <wp:effectExtent b="0" l="0" r="0" t="0"/>
                <wp:wrapNone/>
                <wp:docPr id="1002"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635" cy="12700"/>
                        </a:xfrm>
                        <a:prstGeom prst="rect"/>
                        <a:ln/>
                      </pic:spPr>
                    </pic:pic>
                  </a:graphicData>
                </a:graphic>
              </wp:anchor>
            </w:drawing>
          </mc:Fallback>
        </mc:AlternateConten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center"/>
        <w:rPr>
          <w:sz w:val="22"/>
          <w:szCs w:val="22"/>
        </w:rPr>
      </w:pPr>
      <w:r w:rsidRPr="00AB15D8">
        <w:rPr>
          <w:b/>
          <w:sz w:val="22"/>
          <w:szCs w:val="22"/>
        </w:rPr>
        <w:t>ĐIỀU LỆ</w:t>
      </w:r>
    </w:p>
    <w:p w:rsidR="00ED1433" w:rsidRPr="00AB15D8" w:rsidRDefault="00AA54E5" w:rsidP="00AB15D8">
      <w:pPr>
        <w:tabs>
          <w:tab w:val="left" w:pos="8280"/>
        </w:tabs>
        <w:spacing w:line="312" w:lineRule="auto"/>
        <w:jc w:val="center"/>
        <w:rPr>
          <w:b/>
          <w:sz w:val="22"/>
          <w:szCs w:val="22"/>
        </w:rPr>
      </w:pPr>
      <w:r w:rsidRPr="00AB15D8">
        <w:rPr>
          <w:b/>
          <w:sz w:val="22"/>
          <w:szCs w:val="22"/>
        </w:rPr>
        <w:t>CÔNG TY CỔ PHẦN ĐẦU TƯ PHÁT TRIỂN CƠM VIỆT THẮNG HƯƠNG</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center"/>
        <w:rPr>
          <w:sz w:val="22"/>
          <w:szCs w:val="22"/>
        </w:rPr>
      </w:pPr>
      <w:r w:rsidRPr="00AB15D8">
        <w:rPr>
          <w:b/>
          <w:sz w:val="22"/>
          <w:szCs w:val="22"/>
        </w:rPr>
        <w:t>CHƯƠNG I.</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center"/>
        <w:rPr>
          <w:sz w:val="22"/>
          <w:szCs w:val="22"/>
        </w:rPr>
      </w:pPr>
      <w:r w:rsidRPr="00AB15D8">
        <w:rPr>
          <w:b/>
          <w:sz w:val="22"/>
          <w:szCs w:val="22"/>
        </w:rPr>
        <w:t>QUY ĐỊNH CHUNG</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b/>
          <w:sz w:val="22"/>
          <w:szCs w:val="22"/>
        </w:rPr>
        <w:t>Điều 1. Hình thức, tên gọi và trụ sở Công ty</w:t>
      </w:r>
    </w:p>
    <w:p w:rsidR="00ED1433" w:rsidRPr="00AB15D8" w:rsidRDefault="00AA54E5" w:rsidP="00AB15D8">
      <w:pPr>
        <w:tabs>
          <w:tab w:val="left" w:pos="389"/>
          <w:tab w:val="left" w:pos="432"/>
          <w:tab w:val="left" w:pos="-5"/>
          <w:tab w:val="left" w:pos="576"/>
          <w:tab w:val="left" w:pos="720"/>
          <w:tab w:val="left" w:pos="1440"/>
        </w:tabs>
        <w:spacing w:line="312" w:lineRule="auto"/>
        <w:ind w:hanging="2"/>
        <w:jc w:val="both"/>
        <w:rPr>
          <w:sz w:val="22"/>
          <w:szCs w:val="22"/>
        </w:rPr>
      </w:pPr>
      <w:r w:rsidRPr="00AB15D8">
        <w:rPr>
          <w:sz w:val="22"/>
          <w:szCs w:val="22"/>
        </w:rPr>
        <w:t>1. Công ty thuộc hình thức Công ty cổ phần, hoạt động theo Luật Doanh nghiệp và các quy định hiện hành khác của nước Cộng hoà Xã hội Chủ nghĩa Việt Nam, trong đó:</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a) Cổ đông chỉ chịu trách nhiệm về các khoản nợ và nghĩa vụ tài sản khác của Công ty trong phạm vi số vốn đã góp vào Công ty;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b) Công ty có tư cách pháp nhân kể từ ngày được cấp Giấy chứng nhận đăng ký doanh nghiệp.</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c) Công ty có quyền phát hành cổ phần các loại để huy động vốn.</w:t>
      </w:r>
    </w:p>
    <w:p w:rsidR="00ED1433" w:rsidRPr="00AB15D8" w:rsidRDefault="00AA54E5" w:rsidP="00AB15D8">
      <w:pPr>
        <w:tabs>
          <w:tab w:val="left" w:pos="-5"/>
          <w:tab w:val="left" w:pos="1440"/>
          <w:tab w:val="left" w:pos="4320"/>
          <w:tab w:val="right" w:pos="8280"/>
        </w:tabs>
        <w:spacing w:line="312" w:lineRule="auto"/>
        <w:ind w:hanging="2"/>
        <w:jc w:val="both"/>
        <w:rPr>
          <w:sz w:val="22"/>
          <w:szCs w:val="22"/>
        </w:rPr>
      </w:pPr>
      <w:r w:rsidRPr="00AB15D8">
        <w:rPr>
          <w:sz w:val="22"/>
          <w:szCs w:val="22"/>
        </w:rPr>
        <w:t>2. Tên Công ty: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Tên công ty viết bằng tiếng Việt </w:t>
      </w:r>
      <w:r w:rsidRPr="00AB15D8">
        <w:rPr>
          <w:i/>
          <w:sz w:val="22"/>
          <w:szCs w:val="22"/>
        </w:rPr>
        <w:t>(ghi bằng chữ in hoa)</w:t>
      </w:r>
      <w:r w:rsidRPr="00AB15D8">
        <w:rPr>
          <w:sz w:val="22"/>
          <w:szCs w:val="22"/>
        </w:rPr>
        <w:t xml:space="preserve">: </w:t>
      </w:r>
      <w:r w:rsidRPr="00AB15D8">
        <w:rPr>
          <w:b/>
          <w:sz w:val="22"/>
          <w:szCs w:val="22"/>
        </w:rPr>
        <w:t>CÔNG TY CỔ PHẦN ĐẦU TƯ PHÁT TRIỂN CƠM VIỆT THẮNG HƯƠNG</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b/>
          <w:sz w:val="22"/>
          <w:szCs w:val="22"/>
        </w:rPr>
      </w:pPr>
      <w:bookmarkStart w:id="0" w:name="_heading=h.vl1vvewg7q3t" w:colFirst="0" w:colLast="0"/>
      <w:bookmarkEnd w:id="0"/>
      <w:r w:rsidRPr="00AB15D8">
        <w:rPr>
          <w:sz w:val="22"/>
          <w:szCs w:val="22"/>
        </w:rPr>
        <w:t xml:space="preserve">Tên công ty viết bằng tiếng nước ngoài </w:t>
      </w:r>
      <w:r w:rsidRPr="00AB15D8">
        <w:rPr>
          <w:i/>
          <w:sz w:val="22"/>
          <w:szCs w:val="22"/>
        </w:rPr>
        <w:t>(nếu có)</w:t>
      </w:r>
      <w:r w:rsidRPr="00AB15D8">
        <w:rPr>
          <w:sz w:val="22"/>
          <w:szCs w:val="22"/>
        </w:rPr>
        <w:t>:</w:t>
      </w:r>
      <w:r w:rsidRPr="00AB15D8">
        <w:rPr>
          <w:b/>
          <w:sz w:val="22"/>
          <w:szCs w:val="22"/>
        </w:rPr>
        <w:t xml:space="preserve"> VIET THANG HUONG RICE DEVELOPMENT INVESTMENT JOINT STOCK COMPANY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Tên công ty viết tắt </w:t>
      </w:r>
      <w:r w:rsidRPr="00AB15D8">
        <w:rPr>
          <w:i/>
          <w:sz w:val="22"/>
          <w:szCs w:val="22"/>
        </w:rPr>
        <w:t>(nếu có)</w:t>
      </w:r>
      <w:r w:rsidRPr="00AB15D8">
        <w:rPr>
          <w:sz w:val="22"/>
          <w:szCs w:val="22"/>
        </w:rPr>
        <w:t xml:space="preserve">: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bookmarkStart w:id="1" w:name="_heading=h.877n7lvnfemv" w:colFirst="0" w:colLast="0"/>
      <w:bookmarkEnd w:id="1"/>
      <w:r w:rsidRPr="00AB15D8">
        <w:rPr>
          <w:sz w:val="22"/>
          <w:szCs w:val="22"/>
        </w:rPr>
        <w:t xml:space="preserve">3. Địa chỉ trụ sở chính: Xóm Lạc Hùng, Xã Giao Hòa, Tỉnh Ninh Bình, Việt Nam.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Điện thoại: 0375296971                                         Fax </w:t>
      </w:r>
      <w:r w:rsidRPr="00AB15D8">
        <w:rPr>
          <w:i/>
          <w:sz w:val="22"/>
          <w:szCs w:val="22"/>
        </w:rPr>
        <w:t>(nếu có)</w:t>
      </w:r>
      <w:r w:rsidRPr="00AB15D8">
        <w:rPr>
          <w:sz w:val="22"/>
          <w:szCs w:val="22"/>
        </w:rPr>
        <w:t xml:space="preserve">: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highlight w:val="white"/>
        </w:rPr>
      </w:pPr>
      <w:r w:rsidRPr="00AB15D8">
        <w:rPr>
          <w:sz w:val="22"/>
          <w:szCs w:val="22"/>
        </w:rPr>
        <w:t>Email: Comvietthan</w:t>
      </w:r>
      <w:r w:rsidR="008E72A2" w:rsidRPr="00AB15D8">
        <w:rPr>
          <w:sz w:val="22"/>
          <w:szCs w:val="22"/>
        </w:rPr>
        <w:t xml:space="preserve">ghuong@gmail.com               </w:t>
      </w:r>
      <w:r w:rsidRPr="00AB15D8">
        <w:rPr>
          <w:sz w:val="22"/>
          <w:szCs w:val="22"/>
        </w:rPr>
        <w:t xml:space="preserve">Website </w:t>
      </w:r>
      <w:r w:rsidRPr="00AB15D8">
        <w:rPr>
          <w:i/>
          <w:sz w:val="22"/>
          <w:szCs w:val="22"/>
        </w:rPr>
        <w:t>(nếu có)</w:t>
      </w:r>
      <w:r w:rsidRPr="00AB15D8">
        <w:rPr>
          <w:sz w:val="22"/>
          <w:szCs w:val="22"/>
        </w:rPr>
        <w:t xml:space="preserve">: </w:t>
      </w:r>
    </w:p>
    <w:p w:rsidR="00ED1433" w:rsidRPr="00AB15D8" w:rsidRDefault="00AA54E5" w:rsidP="00AB15D8">
      <w:pPr>
        <w:spacing w:line="312" w:lineRule="auto"/>
        <w:ind w:hanging="2"/>
        <w:jc w:val="both"/>
        <w:rPr>
          <w:b/>
          <w:sz w:val="22"/>
          <w:szCs w:val="22"/>
        </w:rPr>
      </w:pPr>
      <w:r w:rsidRPr="00AB15D8">
        <w:rPr>
          <w:b/>
          <w:sz w:val="22"/>
          <w:szCs w:val="22"/>
        </w:rPr>
        <w:tab/>
        <w:t>Điều 2. Ngành, nghề kinh doanh</w:t>
      </w:r>
    </w:p>
    <w:tbl>
      <w:tblPr>
        <w:tblW w:w="5000" w:type="pct"/>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05"/>
        <w:gridCol w:w="5386"/>
        <w:gridCol w:w="1276"/>
        <w:gridCol w:w="1694"/>
      </w:tblGrid>
      <w:tr w:rsidR="008E72A2" w:rsidRPr="00AB15D8" w:rsidTr="008E72A2">
        <w:trPr>
          <w:jc w:val="right"/>
        </w:trPr>
        <w:tc>
          <w:tcPr>
            <w:tcW w:w="389"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jc w:val="center"/>
              <w:rPr>
                <w:b/>
                <w:sz w:val="22"/>
                <w:szCs w:val="22"/>
              </w:rPr>
            </w:pPr>
            <w:r w:rsidRPr="00AB15D8">
              <w:rPr>
                <w:b/>
                <w:sz w:val="22"/>
                <w:szCs w:val="22"/>
              </w:rPr>
              <w:t>STT</w:t>
            </w:r>
          </w:p>
        </w:tc>
        <w:tc>
          <w:tcPr>
            <w:tcW w:w="2972"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jc w:val="center"/>
              <w:rPr>
                <w:b/>
                <w:sz w:val="22"/>
                <w:szCs w:val="22"/>
              </w:rPr>
            </w:pPr>
            <w:r w:rsidRPr="00AB15D8">
              <w:rPr>
                <w:b/>
                <w:sz w:val="22"/>
                <w:szCs w:val="22"/>
              </w:rPr>
              <w:t>Tên ngành</w:t>
            </w:r>
          </w:p>
        </w:tc>
        <w:tc>
          <w:tcPr>
            <w:tcW w:w="704"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jc w:val="center"/>
              <w:rPr>
                <w:b/>
                <w:sz w:val="22"/>
                <w:szCs w:val="22"/>
              </w:rPr>
            </w:pPr>
            <w:r w:rsidRPr="00AB15D8">
              <w:rPr>
                <w:b/>
                <w:sz w:val="22"/>
                <w:szCs w:val="22"/>
              </w:rPr>
              <w:t>Mã ngành</w:t>
            </w:r>
          </w:p>
        </w:tc>
        <w:tc>
          <w:tcPr>
            <w:tcW w:w="935"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jc w:val="center"/>
              <w:rPr>
                <w:b/>
                <w:sz w:val="22"/>
                <w:szCs w:val="22"/>
              </w:rPr>
            </w:pPr>
            <w:r w:rsidRPr="00AB15D8">
              <w:rPr>
                <w:b/>
                <w:sz w:val="22"/>
                <w:szCs w:val="22"/>
              </w:rPr>
              <w:t xml:space="preserve">Ngành nghề kinh doanh chính </w:t>
            </w:r>
            <w:r w:rsidRPr="00AB15D8">
              <w:rPr>
                <w:sz w:val="22"/>
                <w:szCs w:val="22"/>
              </w:rPr>
              <w:t>(đánh dấu X để chọn một trong các ngành nghề đã kê khai)</w:t>
            </w:r>
          </w:p>
        </w:tc>
      </w:tr>
      <w:tr w:rsidR="008E72A2" w:rsidRPr="00AB15D8" w:rsidTr="008E72A2">
        <w:trPr>
          <w:jc w:val="right"/>
        </w:trPr>
        <w:tc>
          <w:tcPr>
            <w:tcW w:w="389"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pStyle w:val="ListParagraph"/>
              <w:numPr>
                <w:ilvl w:val="0"/>
                <w:numId w:val="4"/>
              </w:numPr>
              <w:spacing w:line="360" w:lineRule="auto"/>
              <w:contextualSpacing/>
              <w:rPr>
                <w:sz w:val="22"/>
                <w:szCs w:val="22"/>
              </w:rPr>
            </w:pPr>
          </w:p>
        </w:tc>
        <w:tc>
          <w:tcPr>
            <w:tcW w:w="2972"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rPr>
                <w:sz w:val="22"/>
                <w:szCs w:val="22"/>
              </w:rPr>
            </w:pPr>
            <w:r w:rsidRPr="00AB15D8">
              <w:rPr>
                <w:sz w:val="22"/>
                <w:szCs w:val="22"/>
              </w:rPr>
              <w:t>Chế biến, bảo quản thịt và các sản phẩm từ thịt</w:t>
            </w:r>
          </w:p>
        </w:tc>
        <w:tc>
          <w:tcPr>
            <w:tcW w:w="704"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jc w:val="center"/>
              <w:rPr>
                <w:sz w:val="22"/>
                <w:szCs w:val="22"/>
              </w:rPr>
            </w:pPr>
            <w:r w:rsidRPr="00AB15D8">
              <w:rPr>
                <w:sz w:val="22"/>
                <w:szCs w:val="22"/>
              </w:rPr>
              <w:t>1010</w:t>
            </w:r>
          </w:p>
        </w:tc>
        <w:tc>
          <w:tcPr>
            <w:tcW w:w="935"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spacing w:line="360" w:lineRule="auto"/>
              <w:ind w:firstLine="0"/>
              <w:jc w:val="center"/>
              <w:rPr>
                <w:b/>
                <w:sz w:val="22"/>
                <w:szCs w:val="22"/>
              </w:rPr>
            </w:pPr>
          </w:p>
        </w:tc>
      </w:tr>
      <w:tr w:rsidR="008E72A2" w:rsidRPr="00AB15D8" w:rsidTr="008E72A2">
        <w:trPr>
          <w:jc w:val="right"/>
        </w:trPr>
        <w:tc>
          <w:tcPr>
            <w:tcW w:w="389"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pStyle w:val="ListParagraph"/>
              <w:numPr>
                <w:ilvl w:val="0"/>
                <w:numId w:val="4"/>
              </w:numPr>
              <w:spacing w:line="360" w:lineRule="auto"/>
              <w:contextualSpacing/>
              <w:jc w:val="center"/>
              <w:rPr>
                <w:sz w:val="22"/>
                <w:szCs w:val="22"/>
              </w:rPr>
            </w:pPr>
          </w:p>
        </w:tc>
        <w:tc>
          <w:tcPr>
            <w:tcW w:w="2972"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rPr>
                <w:sz w:val="22"/>
                <w:szCs w:val="22"/>
              </w:rPr>
            </w:pPr>
            <w:r w:rsidRPr="00AB15D8">
              <w:rPr>
                <w:sz w:val="22"/>
                <w:szCs w:val="22"/>
              </w:rPr>
              <w:t>Chế biến, bảo quản thủy sản và các sản phẩm từ thủy sản</w:t>
            </w:r>
          </w:p>
        </w:tc>
        <w:tc>
          <w:tcPr>
            <w:tcW w:w="704"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jc w:val="center"/>
              <w:rPr>
                <w:sz w:val="22"/>
                <w:szCs w:val="22"/>
              </w:rPr>
            </w:pPr>
            <w:r w:rsidRPr="00AB15D8">
              <w:rPr>
                <w:sz w:val="22"/>
                <w:szCs w:val="22"/>
              </w:rPr>
              <w:t>1020</w:t>
            </w:r>
          </w:p>
        </w:tc>
        <w:tc>
          <w:tcPr>
            <w:tcW w:w="935"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spacing w:line="360" w:lineRule="auto"/>
              <w:ind w:firstLine="0"/>
              <w:jc w:val="center"/>
              <w:rPr>
                <w:b/>
                <w:sz w:val="22"/>
                <w:szCs w:val="22"/>
              </w:rPr>
            </w:pPr>
          </w:p>
        </w:tc>
      </w:tr>
      <w:tr w:rsidR="008E72A2" w:rsidRPr="00AB15D8" w:rsidTr="008E72A2">
        <w:trPr>
          <w:jc w:val="right"/>
        </w:trPr>
        <w:tc>
          <w:tcPr>
            <w:tcW w:w="389"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pStyle w:val="ListParagraph"/>
              <w:numPr>
                <w:ilvl w:val="0"/>
                <w:numId w:val="4"/>
              </w:numPr>
              <w:spacing w:line="360" w:lineRule="auto"/>
              <w:contextualSpacing/>
              <w:jc w:val="center"/>
              <w:rPr>
                <w:sz w:val="22"/>
                <w:szCs w:val="22"/>
              </w:rPr>
            </w:pPr>
          </w:p>
        </w:tc>
        <w:tc>
          <w:tcPr>
            <w:tcW w:w="2972"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rPr>
                <w:sz w:val="22"/>
                <w:szCs w:val="22"/>
              </w:rPr>
            </w:pPr>
            <w:r w:rsidRPr="00AB15D8">
              <w:rPr>
                <w:sz w:val="22"/>
                <w:szCs w:val="22"/>
              </w:rPr>
              <w:t>Chế biến và bảo quản rau quả</w:t>
            </w:r>
          </w:p>
        </w:tc>
        <w:tc>
          <w:tcPr>
            <w:tcW w:w="704"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jc w:val="center"/>
              <w:rPr>
                <w:sz w:val="22"/>
                <w:szCs w:val="22"/>
              </w:rPr>
            </w:pPr>
            <w:r w:rsidRPr="00AB15D8">
              <w:rPr>
                <w:sz w:val="22"/>
                <w:szCs w:val="22"/>
              </w:rPr>
              <w:t>1030</w:t>
            </w:r>
          </w:p>
        </w:tc>
        <w:tc>
          <w:tcPr>
            <w:tcW w:w="935"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spacing w:line="360" w:lineRule="auto"/>
              <w:ind w:firstLine="0"/>
              <w:jc w:val="center"/>
              <w:rPr>
                <w:b/>
                <w:sz w:val="22"/>
                <w:szCs w:val="22"/>
              </w:rPr>
            </w:pPr>
          </w:p>
        </w:tc>
      </w:tr>
      <w:tr w:rsidR="008E72A2" w:rsidRPr="00AB15D8" w:rsidTr="008E72A2">
        <w:trPr>
          <w:jc w:val="right"/>
        </w:trPr>
        <w:tc>
          <w:tcPr>
            <w:tcW w:w="389"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pStyle w:val="ListParagraph"/>
              <w:numPr>
                <w:ilvl w:val="0"/>
                <w:numId w:val="4"/>
              </w:numPr>
              <w:spacing w:line="360" w:lineRule="auto"/>
              <w:contextualSpacing/>
              <w:jc w:val="center"/>
              <w:rPr>
                <w:sz w:val="22"/>
                <w:szCs w:val="22"/>
              </w:rPr>
            </w:pPr>
          </w:p>
        </w:tc>
        <w:tc>
          <w:tcPr>
            <w:tcW w:w="2972"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rPr>
                <w:sz w:val="22"/>
                <w:szCs w:val="22"/>
              </w:rPr>
            </w:pPr>
            <w:r w:rsidRPr="00AB15D8">
              <w:rPr>
                <w:sz w:val="22"/>
                <w:szCs w:val="22"/>
              </w:rPr>
              <w:t>Sản xuất tinh bột và các sản phẩm từ tinh bột</w:t>
            </w:r>
          </w:p>
        </w:tc>
        <w:tc>
          <w:tcPr>
            <w:tcW w:w="704"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jc w:val="center"/>
              <w:rPr>
                <w:sz w:val="22"/>
                <w:szCs w:val="22"/>
              </w:rPr>
            </w:pPr>
            <w:r w:rsidRPr="00AB15D8">
              <w:rPr>
                <w:sz w:val="22"/>
                <w:szCs w:val="22"/>
              </w:rPr>
              <w:t>1062</w:t>
            </w:r>
          </w:p>
        </w:tc>
        <w:tc>
          <w:tcPr>
            <w:tcW w:w="935"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spacing w:line="360" w:lineRule="auto"/>
              <w:ind w:firstLine="0"/>
              <w:jc w:val="center"/>
              <w:rPr>
                <w:b/>
                <w:sz w:val="22"/>
                <w:szCs w:val="22"/>
              </w:rPr>
            </w:pPr>
          </w:p>
        </w:tc>
      </w:tr>
      <w:tr w:rsidR="008E72A2" w:rsidRPr="00AB15D8" w:rsidTr="008E72A2">
        <w:trPr>
          <w:jc w:val="right"/>
        </w:trPr>
        <w:tc>
          <w:tcPr>
            <w:tcW w:w="389"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pStyle w:val="ListParagraph"/>
              <w:numPr>
                <w:ilvl w:val="0"/>
                <w:numId w:val="4"/>
              </w:numPr>
              <w:spacing w:line="360" w:lineRule="auto"/>
              <w:contextualSpacing/>
              <w:jc w:val="center"/>
              <w:rPr>
                <w:sz w:val="22"/>
                <w:szCs w:val="22"/>
              </w:rPr>
            </w:pPr>
          </w:p>
        </w:tc>
        <w:tc>
          <w:tcPr>
            <w:tcW w:w="2972"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rPr>
                <w:sz w:val="22"/>
                <w:szCs w:val="22"/>
              </w:rPr>
            </w:pPr>
            <w:r w:rsidRPr="00AB15D8">
              <w:rPr>
                <w:sz w:val="22"/>
                <w:szCs w:val="22"/>
              </w:rPr>
              <w:t>Sản xuất các loại bánh từ bột</w:t>
            </w:r>
          </w:p>
        </w:tc>
        <w:tc>
          <w:tcPr>
            <w:tcW w:w="704"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jc w:val="center"/>
              <w:rPr>
                <w:sz w:val="22"/>
                <w:szCs w:val="22"/>
              </w:rPr>
            </w:pPr>
            <w:r w:rsidRPr="00AB15D8">
              <w:rPr>
                <w:sz w:val="22"/>
                <w:szCs w:val="22"/>
              </w:rPr>
              <w:t>1071</w:t>
            </w:r>
          </w:p>
        </w:tc>
        <w:tc>
          <w:tcPr>
            <w:tcW w:w="935"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spacing w:line="360" w:lineRule="auto"/>
              <w:ind w:firstLine="0"/>
              <w:jc w:val="center"/>
              <w:rPr>
                <w:b/>
                <w:sz w:val="22"/>
                <w:szCs w:val="22"/>
              </w:rPr>
            </w:pPr>
          </w:p>
        </w:tc>
      </w:tr>
      <w:tr w:rsidR="008E72A2" w:rsidRPr="00AB15D8" w:rsidTr="008E72A2">
        <w:trPr>
          <w:jc w:val="right"/>
        </w:trPr>
        <w:tc>
          <w:tcPr>
            <w:tcW w:w="389"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pStyle w:val="ListParagraph"/>
              <w:numPr>
                <w:ilvl w:val="0"/>
                <w:numId w:val="4"/>
              </w:numPr>
              <w:spacing w:line="360" w:lineRule="auto"/>
              <w:contextualSpacing/>
              <w:jc w:val="center"/>
              <w:rPr>
                <w:sz w:val="22"/>
                <w:szCs w:val="22"/>
              </w:rPr>
            </w:pPr>
          </w:p>
        </w:tc>
        <w:tc>
          <w:tcPr>
            <w:tcW w:w="2972"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rPr>
                <w:sz w:val="22"/>
                <w:szCs w:val="22"/>
              </w:rPr>
            </w:pPr>
            <w:r w:rsidRPr="00AB15D8">
              <w:rPr>
                <w:sz w:val="22"/>
                <w:szCs w:val="22"/>
              </w:rPr>
              <w:t>Sản xuất mì ống, mỳ sợi và sản phẩm tương tự</w:t>
            </w:r>
          </w:p>
        </w:tc>
        <w:tc>
          <w:tcPr>
            <w:tcW w:w="704"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jc w:val="center"/>
              <w:rPr>
                <w:sz w:val="22"/>
                <w:szCs w:val="22"/>
              </w:rPr>
            </w:pPr>
            <w:r w:rsidRPr="00AB15D8">
              <w:rPr>
                <w:sz w:val="22"/>
                <w:szCs w:val="22"/>
              </w:rPr>
              <w:t>1074</w:t>
            </w:r>
          </w:p>
        </w:tc>
        <w:tc>
          <w:tcPr>
            <w:tcW w:w="935"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spacing w:line="360" w:lineRule="auto"/>
              <w:ind w:firstLine="0"/>
              <w:jc w:val="center"/>
              <w:rPr>
                <w:b/>
                <w:sz w:val="22"/>
                <w:szCs w:val="22"/>
              </w:rPr>
            </w:pPr>
          </w:p>
        </w:tc>
      </w:tr>
      <w:tr w:rsidR="008E72A2" w:rsidRPr="00AB15D8" w:rsidTr="008E72A2">
        <w:trPr>
          <w:jc w:val="right"/>
        </w:trPr>
        <w:tc>
          <w:tcPr>
            <w:tcW w:w="389"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pStyle w:val="ListParagraph"/>
              <w:numPr>
                <w:ilvl w:val="0"/>
                <w:numId w:val="4"/>
              </w:numPr>
              <w:spacing w:line="360" w:lineRule="auto"/>
              <w:contextualSpacing/>
              <w:jc w:val="center"/>
              <w:rPr>
                <w:sz w:val="22"/>
                <w:szCs w:val="22"/>
              </w:rPr>
            </w:pPr>
          </w:p>
        </w:tc>
        <w:tc>
          <w:tcPr>
            <w:tcW w:w="2972"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rPr>
                <w:sz w:val="22"/>
                <w:szCs w:val="22"/>
              </w:rPr>
            </w:pPr>
            <w:r w:rsidRPr="00AB15D8">
              <w:rPr>
                <w:sz w:val="22"/>
                <w:szCs w:val="22"/>
              </w:rPr>
              <w:t>Sản xuất thực phẩm khác chưa được phân vào đâu</w:t>
            </w:r>
            <w:r w:rsidRPr="00AB15D8">
              <w:rPr>
                <w:sz w:val="22"/>
                <w:szCs w:val="22"/>
              </w:rPr>
              <w:br/>
            </w:r>
            <w:r w:rsidRPr="00AB15D8">
              <w:rPr>
                <w:i/>
                <w:sz w:val="22"/>
                <w:szCs w:val="22"/>
              </w:rPr>
              <w:t>(Trừ loại Nhà nước cấm)</w:t>
            </w:r>
          </w:p>
        </w:tc>
        <w:tc>
          <w:tcPr>
            <w:tcW w:w="704"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jc w:val="center"/>
              <w:rPr>
                <w:sz w:val="22"/>
                <w:szCs w:val="22"/>
              </w:rPr>
            </w:pPr>
            <w:r w:rsidRPr="00AB15D8">
              <w:rPr>
                <w:sz w:val="22"/>
                <w:szCs w:val="22"/>
              </w:rPr>
              <w:t>1079</w:t>
            </w:r>
          </w:p>
        </w:tc>
        <w:tc>
          <w:tcPr>
            <w:tcW w:w="935"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spacing w:line="360" w:lineRule="auto"/>
              <w:ind w:firstLine="0"/>
              <w:jc w:val="center"/>
              <w:rPr>
                <w:b/>
                <w:sz w:val="22"/>
                <w:szCs w:val="22"/>
              </w:rPr>
            </w:pPr>
          </w:p>
        </w:tc>
      </w:tr>
      <w:tr w:rsidR="008E72A2" w:rsidRPr="00AB15D8" w:rsidTr="008E72A2">
        <w:trPr>
          <w:jc w:val="right"/>
        </w:trPr>
        <w:tc>
          <w:tcPr>
            <w:tcW w:w="389"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pStyle w:val="ListParagraph"/>
              <w:numPr>
                <w:ilvl w:val="0"/>
                <w:numId w:val="4"/>
              </w:numPr>
              <w:spacing w:line="360" w:lineRule="auto"/>
              <w:contextualSpacing/>
              <w:jc w:val="center"/>
              <w:rPr>
                <w:sz w:val="22"/>
                <w:szCs w:val="22"/>
              </w:rPr>
            </w:pPr>
          </w:p>
        </w:tc>
        <w:tc>
          <w:tcPr>
            <w:tcW w:w="2972"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rPr>
                <w:sz w:val="22"/>
                <w:szCs w:val="22"/>
              </w:rPr>
            </w:pPr>
            <w:r w:rsidRPr="00AB15D8">
              <w:rPr>
                <w:sz w:val="22"/>
                <w:szCs w:val="22"/>
              </w:rPr>
              <w:t>Sản xuất đồ uống không cồn, nước khoáng</w:t>
            </w:r>
          </w:p>
        </w:tc>
        <w:tc>
          <w:tcPr>
            <w:tcW w:w="704"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jc w:val="center"/>
              <w:rPr>
                <w:sz w:val="22"/>
                <w:szCs w:val="22"/>
              </w:rPr>
            </w:pPr>
            <w:r w:rsidRPr="00AB15D8">
              <w:rPr>
                <w:sz w:val="22"/>
                <w:szCs w:val="22"/>
              </w:rPr>
              <w:t>1105</w:t>
            </w:r>
          </w:p>
        </w:tc>
        <w:tc>
          <w:tcPr>
            <w:tcW w:w="935"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spacing w:line="360" w:lineRule="auto"/>
              <w:ind w:firstLine="0"/>
              <w:jc w:val="center"/>
              <w:rPr>
                <w:b/>
                <w:sz w:val="22"/>
                <w:szCs w:val="22"/>
              </w:rPr>
            </w:pPr>
          </w:p>
        </w:tc>
      </w:tr>
      <w:tr w:rsidR="008E72A2" w:rsidRPr="00AB15D8" w:rsidTr="008E72A2">
        <w:trPr>
          <w:jc w:val="right"/>
        </w:trPr>
        <w:tc>
          <w:tcPr>
            <w:tcW w:w="389"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pStyle w:val="ListParagraph"/>
              <w:numPr>
                <w:ilvl w:val="0"/>
                <w:numId w:val="4"/>
              </w:numPr>
              <w:spacing w:line="360" w:lineRule="auto"/>
              <w:contextualSpacing/>
              <w:jc w:val="center"/>
              <w:rPr>
                <w:sz w:val="22"/>
                <w:szCs w:val="22"/>
              </w:rPr>
            </w:pPr>
          </w:p>
        </w:tc>
        <w:tc>
          <w:tcPr>
            <w:tcW w:w="2972"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rPr>
                <w:sz w:val="22"/>
                <w:szCs w:val="22"/>
              </w:rPr>
            </w:pPr>
            <w:r w:rsidRPr="00AB15D8">
              <w:rPr>
                <w:sz w:val="22"/>
                <w:szCs w:val="22"/>
              </w:rPr>
              <w:t>Đại lý, môi giới, đấu giá hàng hóa</w:t>
            </w:r>
            <w:r w:rsidRPr="00AB15D8">
              <w:rPr>
                <w:sz w:val="22"/>
                <w:szCs w:val="22"/>
              </w:rPr>
              <w:br/>
            </w:r>
            <w:r w:rsidRPr="00AB15D8">
              <w:rPr>
                <w:i/>
                <w:sz w:val="22"/>
                <w:szCs w:val="22"/>
              </w:rPr>
              <w:t>(Trừ đấu giá hàng hóa)</w:t>
            </w:r>
          </w:p>
        </w:tc>
        <w:tc>
          <w:tcPr>
            <w:tcW w:w="704"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jc w:val="center"/>
              <w:rPr>
                <w:sz w:val="22"/>
                <w:szCs w:val="22"/>
              </w:rPr>
            </w:pPr>
            <w:r w:rsidRPr="00AB15D8">
              <w:rPr>
                <w:sz w:val="22"/>
                <w:szCs w:val="22"/>
              </w:rPr>
              <w:t>4610</w:t>
            </w:r>
          </w:p>
        </w:tc>
        <w:tc>
          <w:tcPr>
            <w:tcW w:w="935"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spacing w:line="360" w:lineRule="auto"/>
              <w:ind w:firstLine="0"/>
              <w:jc w:val="center"/>
              <w:rPr>
                <w:b/>
                <w:sz w:val="22"/>
                <w:szCs w:val="22"/>
              </w:rPr>
            </w:pPr>
          </w:p>
        </w:tc>
      </w:tr>
      <w:tr w:rsidR="008E72A2" w:rsidRPr="00AB15D8" w:rsidTr="008E72A2">
        <w:trPr>
          <w:jc w:val="right"/>
        </w:trPr>
        <w:tc>
          <w:tcPr>
            <w:tcW w:w="389"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pStyle w:val="ListParagraph"/>
              <w:numPr>
                <w:ilvl w:val="0"/>
                <w:numId w:val="4"/>
              </w:numPr>
              <w:spacing w:line="360" w:lineRule="auto"/>
              <w:contextualSpacing/>
              <w:jc w:val="center"/>
              <w:rPr>
                <w:sz w:val="22"/>
                <w:szCs w:val="22"/>
              </w:rPr>
            </w:pPr>
          </w:p>
        </w:tc>
        <w:tc>
          <w:tcPr>
            <w:tcW w:w="2972"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rPr>
                <w:rFonts w:eastAsia="Calibri"/>
                <w:color w:val="000000"/>
                <w:sz w:val="22"/>
                <w:szCs w:val="22"/>
                <w:shd w:val="clear" w:color="auto" w:fill="FFFFFF"/>
              </w:rPr>
            </w:pPr>
            <w:r w:rsidRPr="00AB15D8">
              <w:rPr>
                <w:color w:val="000000"/>
                <w:sz w:val="22"/>
                <w:szCs w:val="22"/>
                <w:shd w:val="clear" w:color="auto" w:fill="FFFFFF"/>
              </w:rPr>
              <w:t>Bán buôn nông, lâm sản nguyên liệu (trừ gỗ, tre, nứa) và động vật sống</w:t>
            </w:r>
          </w:p>
          <w:p w:rsidR="008E72A2" w:rsidRPr="00AB15D8" w:rsidRDefault="008E72A2" w:rsidP="00AB15D8">
            <w:pPr>
              <w:spacing w:line="360" w:lineRule="auto"/>
              <w:ind w:firstLine="0"/>
              <w:rPr>
                <w:sz w:val="22"/>
                <w:szCs w:val="22"/>
              </w:rPr>
            </w:pPr>
            <w:r w:rsidRPr="00AB15D8">
              <w:rPr>
                <w:i/>
                <w:sz w:val="22"/>
                <w:szCs w:val="22"/>
              </w:rPr>
              <w:t>(Trừ hoạt động đấu giá)</w:t>
            </w:r>
          </w:p>
        </w:tc>
        <w:tc>
          <w:tcPr>
            <w:tcW w:w="704"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jc w:val="center"/>
              <w:rPr>
                <w:sz w:val="22"/>
                <w:szCs w:val="22"/>
              </w:rPr>
            </w:pPr>
            <w:r w:rsidRPr="00AB15D8">
              <w:rPr>
                <w:sz w:val="22"/>
                <w:szCs w:val="22"/>
              </w:rPr>
              <w:t>4620</w:t>
            </w:r>
          </w:p>
        </w:tc>
        <w:tc>
          <w:tcPr>
            <w:tcW w:w="935"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spacing w:line="360" w:lineRule="auto"/>
              <w:ind w:firstLine="0"/>
              <w:jc w:val="center"/>
              <w:rPr>
                <w:b/>
                <w:sz w:val="22"/>
                <w:szCs w:val="22"/>
              </w:rPr>
            </w:pPr>
          </w:p>
        </w:tc>
      </w:tr>
      <w:tr w:rsidR="008E72A2" w:rsidRPr="00AB15D8" w:rsidTr="008E72A2">
        <w:trPr>
          <w:jc w:val="right"/>
        </w:trPr>
        <w:tc>
          <w:tcPr>
            <w:tcW w:w="389"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pStyle w:val="ListParagraph"/>
              <w:numPr>
                <w:ilvl w:val="0"/>
                <w:numId w:val="4"/>
              </w:numPr>
              <w:spacing w:line="360" w:lineRule="auto"/>
              <w:contextualSpacing/>
              <w:jc w:val="center"/>
              <w:rPr>
                <w:sz w:val="22"/>
                <w:szCs w:val="22"/>
              </w:rPr>
            </w:pPr>
          </w:p>
        </w:tc>
        <w:tc>
          <w:tcPr>
            <w:tcW w:w="2972"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rPr>
                <w:sz w:val="22"/>
                <w:szCs w:val="22"/>
              </w:rPr>
            </w:pPr>
            <w:r w:rsidRPr="00AB15D8">
              <w:rPr>
                <w:sz w:val="22"/>
                <w:szCs w:val="22"/>
              </w:rPr>
              <w:t>Bán buôn thực phẩm</w:t>
            </w:r>
          </w:p>
        </w:tc>
        <w:tc>
          <w:tcPr>
            <w:tcW w:w="704"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jc w:val="center"/>
              <w:rPr>
                <w:sz w:val="22"/>
                <w:szCs w:val="22"/>
              </w:rPr>
            </w:pPr>
            <w:r w:rsidRPr="00AB15D8">
              <w:rPr>
                <w:sz w:val="22"/>
                <w:szCs w:val="22"/>
              </w:rPr>
              <w:t>4632</w:t>
            </w:r>
          </w:p>
        </w:tc>
        <w:tc>
          <w:tcPr>
            <w:tcW w:w="935"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spacing w:line="360" w:lineRule="auto"/>
              <w:ind w:firstLine="0"/>
              <w:jc w:val="center"/>
              <w:rPr>
                <w:b/>
                <w:sz w:val="22"/>
                <w:szCs w:val="22"/>
              </w:rPr>
            </w:pPr>
          </w:p>
        </w:tc>
      </w:tr>
      <w:tr w:rsidR="008E72A2" w:rsidRPr="00AB15D8" w:rsidTr="008E72A2">
        <w:trPr>
          <w:jc w:val="right"/>
        </w:trPr>
        <w:tc>
          <w:tcPr>
            <w:tcW w:w="389"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pStyle w:val="ListParagraph"/>
              <w:numPr>
                <w:ilvl w:val="0"/>
                <w:numId w:val="4"/>
              </w:numPr>
              <w:spacing w:line="360" w:lineRule="auto"/>
              <w:contextualSpacing/>
              <w:jc w:val="center"/>
              <w:rPr>
                <w:sz w:val="22"/>
                <w:szCs w:val="22"/>
              </w:rPr>
            </w:pPr>
          </w:p>
        </w:tc>
        <w:tc>
          <w:tcPr>
            <w:tcW w:w="2972"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rPr>
                <w:sz w:val="22"/>
                <w:szCs w:val="22"/>
              </w:rPr>
            </w:pPr>
            <w:r w:rsidRPr="00AB15D8">
              <w:rPr>
                <w:sz w:val="22"/>
                <w:szCs w:val="22"/>
              </w:rPr>
              <w:t>Bán buôn đồ uống</w:t>
            </w:r>
          </w:p>
        </w:tc>
        <w:tc>
          <w:tcPr>
            <w:tcW w:w="704"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jc w:val="center"/>
              <w:rPr>
                <w:sz w:val="22"/>
                <w:szCs w:val="22"/>
              </w:rPr>
            </w:pPr>
            <w:r w:rsidRPr="00AB15D8">
              <w:rPr>
                <w:sz w:val="22"/>
                <w:szCs w:val="22"/>
              </w:rPr>
              <w:t>4633</w:t>
            </w:r>
          </w:p>
        </w:tc>
        <w:tc>
          <w:tcPr>
            <w:tcW w:w="935"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spacing w:line="360" w:lineRule="auto"/>
              <w:ind w:firstLine="0"/>
              <w:jc w:val="center"/>
              <w:rPr>
                <w:b/>
                <w:sz w:val="22"/>
                <w:szCs w:val="22"/>
              </w:rPr>
            </w:pPr>
          </w:p>
        </w:tc>
      </w:tr>
      <w:tr w:rsidR="008E72A2" w:rsidRPr="00AB15D8" w:rsidTr="008E72A2">
        <w:trPr>
          <w:jc w:val="right"/>
        </w:trPr>
        <w:tc>
          <w:tcPr>
            <w:tcW w:w="389"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pStyle w:val="ListParagraph"/>
              <w:numPr>
                <w:ilvl w:val="0"/>
                <w:numId w:val="4"/>
              </w:numPr>
              <w:spacing w:line="360" w:lineRule="auto"/>
              <w:contextualSpacing/>
              <w:rPr>
                <w:sz w:val="22"/>
                <w:szCs w:val="22"/>
              </w:rPr>
            </w:pPr>
          </w:p>
        </w:tc>
        <w:tc>
          <w:tcPr>
            <w:tcW w:w="2972"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rPr>
                <w:sz w:val="22"/>
                <w:szCs w:val="22"/>
              </w:rPr>
            </w:pPr>
            <w:r w:rsidRPr="00AB15D8">
              <w:rPr>
                <w:sz w:val="22"/>
                <w:szCs w:val="22"/>
              </w:rPr>
              <w:t>Bán buôn đồ dùng khác cho gia đình</w:t>
            </w:r>
            <w:r w:rsidRPr="00AB15D8">
              <w:rPr>
                <w:sz w:val="22"/>
                <w:szCs w:val="22"/>
              </w:rPr>
              <w:br/>
            </w:r>
            <w:r w:rsidRPr="00AB15D8">
              <w:rPr>
                <w:i/>
                <w:sz w:val="22"/>
                <w:szCs w:val="22"/>
              </w:rPr>
              <w:t>(Trừ bán buôn dược phẩm)</w:t>
            </w:r>
          </w:p>
        </w:tc>
        <w:tc>
          <w:tcPr>
            <w:tcW w:w="704"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jc w:val="center"/>
              <w:rPr>
                <w:sz w:val="22"/>
                <w:szCs w:val="22"/>
              </w:rPr>
            </w:pPr>
            <w:r w:rsidRPr="00AB15D8">
              <w:rPr>
                <w:sz w:val="22"/>
                <w:szCs w:val="22"/>
              </w:rPr>
              <w:t>4649</w:t>
            </w:r>
          </w:p>
        </w:tc>
        <w:tc>
          <w:tcPr>
            <w:tcW w:w="935"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spacing w:line="360" w:lineRule="auto"/>
              <w:ind w:firstLine="0"/>
              <w:jc w:val="center"/>
              <w:rPr>
                <w:b/>
                <w:sz w:val="22"/>
                <w:szCs w:val="22"/>
              </w:rPr>
            </w:pPr>
          </w:p>
        </w:tc>
      </w:tr>
      <w:tr w:rsidR="008E72A2" w:rsidRPr="00AB15D8" w:rsidTr="008E72A2">
        <w:trPr>
          <w:jc w:val="right"/>
        </w:trPr>
        <w:tc>
          <w:tcPr>
            <w:tcW w:w="389"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pStyle w:val="ListParagraph"/>
              <w:numPr>
                <w:ilvl w:val="0"/>
                <w:numId w:val="4"/>
              </w:numPr>
              <w:spacing w:line="360" w:lineRule="auto"/>
              <w:contextualSpacing/>
              <w:jc w:val="center"/>
              <w:rPr>
                <w:sz w:val="22"/>
                <w:szCs w:val="22"/>
              </w:rPr>
            </w:pPr>
          </w:p>
        </w:tc>
        <w:tc>
          <w:tcPr>
            <w:tcW w:w="2972"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rPr>
                <w:sz w:val="22"/>
                <w:szCs w:val="22"/>
                <w:lang w:val="vi-VN"/>
              </w:rPr>
            </w:pPr>
            <w:r w:rsidRPr="00AB15D8">
              <w:rPr>
                <w:sz w:val="22"/>
                <w:szCs w:val="22"/>
              </w:rPr>
              <w:t>Bán buôn chuyên doanh khác chưa được phân vào đâu</w:t>
            </w:r>
            <w:r w:rsidRPr="00AB15D8">
              <w:rPr>
                <w:sz w:val="22"/>
                <w:szCs w:val="22"/>
              </w:rPr>
              <w:br/>
            </w:r>
            <w:r w:rsidRPr="00AB15D8">
              <w:rPr>
                <w:i/>
                <w:sz w:val="22"/>
                <w:szCs w:val="22"/>
              </w:rPr>
              <w:t>(Trừ bán buôn hóa chất, khí dầu mỏ hóa lỏng LPG, dầu nhớt cặn, vàng miếng, súng, đạn loại dùng đi săn hoặc thể thao và tiền kim khí; trừ buôn bán chất tại trụ sở)</w:t>
            </w:r>
            <w:r w:rsidRPr="00AB15D8">
              <w:rPr>
                <w:i/>
                <w:sz w:val="22"/>
                <w:szCs w:val="22"/>
                <w:lang w:val="vi-VN"/>
              </w:rPr>
              <w:t xml:space="preserve"> (Trừ đấu giá hàng hóa)</w:t>
            </w:r>
          </w:p>
        </w:tc>
        <w:tc>
          <w:tcPr>
            <w:tcW w:w="704"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jc w:val="center"/>
              <w:rPr>
                <w:sz w:val="22"/>
                <w:szCs w:val="22"/>
              </w:rPr>
            </w:pPr>
            <w:r w:rsidRPr="00AB15D8">
              <w:rPr>
                <w:sz w:val="22"/>
                <w:szCs w:val="22"/>
              </w:rPr>
              <w:t>4679</w:t>
            </w:r>
          </w:p>
        </w:tc>
        <w:tc>
          <w:tcPr>
            <w:tcW w:w="935"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spacing w:line="360" w:lineRule="auto"/>
              <w:ind w:firstLine="0"/>
              <w:jc w:val="center"/>
              <w:rPr>
                <w:b/>
                <w:sz w:val="22"/>
                <w:szCs w:val="22"/>
              </w:rPr>
            </w:pPr>
          </w:p>
        </w:tc>
      </w:tr>
      <w:tr w:rsidR="008E72A2" w:rsidRPr="00AB15D8" w:rsidTr="008E72A2">
        <w:trPr>
          <w:jc w:val="right"/>
        </w:trPr>
        <w:tc>
          <w:tcPr>
            <w:tcW w:w="389"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pStyle w:val="ListParagraph"/>
              <w:numPr>
                <w:ilvl w:val="0"/>
                <w:numId w:val="4"/>
              </w:numPr>
              <w:spacing w:line="360" w:lineRule="auto"/>
              <w:contextualSpacing/>
              <w:jc w:val="center"/>
              <w:rPr>
                <w:sz w:val="22"/>
                <w:szCs w:val="22"/>
              </w:rPr>
            </w:pPr>
          </w:p>
        </w:tc>
        <w:tc>
          <w:tcPr>
            <w:tcW w:w="2972"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rPr>
                <w:sz w:val="22"/>
                <w:szCs w:val="22"/>
              </w:rPr>
            </w:pPr>
            <w:r w:rsidRPr="00AB15D8">
              <w:rPr>
                <w:sz w:val="22"/>
                <w:szCs w:val="22"/>
              </w:rPr>
              <w:t>Bán buôn tổng hợp</w:t>
            </w:r>
            <w:r w:rsidRPr="00AB15D8">
              <w:rPr>
                <w:sz w:val="22"/>
                <w:szCs w:val="22"/>
              </w:rPr>
              <w:br/>
            </w:r>
            <w:r w:rsidRPr="00AB15D8">
              <w:rPr>
                <w:i/>
                <w:sz w:val="22"/>
                <w:szCs w:val="22"/>
              </w:rPr>
              <w:t>(Trừ hoạt động đấu giá)</w:t>
            </w:r>
          </w:p>
        </w:tc>
        <w:tc>
          <w:tcPr>
            <w:tcW w:w="704"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jc w:val="center"/>
              <w:rPr>
                <w:sz w:val="22"/>
                <w:szCs w:val="22"/>
              </w:rPr>
            </w:pPr>
            <w:r w:rsidRPr="00AB15D8">
              <w:rPr>
                <w:sz w:val="22"/>
                <w:szCs w:val="22"/>
              </w:rPr>
              <w:t>4690</w:t>
            </w:r>
          </w:p>
        </w:tc>
        <w:tc>
          <w:tcPr>
            <w:tcW w:w="935"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spacing w:line="360" w:lineRule="auto"/>
              <w:ind w:firstLine="0"/>
              <w:jc w:val="center"/>
              <w:rPr>
                <w:b/>
                <w:sz w:val="22"/>
                <w:szCs w:val="22"/>
              </w:rPr>
            </w:pPr>
          </w:p>
        </w:tc>
      </w:tr>
      <w:tr w:rsidR="008E72A2" w:rsidRPr="00AB15D8" w:rsidTr="008E72A2">
        <w:trPr>
          <w:jc w:val="right"/>
        </w:trPr>
        <w:tc>
          <w:tcPr>
            <w:tcW w:w="389"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pStyle w:val="ListParagraph"/>
              <w:numPr>
                <w:ilvl w:val="0"/>
                <w:numId w:val="4"/>
              </w:numPr>
              <w:spacing w:line="360" w:lineRule="auto"/>
              <w:contextualSpacing/>
              <w:jc w:val="center"/>
              <w:rPr>
                <w:sz w:val="22"/>
                <w:szCs w:val="22"/>
              </w:rPr>
            </w:pPr>
          </w:p>
        </w:tc>
        <w:tc>
          <w:tcPr>
            <w:tcW w:w="2972"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rPr>
                <w:sz w:val="22"/>
                <w:szCs w:val="22"/>
              </w:rPr>
            </w:pPr>
            <w:r w:rsidRPr="00AB15D8">
              <w:rPr>
                <w:sz w:val="22"/>
                <w:szCs w:val="22"/>
              </w:rPr>
              <w:t>Bán lẻ tổng hợp với lương thực, thực phẩm, đồ uống, thuốc lá, thuốc lào chiếm tỷ trọng lớn</w:t>
            </w:r>
          </w:p>
        </w:tc>
        <w:tc>
          <w:tcPr>
            <w:tcW w:w="704"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jc w:val="center"/>
              <w:rPr>
                <w:sz w:val="22"/>
                <w:szCs w:val="22"/>
              </w:rPr>
            </w:pPr>
            <w:r w:rsidRPr="00AB15D8">
              <w:rPr>
                <w:sz w:val="22"/>
                <w:szCs w:val="22"/>
              </w:rPr>
              <w:t>4711</w:t>
            </w:r>
          </w:p>
        </w:tc>
        <w:tc>
          <w:tcPr>
            <w:tcW w:w="935"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spacing w:line="360" w:lineRule="auto"/>
              <w:ind w:firstLine="0"/>
              <w:jc w:val="center"/>
              <w:rPr>
                <w:b/>
                <w:sz w:val="22"/>
                <w:szCs w:val="22"/>
              </w:rPr>
            </w:pPr>
          </w:p>
        </w:tc>
      </w:tr>
      <w:tr w:rsidR="008E72A2" w:rsidRPr="00AB15D8" w:rsidTr="008E72A2">
        <w:trPr>
          <w:jc w:val="right"/>
        </w:trPr>
        <w:tc>
          <w:tcPr>
            <w:tcW w:w="389"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pStyle w:val="ListParagraph"/>
              <w:numPr>
                <w:ilvl w:val="0"/>
                <w:numId w:val="4"/>
              </w:numPr>
              <w:spacing w:line="360" w:lineRule="auto"/>
              <w:contextualSpacing/>
              <w:jc w:val="center"/>
              <w:rPr>
                <w:sz w:val="22"/>
                <w:szCs w:val="22"/>
              </w:rPr>
            </w:pPr>
          </w:p>
        </w:tc>
        <w:tc>
          <w:tcPr>
            <w:tcW w:w="2972"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rPr>
                <w:sz w:val="22"/>
                <w:szCs w:val="22"/>
              </w:rPr>
            </w:pPr>
            <w:r w:rsidRPr="00AB15D8">
              <w:rPr>
                <w:sz w:val="22"/>
                <w:szCs w:val="22"/>
              </w:rPr>
              <w:t>Bán lẻ tổng hợp khác</w:t>
            </w:r>
            <w:r w:rsidRPr="00AB15D8">
              <w:rPr>
                <w:sz w:val="22"/>
                <w:szCs w:val="22"/>
              </w:rPr>
              <w:br/>
            </w:r>
            <w:r w:rsidRPr="00AB15D8">
              <w:rPr>
                <w:i/>
                <w:sz w:val="22"/>
                <w:szCs w:val="22"/>
              </w:rPr>
              <w:t>(Trừ đấu giá hàng hoá)</w:t>
            </w:r>
          </w:p>
        </w:tc>
        <w:tc>
          <w:tcPr>
            <w:tcW w:w="704"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jc w:val="center"/>
              <w:rPr>
                <w:sz w:val="22"/>
                <w:szCs w:val="22"/>
              </w:rPr>
            </w:pPr>
            <w:r w:rsidRPr="00AB15D8">
              <w:rPr>
                <w:sz w:val="22"/>
                <w:szCs w:val="22"/>
              </w:rPr>
              <w:t>4719</w:t>
            </w:r>
          </w:p>
        </w:tc>
        <w:tc>
          <w:tcPr>
            <w:tcW w:w="935"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spacing w:line="360" w:lineRule="auto"/>
              <w:ind w:firstLine="0"/>
              <w:jc w:val="center"/>
              <w:rPr>
                <w:b/>
                <w:sz w:val="22"/>
                <w:szCs w:val="22"/>
              </w:rPr>
            </w:pPr>
          </w:p>
        </w:tc>
      </w:tr>
      <w:tr w:rsidR="008E72A2" w:rsidRPr="00AB15D8" w:rsidTr="008E72A2">
        <w:trPr>
          <w:jc w:val="right"/>
        </w:trPr>
        <w:tc>
          <w:tcPr>
            <w:tcW w:w="389"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pStyle w:val="ListParagraph"/>
              <w:numPr>
                <w:ilvl w:val="0"/>
                <w:numId w:val="4"/>
              </w:numPr>
              <w:spacing w:line="360" w:lineRule="auto"/>
              <w:contextualSpacing/>
              <w:jc w:val="center"/>
              <w:rPr>
                <w:sz w:val="22"/>
                <w:szCs w:val="22"/>
              </w:rPr>
            </w:pPr>
          </w:p>
        </w:tc>
        <w:tc>
          <w:tcPr>
            <w:tcW w:w="2972"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rPr>
                <w:sz w:val="22"/>
                <w:szCs w:val="22"/>
              </w:rPr>
            </w:pPr>
            <w:r w:rsidRPr="00AB15D8">
              <w:rPr>
                <w:sz w:val="22"/>
                <w:szCs w:val="22"/>
              </w:rPr>
              <w:t>Bán lẻ lương thực</w:t>
            </w:r>
          </w:p>
        </w:tc>
        <w:tc>
          <w:tcPr>
            <w:tcW w:w="704"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jc w:val="center"/>
              <w:rPr>
                <w:sz w:val="22"/>
                <w:szCs w:val="22"/>
              </w:rPr>
            </w:pPr>
            <w:r w:rsidRPr="00AB15D8">
              <w:rPr>
                <w:sz w:val="22"/>
                <w:szCs w:val="22"/>
              </w:rPr>
              <w:t>4721</w:t>
            </w:r>
          </w:p>
        </w:tc>
        <w:tc>
          <w:tcPr>
            <w:tcW w:w="935"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spacing w:line="360" w:lineRule="auto"/>
              <w:ind w:firstLine="0"/>
              <w:jc w:val="center"/>
              <w:rPr>
                <w:b/>
                <w:sz w:val="22"/>
                <w:szCs w:val="22"/>
              </w:rPr>
            </w:pPr>
          </w:p>
        </w:tc>
      </w:tr>
      <w:tr w:rsidR="008E72A2" w:rsidRPr="00AB15D8" w:rsidTr="008E72A2">
        <w:trPr>
          <w:jc w:val="right"/>
        </w:trPr>
        <w:tc>
          <w:tcPr>
            <w:tcW w:w="389"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pStyle w:val="ListParagraph"/>
              <w:numPr>
                <w:ilvl w:val="0"/>
                <w:numId w:val="4"/>
              </w:numPr>
              <w:spacing w:line="360" w:lineRule="auto"/>
              <w:contextualSpacing/>
              <w:jc w:val="center"/>
              <w:rPr>
                <w:sz w:val="22"/>
                <w:szCs w:val="22"/>
              </w:rPr>
            </w:pPr>
          </w:p>
        </w:tc>
        <w:tc>
          <w:tcPr>
            <w:tcW w:w="2972"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rPr>
                <w:sz w:val="22"/>
                <w:szCs w:val="22"/>
              </w:rPr>
            </w:pPr>
            <w:r w:rsidRPr="00AB15D8">
              <w:rPr>
                <w:sz w:val="22"/>
                <w:szCs w:val="22"/>
              </w:rPr>
              <w:t>Bán lẻ thực phẩm</w:t>
            </w:r>
          </w:p>
        </w:tc>
        <w:tc>
          <w:tcPr>
            <w:tcW w:w="704"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jc w:val="center"/>
              <w:rPr>
                <w:sz w:val="22"/>
                <w:szCs w:val="22"/>
              </w:rPr>
            </w:pPr>
            <w:r w:rsidRPr="00AB15D8">
              <w:rPr>
                <w:sz w:val="22"/>
                <w:szCs w:val="22"/>
              </w:rPr>
              <w:t>4722</w:t>
            </w:r>
          </w:p>
        </w:tc>
        <w:tc>
          <w:tcPr>
            <w:tcW w:w="935"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spacing w:line="360" w:lineRule="auto"/>
              <w:ind w:firstLine="0"/>
              <w:jc w:val="center"/>
              <w:rPr>
                <w:b/>
                <w:sz w:val="22"/>
                <w:szCs w:val="22"/>
              </w:rPr>
            </w:pPr>
          </w:p>
        </w:tc>
      </w:tr>
      <w:tr w:rsidR="008E72A2" w:rsidRPr="00AB15D8" w:rsidTr="008E72A2">
        <w:trPr>
          <w:jc w:val="right"/>
        </w:trPr>
        <w:tc>
          <w:tcPr>
            <w:tcW w:w="389"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pStyle w:val="ListParagraph"/>
              <w:numPr>
                <w:ilvl w:val="0"/>
                <w:numId w:val="4"/>
              </w:numPr>
              <w:spacing w:line="360" w:lineRule="auto"/>
              <w:contextualSpacing/>
              <w:jc w:val="center"/>
              <w:rPr>
                <w:sz w:val="22"/>
                <w:szCs w:val="22"/>
              </w:rPr>
            </w:pPr>
          </w:p>
        </w:tc>
        <w:tc>
          <w:tcPr>
            <w:tcW w:w="2972"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rPr>
                <w:sz w:val="22"/>
                <w:szCs w:val="22"/>
              </w:rPr>
            </w:pPr>
            <w:r w:rsidRPr="00AB15D8">
              <w:rPr>
                <w:sz w:val="22"/>
                <w:szCs w:val="22"/>
              </w:rPr>
              <w:t>Bán lẻ đồ uống</w:t>
            </w:r>
          </w:p>
        </w:tc>
        <w:tc>
          <w:tcPr>
            <w:tcW w:w="704"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jc w:val="center"/>
              <w:rPr>
                <w:sz w:val="22"/>
                <w:szCs w:val="22"/>
              </w:rPr>
            </w:pPr>
            <w:r w:rsidRPr="00AB15D8">
              <w:rPr>
                <w:sz w:val="22"/>
                <w:szCs w:val="22"/>
              </w:rPr>
              <w:t>4723</w:t>
            </w:r>
          </w:p>
        </w:tc>
        <w:tc>
          <w:tcPr>
            <w:tcW w:w="935"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spacing w:line="360" w:lineRule="auto"/>
              <w:ind w:firstLine="0"/>
              <w:jc w:val="center"/>
              <w:rPr>
                <w:b/>
                <w:sz w:val="22"/>
                <w:szCs w:val="22"/>
              </w:rPr>
            </w:pPr>
          </w:p>
        </w:tc>
      </w:tr>
      <w:tr w:rsidR="008E72A2" w:rsidRPr="00AB15D8" w:rsidTr="008E72A2">
        <w:trPr>
          <w:jc w:val="right"/>
        </w:trPr>
        <w:tc>
          <w:tcPr>
            <w:tcW w:w="389"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pStyle w:val="ListParagraph"/>
              <w:numPr>
                <w:ilvl w:val="0"/>
                <w:numId w:val="4"/>
              </w:numPr>
              <w:spacing w:line="360" w:lineRule="auto"/>
              <w:contextualSpacing/>
              <w:jc w:val="center"/>
              <w:rPr>
                <w:sz w:val="22"/>
                <w:szCs w:val="22"/>
              </w:rPr>
            </w:pPr>
          </w:p>
        </w:tc>
        <w:tc>
          <w:tcPr>
            <w:tcW w:w="2972"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rPr>
                <w:rFonts w:eastAsia="Calibri"/>
                <w:color w:val="000000"/>
                <w:sz w:val="22"/>
                <w:szCs w:val="22"/>
                <w:shd w:val="clear" w:color="auto" w:fill="FFFFFF"/>
              </w:rPr>
            </w:pPr>
            <w:r w:rsidRPr="00AB15D8">
              <w:rPr>
                <w:color w:val="000000"/>
                <w:sz w:val="22"/>
                <w:szCs w:val="22"/>
                <w:shd w:val="clear" w:color="auto" w:fill="FFFFFF"/>
              </w:rPr>
              <w:t>Hoạt động dịch vụ trung gian bán lẻ</w:t>
            </w:r>
          </w:p>
          <w:p w:rsidR="008E72A2" w:rsidRPr="00AB15D8" w:rsidRDefault="008E72A2" w:rsidP="00AB15D8">
            <w:pPr>
              <w:spacing w:line="360" w:lineRule="auto"/>
              <w:ind w:firstLine="0"/>
              <w:rPr>
                <w:sz w:val="22"/>
                <w:szCs w:val="22"/>
              </w:rPr>
            </w:pPr>
            <w:r w:rsidRPr="00AB15D8">
              <w:rPr>
                <w:i/>
                <w:sz w:val="22"/>
                <w:szCs w:val="22"/>
              </w:rPr>
              <w:t>(Trừ hoạt động đấu giá)</w:t>
            </w:r>
          </w:p>
        </w:tc>
        <w:tc>
          <w:tcPr>
            <w:tcW w:w="704"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jc w:val="center"/>
              <w:rPr>
                <w:sz w:val="22"/>
                <w:szCs w:val="22"/>
              </w:rPr>
            </w:pPr>
            <w:r w:rsidRPr="00AB15D8">
              <w:rPr>
                <w:sz w:val="22"/>
                <w:szCs w:val="22"/>
              </w:rPr>
              <w:t>4790</w:t>
            </w:r>
          </w:p>
        </w:tc>
        <w:tc>
          <w:tcPr>
            <w:tcW w:w="935"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spacing w:line="360" w:lineRule="auto"/>
              <w:ind w:firstLine="0"/>
              <w:jc w:val="center"/>
              <w:rPr>
                <w:b/>
                <w:sz w:val="22"/>
                <w:szCs w:val="22"/>
              </w:rPr>
            </w:pPr>
          </w:p>
        </w:tc>
      </w:tr>
      <w:tr w:rsidR="008E72A2" w:rsidRPr="00AB15D8" w:rsidTr="008E72A2">
        <w:trPr>
          <w:jc w:val="right"/>
        </w:trPr>
        <w:tc>
          <w:tcPr>
            <w:tcW w:w="389"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pStyle w:val="ListParagraph"/>
              <w:numPr>
                <w:ilvl w:val="0"/>
                <w:numId w:val="4"/>
              </w:numPr>
              <w:spacing w:line="360" w:lineRule="auto"/>
              <w:contextualSpacing/>
              <w:jc w:val="center"/>
              <w:rPr>
                <w:sz w:val="22"/>
                <w:szCs w:val="22"/>
              </w:rPr>
            </w:pPr>
          </w:p>
        </w:tc>
        <w:tc>
          <w:tcPr>
            <w:tcW w:w="2972"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rPr>
                <w:sz w:val="22"/>
                <w:szCs w:val="22"/>
              </w:rPr>
            </w:pPr>
            <w:r w:rsidRPr="00AB15D8">
              <w:rPr>
                <w:sz w:val="22"/>
                <w:szCs w:val="22"/>
              </w:rPr>
              <w:t>Nhà hàng và các dịch vụ ăn uống phục vụ lưu động</w:t>
            </w:r>
            <w:r w:rsidRPr="00AB15D8">
              <w:rPr>
                <w:sz w:val="22"/>
                <w:szCs w:val="22"/>
              </w:rPr>
              <w:br/>
            </w:r>
            <w:r w:rsidRPr="00AB15D8">
              <w:rPr>
                <w:i/>
                <w:sz w:val="22"/>
                <w:szCs w:val="22"/>
              </w:rPr>
              <w:t>(Không bao gồm kinh doanh quán bar, phòng hát karaoke, vũ trường)</w:t>
            </w:r>
          </w:p>
        </w:tc>
        <w:tc>
          <w:tcPr>
            <w:tcW w:w="704"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jc w:val="center"/>
              <w:rPr>
                <w:sz w:val="22"/>
                <w:szCs w:val="22"/>
              </w:rPr>
            </w:pPr>
            <w:r w:rsidRPr="00AB15D8">
              <w:rPr>
                <w:sz w:val="22"/>
                <w:szCs w:val="22"/>
              </w:rPr>
              <w:t>5610</w:t>
            </w:r>
          </w:p>
        </w:tc>
        <w:tc>
          <w:tcPr>
            <w:tcW w:w="935"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jc w:val="center"/>
              <w:rPr>
                <w:b/>
                <w:sz w:val="22"/>
                <w:szCs w:val="22"/>
              </w:rPr>
            </w:pPr>
            <w:r w:rsidRPr="00AB15D8">
              <w:rPr>
                <w:sz w:val="22"/>
                <w:szCs w:val="22"/>
              </w:rPr>
              <w:t>X</w:t>
            </w:r>
          </w:p>
        </w:tc>
      </w:tr>
      <w:tr w:rsidR="008E72A2" w:rsidRPr="00AB15D8" w:rsidTr="008E72A2">
        <w:trPr>
          <w:jc w:val="right"/>
        </w:trPr>
        <w:tc>
          <w:tcPr>
            <w:tcW w:w="389"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pStyle w:val="ListParagraph"/>
              <w:numPr>
                <w:ilvl w:val="0"/>
                <w:numId w:val="4"/>
              </w:numPr>
              <w:spacing w:line="360" w:lineRule="auto"/>
              <w:contextualSpacing/>
              <w:jc w:val="center"/>
              <w:rPr>
                <w:sz w:val="22"/>
                <w:szCs w:val="22"/>
              </w:rPr>
            </w:pPr>
          </w:p>
        </w:tc>
        <w:tc>
          <w:tcPr>
            <w:tcW w:w="2972"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rPr>
                <w:sz w:val="22"/>
                <w:szCs w:val="22"/>
              </w:rPr>
            </w:pPr>
            <w:r w:rsidRPr="00AB15D8">
              <w:rPr>
                <w:sz w:val="22"/>
                <w:szCs w:val="22"/>
              </w:rPr>
              <w:t>Cung cấp dịch vụ ăn uống theo hợp đồng không thường xuyên với khách hàng</w:t>
            </w:r>
            <w:r w:rsidRPr="00AB15D8">
              <w:rPr>
                <w:sz w:val="22"/>
                <w:szCs w:val="22"/>
              </w:rPr>
              <w:br/>
            </w:r>
            <w:r w:rsidRPr="00AB15D8">
              <w:rPr>
                <w:i/>
                <w:sz w:val="22"/>
                <w:szCs w:val="22"/>
              </w:rPr>
              <w:t>(Không bao gồm kinh doanh quán bar, karaoke, vũ trường)</w:t>
            </w:r>
          </w:p>
        </w:tc>
        <w:tc>
          <w:tcPr>
            <w:tcW w:w="704"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jc w:val="center"/>
              <w:rPr>
                <w:sz w:val="22"/>
                <w:szCs w:val="22"/>
              </w:rPr>
            </w:pPr>
            <w:r w:rsidRPr="00AB15D8">
              <w:rPr>
                <w:sz w:val="22"/>
                <w:szCs w:val="22"/>
              </w:rPr>
              <w:t>5621</w:t>
            </w:r>
          </w:p>
        </w:tc>
        <w:tc>
          <w:tcPr>
            <w:tcW w:w="935"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spacing w:line="360" w:lineRule="auto"/>
              <w:ind w:firstLine="0"/>
              <w:jc w:val="center"/>
              <w:rPr>
                <w:b/>
                <w:sz w:val="22"/>
                <w:szCs w:val="22"/>
              </w:rPr>
            </w:pPr>
          </w:p>
        </w:tc>
      </w:tr>
      <w:tr w:rsidR="008E72A2" w:rsidRPr="00AB15D8" w:rsidTr="008E72A2">
        <w:trPr>
          <w:jc w:val="right"/>
        </w:trPr>
        <w:tc>
          <w:tcPr>
            <w:tcW w:w="389"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pStyle w:val="ListParagraph"/>
              <w:numPr>
                <w:ilvl w:val="0"/>
                <w:numId w:val="4"/>
              </w:numPr>
              <w:spacing w:line="360" w:lineRule="auto"/>
              <w:contextualSpacing/>
              <w:jc w:val="center"/>
              <w:rPr>
                <w:sz w:val="22"/>
                <w:szCs w:val="22"/>
              </w:rPr>
            </w:pPr>
          </w:p>
        </w:tc>
        <w:tc>
          <w:tcPr>
            <w:tcW w:w="2972"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rPr>
                <w:sz w:val="22"/>
                <w:szCs w:val="22"/>
              </w:rPr>
            </w:pPr>
            <w:r w:rsidRPr="00AB15D8">
              <w:rPr>
                <w:sz w:val="22"/>
                <w:szCs w:val="22"/>
              </w:rPr>
              <w:t>Dịch vụ ăn uống khác</w:t>
            </w:r>
            <w:r w:rsidRPr="00AB15D8">
              <w:rPr>
                <w:sz w:val="22"/>
                <w:szCs w:val="22"/>
              </w:rPr>
              <w:br/>
            </w:r>
            <w:r w:rsidRPr="00AB15D8">
              <w:rPr>
                <w:i/>
                <w:sz w:val="22"/>
                <w:szCs w:val="22"/>
              </w:rPr>
              <w:t>(Trừ cung cấp suất ăn hàng không)</w:t>
            </w:r>
          </w:p>
        </w:tc>
        <w:tc>
          <w:tcPr>
            <w:tcW w:w="704"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jc w:val="center"/>
              <w:rPr>
                <w:sz w:val="22"/>
                <w:szCs w:val="22"/>
              </w:rPr>
            </w:pPr>
            <w:r w:rsidRPr="00AB15D8">
              <w:rPr>
                <w:sz w:val="22"/>
                <w:szCs w:val="22"/>
              </w:rPr>
              <w:t>5629</w:t>
            </w:r>
          </w:p>
        </w:tc>
        <w:tc>
          <w:tcPr>
            <w:tcW w:w="935"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spacing w:line="360" w:lineRule="auto"/>
              <w:ind w:firstLine="0"/>
              <w:jc w:val="center"/>
              <w:rPr>
                <w:b/>
                <w:sz w:val="22"/>
                <w:szCs w:val="22"/>
              </w:rPr>
            </w:pPr>
          </w:p>
        </w:tc>
      </w:tr>
      <w:tr w:rsidR="008E72A2" w:rsidRPr="00AB15D8" w:rsidTr="008E72A2">
        <w:trPr>
          <w:jc w:val="right"/>
        </w:trPr>
        <w:tc>
          <w:tcPr>
            <w:tcW w:w="389"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pStyle w:val="ListParagraph"/>
              <w:numPr>
                <w:ilvl w:val="0"/>
                <w:numId w:val="4"/>
              </w:numPr>
              <w:spacing w:line="360" w:lineRule="auto"/>
              <w:contextualSpacing/>
              <w:jc w:val="center"/>
              <w:rPr>
                <w:sz w:val="22"/>
                <w:szCs w:val="22"/>
              </w:rPr>
            </w:pPr>
          </w:p>
        </w:tc>
        <w:tc>
          <w:tcPr>
            <w:tcW w:w="2972"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rPr>
                <w:sz w:val="22"/>
                <w:szCs w:val="22"/>
              </w:rPr>
            </w:pPr>
            <w:r w:rsidRPr="00AB15D8">
              <w:rPr>
                <w:sz w:val="22"/>
                <w:szCs w:val="22"/>
              </w:rPr>
              <w:t>Dịch vụ phục vụ đồ uống</w:t>
            </w:r>
            <w:r w:rsidRPr="00AB15D8">
              <w:rPr>
                <w:sz w:val="22"/>
                <w:szCs w:val="22"/>
              </w:rPr>
              <w:br/>
            </w:r>
            <w:r w:rsidRPr="00AB15D8">
              <w:rPr>
                <w:i/>
                <w:sz w:val="22"/>
                <w:szCs w:val="22"/>
              </w:rPr>
              <w:t>(Trừ kinh doanh quán bar, quán giải khát có khiêu vũ)</w:t>
            </w:r>
          </w:p>
        </w:tc>
        <w:tc>
          <w:tcPr>
            <w:tcW w:w="704"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jc w:val="center"/>
              <w:rPr>
                <w:sz w:val="22"/>
                <w:szCs w:val="22"/>
              </w:rPr>
            </w:pPr>
            <w:r w:rsidRPr="00AB15D8">
              <w:rPr>
                <w:sz w:val="22"/>
                <w:szCs w:val="22"/>
              </w:rPr>
              <w:t>5630</w:t>
            </w:r>
          </w:p>
        </w:tc>
        <w:tc>
          <w:tcPr>
            <w:tcW w:w="935"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spacing w:line="360" w:lineRule="auto"/>
              <w:ind w:firstLine="0"/>
              <w:jc w:val="center"/>
              <w:rPr>
                <w:b/>
                <w:sz w:val="22"/>
                <w:szCs w:val="22"/>
              </w:rPr>
            </w:pPr>
          </w:p>
        </w:tc>
      </w:tr>
      <w:tr w:rsidR="008E72A2" w:rsidRPr="00AB15D8" w:rsidTr="008E72A2">
        <w:trPr>
          <w:jc w:val="right"/>
        </w:trPr>
        <w:tc>
          <w:tcPr>
            <w:tcW w:w="389"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pStyle w:val="ListParagraph"/>
              <w:numPr>
                <w:ilvl w:val="0"/>
                <w:numId w:val="4"/>
              </w:numPr>
              <w:spacing w:line="360" w:lineRule="auto"/>
              <w:contextualSpacing/>
              <w:jc w:val="center"/>
              <w:rPr>
                <w:sz w:val="22"/>
                <w:szCs w:val="22"/>
              </w:rPr>
            </w:pPr>
          </w:p>
        </w:tc>
        <w:tc>
          <w:tcPr>
            <w:tcW w:w="2972"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rPr>
                <w:sz w:val="22"/>
                <w:szCs w:val="22"/>
              </w:rPr>
            </w:pPr>
            <w:r w:rsidRPr="00AB15D8">
              <w:rPr>
                <w:sz w:val="22"/>
                <w:szCs w:val="22"/>
              </w:rPr>
              <w:t>Hoạt động dịch vụ trung gian cho dịch vụ ăn uống</w:t>
            </w:r>
            <w:r w:rsidRPr="00AB15D8">
              <w:rPr>
                <w:sz w:val="22"/>
                <w:szCs w:val="22"/>
              </w:rPr>
              <w:br/>
            </w:r>
            <w:r w:rsidRPr="00AB15D8">
              <w:rPr>
                <w:i/>
                <w:sz w:val="22"/>
                <w:szCs w:val="22"/>
              </w:rPr>
              <w:t>(Không bao gồm kinh doanh quán bar, phòng hát karaoke, vũ trường</w:t>
            </w:r>
            <w:r w:rsidRPr="00AB15D8">
              <w:rPr>
                <w:sz w:val="22"/>
                <w:szCs w:val="22"/>
              </w:rPr>
              <w:t>)</w:t>
            </w:r>
          </w:p>
        </w:tc>
        <w:tc>
          <w:tcPr>
            <w:tcW w:w="704"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jc w:val="center"/>
              <w:rPr>
                <w:sz w:val="22"/>
                <w:szCs w:val="22"/>
              </w:rPr>
            </w:pPr>
            <w:r w:rsidRPr="00AB15D8">
              <w:rPr>
                <w:sz w:val="22"/>
                <w:szCs w:val="22"/>
              </w:rPr>
              <w:t>5640</w:t>
            </w:r>
          </w:p>
        </w:tc>
        <w:tc>
          <w:tcPr>
            <w:tcW w:w="935"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spacing w:line="360" w:lineRule="auto"/>
              <w:ind w:firstLine="0"/>
              <w:jc w:val="center"/>
              <w:rPr>
                <w:b/>
                <w:sz w:val="22"/>
                <w:szCs w:val="22"/>
              </w:rPr>
            </w:pPr>
          </w:p>
        </w:tc>
      </w:tr>
      <w:tr w:rsidR="008E72A2" w:rsidRPr="00AB15D8" w:rsidTr="008E72A2">
        <w:trPr>
          <w:jc w:val="right"/>
        </w:trPr>
        <w:tc>
          <w:tcPr>
            <w:tcW w:w="389"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pStyle w:val="ListParagraph"/>
              <w:numPr>
                <w:ilvl w:val="0"/>
                <w:numId w:val="4"/>
              </w:numPr>
              <w:spacing w:line="360" w:lineRule="auto"/>
              <w:contextualSpacing/>
              <w:rPr>
                <w:sz w:val="22"/>
                <w:szCs w:val="22"/>
              </w:rPr>
            </w:pPr>
          </w:p>
        </w:tc>
        <w:tc>
          <w:tcPr>
            <w:tcW w:w="2972"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rPr>
                <w:sz w:val="22"/>
                <w:szCs w:val="22"/>
              </w:rPr>
            </w:pPr>
            <w:r w:rsidRPr="00AB15D8">
              <w:rPr>
                <w:sz w:val="22"/>
                <w:szCs w:val="22"/>
              </w:rPr>
              <w:t>Quảng cáo</w:t>
            </w:r>
            <w:r w:rsidRPr="00AB15D8">
              <w:rPr>
                <w:sz w:val="22"/>
                <w:szCs w:val="22"/>
              </w:rPr>
              <w:br/>
            </w:r>
            <w:r w:rsidRPr="00AB15D8">
              <w:rPr>
                <w:i/>
                <w:sz w:val="22"/>
                <w:szCs w:val="22"/>
              </w:rPr>
              <w:t>(Không bao gồm quảng cáo thuốc lá và quảng cáo trên không)</w:t>
            </w:r>
          </w:p>
        </w:tc>
        <w:tc>
          <w:tcPr>
            <w:tcW w:w="704"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jc w:val="center"/>
              <w:rPr>
                <w:sz w:val="22"/>
                <w:szCs w:val="22"/>
              </w:rPr>
            </w:pPr>
            <w:r w:rsidRPr="00AB15D8">
              <w:rPr>
                <w:sz w:val="22"/>
                <w:szCs w:val="22"/>
              </w:rPr>
              <w:t>7310</w:t>
            </w:r>
          </w:p>
        </w:tc>
        <w:tc>
          <w:tcPr>
            <w:tcW w:w="935"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spacing w:line="360" w:lineRule="auto"/>
              <w:ind w:firstLine="0"/>
              <w:jc w:val="center"/>
              <w:rPr>
                <w:b/>
                <w:sz w:val="22"/>
                <w:szCs w:val="22"/>
              </w:rPr>
            </w:pPr>
          </w:p>
        </w:tc>
      </w:tr>
      <w:tr w:rsidR="008E72A2" w:rsidRPr="00AB15D8" w:rsidTr="008E72A2">
        <w:trPr>
          <w:jc w:val="right"/>
        </w:trPr>
        <w:tc>
          <w:tcPr>
            <w:tcW w:w="389"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pStyle w:val="ListParagraph"/>
              <w:numPr>
                <w:ilvl w:val="0"/>
                <w:numId w:val="4"/>
              </w:numPr>
              <w:spacing w:line="360" w:lineRule="auto"/>
              <w:contextualSpacing/>
              <w:jc w:val="center"/>
              <w:rPr>
                <w:sz w:val="22"/>
                <w:szCs w:val="22"/>
              </w:rPr>
            </w:pPr>
          </w:p>
        </w:tc>
        <w:tc>
          <w:tcPr>
            <w:tcW w:w="2972"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rPr>
                <w:sz w:val="22"/>
                <w:szCs w:val="22"/>
              </w:rPr>
            </w:pPr>
            <w:r w:rsidRPr="00AB15D8">
              <w:rPr>
                <w:sz w:val="22"/>
                <w:szCs w:val="22"/>
              </w:rPr>
              <w:t>Tổ chức giới thiệu và xúc tiến thương mại</w:t>
            </w:r>
            <w:r w:rsidRPr="00AB15D8">
              <w:rPr>
                <w:sz w:val="22"/>
                <w:szCs w:val="22"/>
              </w:rPr>
              <w:br/>
            </w:r>
            <w:r w:rsidRPr="00AB15D8">
              <w:rPr>
                <w:i/>
                <w:sz w:val="22"/>
                <w:szCs w:val="22"/>
              </w:rPr>
              <w:t>(Trừ tổ chức họp báo, hoạt động trong lĩnh vực có sử dụng chất nổ, chất cháy, hóa chất…, làm đạo cụ, dụng cụ thực hiện các chương trình văn nghệ, phim ảnh…)</w:t>
            </w:r>
          </w:p>
        </w:tc>
        <w:tc>
          <w:tcPr>
            <w:tcW w:w="704"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jc w:val="center"/>
              <w:rPr>
                <w:sz w:val="22"/>
                <w:szCs w:val="22"/>
              </w:rPr>
            </w:pPr>
            <w:r w:rsidRPr="00AB15D8">
              <w:rPr>
                <w:sz w:val="22"/>
                <w:szCs w:val="22"/>
              </w:rPr>
              <w:t>8230</w:t>
            </w:r>
          </w:p>
        </w:tc>
        <w:tc>
          <w:tcPr>
            <w:tcW w:w="935"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spacing w:line="360" w:lineRule="auto"/>
              <w:ind w:firstLine="0"/>
              <w:jc w:val="center"/>
              <w:rPr>
                <w:b/>
                <w:sz w:val="22"/>
                <w:szCs w:val="22"/>
              </w:rPr>
            </w:pPr>
          </w:p>
        </w:tc>
      </w:tr>
      <w:tr w:rsidR="008E72A2" w:rsidRPr="00AB15D8" w:rsidTr="008E72A2">
        <w:trPr>
          <w:jc w:val="right"/>
        </w:trPr>
        <w:tc>
          <w:tcPr>
            <w:tcW w:w="389"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pStyle w:val="ListParagraph"/>
              <w:numPr>
                <w:ilvl w:val="0"/>
                <w:numId w:val="4"/>
              </w:numPr>
              <w:spacing w:line="360" w:lineRule="auto"/>
              <w:contextualSpacing/>
              <w:jc w:val="center"/>
              <w:rPr>
                <w:sz w:val="22"/>
                <w:szCs w:val="22"/>
              </w:rPr>
            </w:pPr>
          </w:p>
        </w:tc>
        <w:tc>
          <w:tcPr>
            <w:tcW w:w="2972"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rPr>
                <w:sz w:val="22"/>
                <w:szCs w:val="22"/>
              </w:rPr>
            </w:pPr>
            <w:r w:rsidRPr="00AB15D8">
              <w:rPr>
                <w:sz w:val="22"/>
                <w:szCs w:val="22"/>
              </w:rPr>
              <w:t>Hoạt động dịch vụ hỗ trợ kinh doanh khác còn lại chưa được phân vào đâu</w:t>
            </w:r>
            <w:bookmarkStart w:id="2" w:name="_GoBack"/>
            <w:bookmarkEnd w:id="2"/>
            <w:r w:rsidRPr="00AB15D8">
              <w:rPr>
                <w:sz w:val="22"/>
                <w:szCs w:val="22"/>
              </w:rPr>
              <w:br/>
            </w:r>
            <w:r w:rsidRPr="00AB15D8">
              <w:rPr>
                <w:i/>
                <w:sz w:val="22"/>
                <w:szCs w:val="22"/>
              </w:rPr>
              <w:t>(Loại trừ dịch vụ báo cáo tòa án; hoạt động đấu giá độc lập; dịch vụ thu hồi tài sản; mua bán và môi giới tài sản tiền điện tử mà không kèm theo trách nhiệm pháp lý (không phải do cơ quan tiền tệ phát hành))</w:t>
            </w:r>
          </w:p>
        </w:tc>
        <w:tc>
          <w:tcPr>
            <w:tcW w:w="704" w:type="pct"/>
            <w:tcBorders>
              <w:top w:val="single" w:sz="4" w:space="0" w:color="000000"/>
              <w:left w:val="single" w:sz="4" w:space="0" w:color="000000"/>
              <w:bottom w:val="single" w:sz="4" w:space="0" w:color="000000"/>
              <w:right w:val="single" w:sz="4" w:space="0" w:color="000000"/>
            </w:tcBorders>
            <w:vAlign w:val="center"/>
            <w:hideMark/>
          </w:tcPr>
          <w:p w:rsidR="008E72A2" w:rsidRPr="00AB15D8" w:rsidRDefault="008E72A2" w:rsidP="00AB15D8">
            <w:pPr>
              <w:spacing w:line="360" w:lineRule="auto"/>
              <w:ind w:firstLine="0"/>
              <w:jc w:val="center"/>
              <w:rPr>
                <w:sz w:val="22"/>
                <w:szCs w:val="22"/>
              </w:rPr>
            </w:pPr>
            <w:r w:rsidRPr="00AB15D8">
              <w:rPr>
                <w:sz w:val="22"/>
                <w:szCs w:val="22"/>
              </w:rPr>
              <w:t>8299</w:t>
            </w:r>
          </w:p>
        </w:tc>
        <w:tc>
          <w:tcPr>
            <w:tcW w:w="935" w:type="pct"/>
            <w:tcBorders>
              <w:top w:val="single" w:sz="4" w:space="0" w:color="000000"/>
              <w:left w:val="single" w:sz="4" w:space="0" w:color="000000"/>
              <w:bottom w:val="single" w:sz="4" w:space="0" w:color="000000"/>
              <w:right w:val="single" w:sz="4" w:space="0" w:color="000000"/>
            </w:tcBorders>
            <w:vAlign w:val="center"/>
          </w:tcPr>
          <w:p w:rsidR="008E72A2" w:rsidRPr="00AB15D8" w:rsidRDefault="008E72A2" w:rsidP="00AB15D8">
            <w:pPr>
              <w:spacing w:line="360" w:lineRule="auto"/>
              <w:ind w:firstLine="0"/>
              <w:jc w:val="center"/>
              <w:rPr>
                <w:b/>
                <w:sz w:val="22"/>
                <w:szCs w:val="22"/>
              </w:rPr>
            </w:pPr>
          </w:p>
        </w:tc>
      </w:tr>
    </w:tbl>
    <w:p w:rsidR="008E72A2" w:rsidRPr="00AB15D8" w:rsidRDefault="008E72A2" w:rsidP="00AB15D8">
      <w:pPr>
        <w:spacing w:line="312" w:lineRule="auto"/>
        <w:ind w:hanging="2"/>
        <w:jc w:val="both"/>
        <w:rPr>
          <w:b/>
          <w:sz w:val="22"/>
          <w:szCs w:val="22"/>
        </w:rPr>
      </w:pPr>
    </w:p>
    <w:p w:rsidR="00ED1433" w:rsidRPr="00AB15D8" w:rsidRDefault="00AA54E5" w:rsidP="00AB15D8">
      <w:pPr>
        <w:spacing w:line="312" w:lineRule="auto"/>
        <w:ind w:hanging="2"/>
        <w:jc w:val="both"/>
        <w:rPr>
          <w:b/>
          <w:sz w:val="22"/>
          <w:szCs w:val="22"/>
        </w:rPr>
      </w:pPr>
      <w:bookmarkStart w:id="3" w:name="_heading=h.bjtmqw53cvod" w:colFirst="0" w:colLast="0"/>
      <w:bookmarkEnd w:id="3"/>
      <w:r w:rsidRPr="00AB15D8">
        <w:rPr>
          <w:b/>
          <w:sz w:val="22"/>
          <w:szCs w:val="22"/>
        </w:rPr>
        <w:t xml:space="preserve">Điều 3. Cổ đông sáng lập Công ty </w:t>
      </w:r>
    </w:p>
    <w:tbl>
      <w:tblPr>
        <w:tblStyle w:val="ac"/>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474"/>
        <w:gridCol w:w="1233"/>
        <w:gridCol w:w="1059"/>
        <w:gridCol w:w="722"/>
        <w:gridCol w:w="2516"/>
        <w:gridCol w:w="3057"/>
      </w:tblGrid>
      <w:tr w:rsidR="00ED1433" w:rsidRPr="00AB15D8" w:rsidTr="004F49CE">
        <w:trPr>
          <w:trHeight w:val="567"/>
        </w:trPr>
        <w:tc>
          <w:tcPr>
            <w:tcW w:w="309" w:type="pct"/>
            <w:vAlign w:val="center"/>
          </w:tcPr>
          <w:p w:rsidR="00ED1433" w:rsidRPr="00AB15D8" w:rsidRDefault="00AA54E5" w:rsidP="00AB15D8">
            <w:pPr>
              <w:tabs>
                <w:tab w:val="left" w:pos="370"/>
                <w:tab w:val="left" w:pos="475"/>
                <w:tab w:val="left" w:pos="504"/>
                <w:tab w:val="left" w:pos="576"/>
                <w:tab w:val="left" w:pos="720"/>
                <w:tab w:val="left" w:pos="1440"/>
              </w:tabs>
              <w:spacing w:line="312" w:lineRule="auto"/>
              <w:ind w:hanging="2"/>
              <w:jc w:val="center"/>
              <w:rPr>
                <w:b/>
                <w:sz w:val="22"/>
                <w:szCs w:val="22"/>
              </w:rPr>
            </w:pPr>
            <w:r w:rsidRPr="00AB15D8">
              <w:rPr>
                <w:b/>
                <w:sz w:val="22"/>
                <w:szCs w:val="22"/>
              </w:rPr>
              <w:t>STT</w:t>
            </w:r>
          </w:p>
        </w:tc>
        <w:tc>
          <w:tcPr>
            <w:tcW w:w="728" w:type="pct"/>
            <w:vAlign w:val="center"/>
          </w:tcPr>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center"/>
              <w:rPr>
                <w:b/>
                <w:sz w:val="22"/>
                <w:szCs w:val="22"/>
              </w:rPr>
            </w:pPr>
            <w:r w:rsidRPr="00AB15D8">
              <w:rPr>
                <w:b/>
                <w:sz w:val="22"/>
                <w:szCs w:val="22"/>
              </w:rPr>
              <w:t>Tên cổ đông sáng lập</w:t>
            </w:r>
          </w:p>
        </w:tc>
        <w:tc>
          <w:tcPr>
            <w:tcW w:w="347" w:type="pct"/>
            <w:vAlign w:val="center"/>
          </w:tcPr>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center"/>
              <w:rPr>
                <w:b/>
                <w:sz w:val="22"/>
                <w:szCs w:val="22"/>
              </w:rPr>
            </w:pPr>
            <w:r w:rsidRPr="00AB15D8">
              <w:rPr>
                <w:b/>
                <w:sz w:val="22"/>
                <w:szCs w:val="22"/>
              </w:rPr>
              <w:t>Ngày, tháng, năm sinh</w:t>
            </w:r>
          </w:p>
        </w:tc>
        <w:tc>
          <w:tcPr>
            <w:tcW w:w="446" w:type="pct"/>
            <w:vAlign w:val="center"/>
          </w:tcPr>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center"/>
              <w:rPr>
                <w:b/>
                <w:sz w:val="22"/>
                <w:szCs w:val="22"/>
              </w:rPr>
            </w:pPr>
            <w:r w:rsidRPr="00AB15D8">
              <w:rPr>
                <w:b/>
                <w:sz w:val="22"/>
                <w:szCs w:val="22"/>
              </w:rPr>
              <w:t>Giới tính</w:t>
            </w:r>
          </w:p>
        </w:tc>
        <w:tc>
          <w:tcPr>
            <w:tcW w:w="1436" w:type="pct"/>
            <w:vAlign w:val="center"/>
          </w:tcPr>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center"/>
              <w:rPr>
                <w:b/>
                <w:sz w:val="22"/>
                <w:szCs w:val="22"/>
              </w:rPr>
            </w:pPr>
            <w:r w:rsidRPr="00AB15D8">
              <w:rPr>
                <w:b/>
                <w:sz w:val="22"/>
                <w:szCs w:val="22"/>
              </w:rPr>
              <w:t>Địa chỉ liên lạc đối với cổ đông sáng lập là cá nhân</w:t>
            </w:r>
          </w:p>
        </w:tc>
        <w:tc>
          <w:tcPr>
            <w:tcW w:w="1734" w:type="pct"/>
            <w:vAlign w:val="center"/>
          </w:tcPr>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center"/>
              <w:rPr>
                <w:b/>
                <w:sz w:val="22"/>
                <w:szCs w:val="22"/>
              </w:rPr>
            </w:pPr>
            <w:r w:rsidRPr="00AB15D8">
              <w:rPr>
                <w:b/>
                <w:sz w:val="22"/>
                <w:szCs w:val="22"/>
              </w:rPr>
              <w:t>Loại giấy tờ, số, ngày cấp, cơ quan cấp Giấy tờ pháp lý của cá nhân/tổ chức</w:t>
            </w:r>
          </w:p>
        </w:tc>
      </w:tr>
      <w:tr w:rsidR="00ED1433" w:rsidRPr="00AB15D8" w:rsidTr="004F49CE">
        <w:trPr>
          <w:trHeight w:val="567"/>
        </w:trPr>
        <w:tc>
          <w:tcPr>
            <w:tcW w:w="309" w:type="pct"/>
            <w:vAlign w:val="center"/>
          </w:tcPr>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center"/>
              <w:rPr>
                <w:sz w:val="22"/>
                <w:szCs w:val="22"/>
              </w:rPr>
            </w:pPr>
            <w:r w:rsidRPr="00AB15D8">
              <w:rPr>
                <w:sz w:val="22"/>
                <w:szCs w:val="22"/>
              </w:rPr>
              <w:t>1</w:t>
            </w:r>
          </w:p>
        </w:tc>
        <w:tc>
          <w:tcPr>
            <w:tcW w:w="728" w:type="pct"/>
            <w:vAlign w:val="center"/>
          </w:tcPr>
          <w:p w:rsidR="00ED1433" w:rsidRPr="00AB15D8" w:rsidRDefault="00AA54E5" w:rsidP="00AB15D8">
            <w:pPr>
              <w:spacing w:line="312" w:lineRule="auto"/>
              <w:ind w:firstLine="0"/>
              <w:jc w:val="center"/>
              <w:rPr>
                <w:b/>
                <w:sz w:val="22"/>
                <w:szCs w:val="22"/>
              </w:rPr>
            </w:pPr>
            <w:r w:rsidRPr="00AB15D8">
              <w:rPr>
                <w:b/>
                <w:sz w:val="22"/>
                <w:szCs w:val="22"/>
              </w:rPr>
              <w:t>ĐINH VĂN THẮNG</w:t>
            </w:r>
          </w:p>
        </w:tc>
        <w:tc>
          <w:tcPr>
            <w:tcW w:w="347" w:type="pct"/>
            <w:vAlign w:val="center"/>
          </w:tcPr>
          <w:p w:rsidR="00ED1433" w:rsidRPr="00AB15D8" w:rsidRDefault="00AA54E5" w:rsidP="00AB15D8">
            <w:pPr>
              <w:spacing w:line="312" w:lineRule="auto"/>
              <w:ind w:hanging="2"/>
              <w:jc w:val="center"/>
              <w:rPr>
                <w:sz w:val="22"/>
                <w:szCs w:val="22"/>
              </w:rPr>
            </w:pPr>
            <w:r w:rsidRPr="00AB15D8">
              <w:rPr>
                <w:sz w:val="22"/>
                <w:szCs w:val="22"/>
              </w:rPr>
              <w:t>16/01/1971</w:t>
            </w:r>
          </w:p>
        </w:tc>
        <w:tc>
          <w:tcPr>
            <w:tcW w:w="446" w:type="pct"/>
            <w:vAlign w:val="center"/>
          </w:tcPr>
          <w:p w:rsidR="00ED1433" w:rsidRPr="00AB15D8" w:rsidRDefault="00AA54E5" w:rsidP="00AB15D8">
            <w:pPr>
              <w:spacing w:line="312" w:lineRule="auto"/>
              <w:ind w:hanging="2"/>
              <w:jc w:val="center"/>
              <w:rPr>
                <w:sz w:val="22"/>
                <w:szCs w:val="22"/>
              </w:rPr>
            </w:pPr>
            <w:r w:rsidRPr="00AB15D8">
              <w:rPr>
                <w:sz w:val="22"/>
                <w:szCs w:val="22"/>
              </w:rPr>
              <w:t>Nam</w:t>
            </w:r>
          </w:p>
        </w:tc>
        <w:tc>
          <w:tcPr>
            <w:tcW w:w="1436" w:type="pct"/>
            <w:vAlign w:val="center"/>
          </w:tcPr>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center"/>
              <w:rPr>
                <w:sz w:val="22"/>
                <w:szCs w:val="22"/>
              </w:rPr>
            </w:pPr>
            <w:r w:rsidRPr="00AB15D8">
              <w:rPr>
                <w:sz w:val="22"/>
                <w:szCs w:val="22"/>
              </w:rPr>
              <w:t>Xóm 11, Xã Giao Hòa, Tỉnh Ninh Bình, Việt Nam</w:t>
            </w:r>
          </w:p>
        </w:tc>
        <w:tc>
          <w:tcPr>
            <w:tcW w:w="1734" w:type="pct"/>
            <w:vAlign w:val="center"/>
          </w:tcPr>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center"/>
              <w:rPr>
                <w:sz w:val="22"/>
                <w:szCs w:val="22"/>
              </w:rPr>
            </w:pPr>
            <w:r w:rsidRPr="00AB15D8">
              <w:rPr>
                <w:sz w:val="22"/>
                <w:szCs w:val="22"/>
              </w:rPr>
              <w:t>Số định danh cá nhân:</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center"/>
              <w:rPr>
                <w:sz w:val="22"/>
                <w:szCs w:val="22"/>
              </w:rPr>
            </w:pPr>
            <w:r w:rsidRPr="00AB15D8">
              <w:rPr>
                <w:sz w:val="22"/>
                <w:szCs w:val="22"/>
              </w:rPr>
              <w:t>036071020545</w:t>
            </w:r>
          </w:p>
        </w:tc>
      </w:tr>
      <w:tr w:rsidR="00ED1433" w:rsidRPr="00AB15D8" w:rsidTr="004F49CE">
        <w:trPr>
          <w:trHeight w:val="567"/>
        </w:trPr>
        <w:tc>
          <w:tcPr>
            <w:tcW w:w="309" w:type="pct"/>
            <w:vAlign w:val="center"/>
          </w:tcPr>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center"/>
              <w:rPr>
                <w:sz w:val="22"/>
                <w:szCs w:val="22"/>
              </w:rPr>
            </w:pPr>
            <w:r w:rsidRPr="00AB15D8">
              <w:rPr>
                <w:sz w:val="22"/>
                <w:szCs w:val="22"/>
              </w:rPr>
              <w:t>2</w:t>
            </w:r>
          </w:p>
        </w:tc>
        <w:tc>
          <w:tcPr>
            <w:tcW w:w="728" w:type="pct"/>
            <w:vAlign w:val="center"/>
          </w:tcPr>
          <w:p w:rsidR="00ED1433" w:rsidRPr="00AB15D8" w:rsidRDefault="00AA54E5" w:rsidP="00AB15D8">
            <w:pPr>
              <w:spacing w:line="312" w:lineRule="auto"/>
              <w:ind w:firstLine="0"/>
              <w:jc w:val="center"/>
              <w:rPr>
                <w:b/>
                <w:sz w:val="22"/>
                <w:szCs w:val="22"/>
              </w:rPr>
            </w:pPr>
            <w:r w:rsidRPr="00AB15D8">
              <w:rPr>
                <w:b/>
                <w:sz w:val="22"/>
                <w:szCs w:val="22"/>
              </w:rPr>
              <w:t>ĐINH VĂN BẰNG</w:t>
            </w:r>
          </w:p>
        </w:tc>
        <w:tc>
          <w:tcPr>
            <w:tcW w:w="347" w:type="pct"/>
            <w:vAlign w:val="center"/>
          </w:tcPr>
          <w:p w:rsidR="00ED1433" w:rsidRPr="00AB15D8" w:rsidRDefault="00AA54E5" w:rsidP="00AB15D8">
            <w:pPr>
              <w:spacing w:line="312" w:lineRule="auto"/>
              <w:ind w:hanging="2"/>
              <w:jc w:val="center"/>
              <w:rPr>
                <w:sz w:val="22"/>
                <w:szCs w:val="22"/>
              </w:rPr>
            </w:pPr>
            <w:r w:rsidRPr="00AB15D8">
              <w:rPr>
                <w:sz w:val="22"/>
                <w:szCs w:val="22"/>
              </w:rPr>
              <w:t>28/05/2001</w:t>
            </w:r>
          </w:p>
        </w:tc>
        <w:tc>
          <w:tcPr>
            <w:tcW w:w="446" w:type="pct"/>
            <w:vAlign w:val="center"/>
          </w:tcPr>
          <w:p w:rsidR="00ED1433" w:rsidRPr="00AB15D8" w:rsidRDefault="00AA54E5" w:rsidP="00AB15D8">
            <w:pPr>
              <w:spacing w:line="312" w:lineRule="auto"/>
              <w:ind w:hanging="2"/>
              <w:jc w:val="center"/>
              <w:rPr>
                <w:sz w:val="22"/>
                <w:szCs w:val="22"/>
              </w:rPr>
            </w:pPr>
            <w:r w:rsidRPr="00AB15D8">
              <w:rPr>
                <w:sz w:val="22"/>
                <w:szCs w:val="22"/>
              </w:rPr>
              <w:t>Nam</w:t>
            </w:r>
          </w:p>
        </w:tc>
        <w:tc>
          <w:tcPr>
            <w:tcW w:w="1436" w:type="pct"/>
            <w:vAlign w:val="center"/>
          </w:tcPr>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center"/>
              <w:rPr>
                <w:sz w:val="22"/>
                <w:szCs w:val="22"/>
              </w:rPr>
            </w:pPr>
            <w:r w:rsidRPr="00AB15D8">
              <w:rPr>
                <w:sz w:val="22"/>
                <w:szCs w:val="22"/>
              </w:rPr>
              <w:t>Xóm 11, Xã Giao Hòa, Tỉnh Ninh Bình, Việt Nam</w:t>
            </w:r>
          </w:p>
        </w:tc>
        <w:tc>
          <w:tcPr>
            <w:tcW w:w="1734" w:type="pct"/>
            <w:vAlign w:val="center"/>
          </w:tcPr>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center"/>
              <w:rPr>
                <w:sz w:val="22"/>
                <w:szCs w:val="22"/>
              </w:rPr>
            </w:pPr>
            <w:r w:rsidRPr="00AB15D8">
              <w:rPr>
                <w:sz w:val="22"/>
                <w:szCs w:val="22"/>
              </w:rPr>
              <w:t>Số định danh cá nhân:</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center"/>
              <w:rPr>
                <w:sz w:val="22"/>
                <w:szCs w:val="22"/>
              </w:rPr>
            </w:pPr>
            <w:r w:rsidRPr="00AB15D8">
              <w:rPr>
                <w:sz w:val="22"/>
                <w:szCs w:val="22"/>
              </w:rPr>
              <w:t>036201010341</w:t>
            </w:r>
          </w:p>
        </w:tc>
      </w:tr>
      <w:tr w:rsidR="00ED1433" w:rsidRPr="00AB15D8" w:rsidTr="004F49CE">
        <w:trPr>
          <w:trHeight w:val="567"/>
        </w:trPr>
        <w:tc>
          <w:tcPr>
            <w:tcW w:w="309" w:type="pct"/>
            <w:vAlign w:val="center"/>
          </w:tcPr>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center"/>
              <w:rPr>
                <w:sz w:val="22"/>
                <w:szCs w:val="22"/>
              </w:rPr>
            </w:pPr>
            <w:r w:rsidRPr="00AB15D8">
              <w:rPr>
                <w:sz w:val="22"/>
                <w:szCs w:val="22"/>
              </w:rPr>
              <w:t>3</w:t>
            </w:r>
          </w:p>
        </w:tc>
        <w:tc>
          <w:tcPr>
            <w:tcW w:w="728" w:type="pct"/>
            <w:vAlign w:val="center"/>
          </w:tcPr>
          <w:p w:rsidR="00ED1433" w:rsidRPr="00AB15D8" w:rsidRDefault="00AA54E5" w:rsidP="00AB15D8">
            <w:pPr>
              <w:spacing w:line="312" w:lineRule="auto"/>
              <w:ind w:firstLine="0"/>
              <w:jc w:val="center"/>
              <w:rPr>
                <w:b/>
                <w:sz w:val="22"/>
                <w:szCs w:val="22"/>
              </w:rPr>
            </w:pPr>
            <w:r w:rsidRPr="00AB15D8">
              <w:rPr>
                <w:b/>
                <w:sz w:val="22"/>
                <w:szCs w:val="22"/>
              </w:rPr>
              <w:t>ĐINH VĂN CHIẾN</w:t>
            </w:r>
          </w:p>
        </w:tc>
        <w:tc>
          <w:tcPr>
            <w:tcW w:w="347" w:type="pct"/>
            <w:vAlign w:val="center"/>
          </w:tcPr>
          <w:p w:rsidR="00ED1433" w:rsidRPr="00AB15D8" w:rsidRDefault="00AA54E5" w:rsidP="00AB15D8">
            <w:pPr>
              <w:spacing w:line="312" w:lineRule="auto"/>
              <w:ind w:hanging="2"/>
              <w:jc w:val="center"/>
              <w:rPr>
                <w:sz w:val="22"/>
                <w:szCs w:val="22"/>
              </w:rPr>
            </w:pPr>
            <w:r w:rsidRPr="00AB15D8">
              <w:rPr>
                <w:sz w:val="22"/>
                <w:szCs w:val="22"/>
              </w:rPr>
              <w:t>30/10/1995</w:t>
            </w:r>
          </w:p>
        </w:tc>
        <w:tc>
          <w:tcPr>
            <w:tcW w:w="446" w:type="pct"/>
            <w:vAlign w:val="center"/>
          </w:tcPr>
          <w:p w:rsidR="00ED1433" w:rsidRPr="00AB15D8" w:rsidRDefault="00AA54E5" w:rsidP="00AB15D8">
            <w:pPr>
              <w:spacing w:line="312" w:lineRule="auto"/>
              <w:ind w:hanging="2"/>
              <w:jc w:val="center"/>
              <w:rPr>
                <w:sz w:val="22"/>
                <w:szCs w:val="22"/>
              </w:rPr>
            </w:pPr>
            <w:r w:rsidRPr="00AB15D8">
              <w:rPr>
                <w:sz w:val="22"/>
                <w:szCs w:val="22"/>
              </w:rPr>
              <w:t>Nam</w:t>
            </w:r>
          </w:p>
        </w:tc>
        <w:tc>
          <w:tcPr>
            <w:tcW w:w="1436" w:type="pct"/>
            <w:vAlign w:val="center"/>
          </w:tcPr>
          <w:p w:rsidR="00ED1433" w:rsidRPr="00AB15D8" w:rsidRDefault="008E72A2" w:rsidP="00AB15D8">
            <w:pPr>
              <w:tabs>
                <w:tab w:val="left" w:pos="389"/>
                <w:tab w:val="left" w:pos="432"/>
                <w:tab w:val="left" w:pos="475"/>
                <w:tab w:val="left" w:pos="504"/>
                <w:tab w:val="left" w:pos="576"/>
                <w:tab w:val="left" w:pos="720"/>
                <w:tab w:val="left" w:pos="1440"/>
              </w:tabs>
              <w:spacing w:line="312" w:lineRule="auto"/>
              <w:ind w:hanging="2"/>
              <w:jc w:val="center"/>
              <w:rPr>
                <w:sz w:val="22"/>
                <w:szCs w:val="22"/>
              </w:rPr>
            </w:pPr>
            <w:r w:rsidRPr="00AB15D8">
              <w:rPr>
                <w:sz w:val="22"/>
                <w:szCs w:val="22"/>
              </w:rPr>
              <w:t>Xóm</w:t>
            </w:r>
            <w:r w:rsidR="00AA54E5" w:rsidRPr="00AB15D8">
              <w:rPr>
                <w:sz w:val="22"/>
                <w:szCs w:val="22"/>
              </w:rPr>
              <w:t xml:space="preserve"> 11, Xã Giao Hòa, Tỉnh Ninh Bình, Việt Nam</w:t>
            </w:r>
          </w:p>
        </w:tc>
        <w:tc>
          <w:tcPr>
            <w:tcW w:w="1734" w:type="pct"/>
            <w:vAlign w:val="center"/>
          </w:tcPr>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center"/>
              <w:rPr>
                <w:sz w:val="22"/>
                <w:szCs w:val="22"/>
              </w:rPr>
            </w:pPr>
            <w:r w:rsidRPr="00AB15D8">
              <w:rPr>
                <w:sz w:val="22"/>
                <w:szCs w:val="22"/>
              </w:rPr>
              <w:t>Số định danh cá nhân:</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center"/>
              <w:rPr>
                <w:sz w:val="22"/>
                <w:szCs w:val="22"/>
              </w:rPr>
            </w:pPr>
            <w:r w:rsidRPr="00AB15D8">
              <w:rPr>
                <w:sz w:val="22"/>
                <w:szCs w:val="22"/>
              </w:rPr>
              <w:t>036095005600</w:t>
            </w:r>
          </w:p>
        </w:tc>
      </w:tr>
      <w:tr w:rsidR="00ED1433" w:rsidRPr="00AB15D8" w:rsidTr="004F49CE">
        <w:trPr>
          <w:trHeight w:val="567"/>
        </w:trPr>
        <w:tc>
          <w:tcPr>
            <w:tcW w:w="309" w:type="pct"/>
            <w:vAlign w:val="center"/>
          </w:tcPr>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center"/>
              <w:rPr>
                <w:sz w:val="22"/>
                <w:szCs w:val="22"/>
              </w:rPr>
            </w:pPr>
            <w:r w:rsidRPr="00AB15D8">
              <w:rPr>
                <w:sz w:val="22"/>
                <w:szCs w:val="22"/>
              </w:rPr>
              <w:t>4</w:t>
            </w:r>
          </w:p>
        </w:tc>
        <w:tc>
          <w:tcPr>
            <w:tcW w:w="728" w:type="pct"/>
            <w:vAlign w:val="center"/>
          </w:tcPr>
          <w:p w:rsidR="00ED1433" w:rsidRPr="00AB15D8" w:rsidRDefault="00AA54E5" w:rsidP="00AB15D8">
            <w:pPr>
              <w:spacing w:line="312" w:lineRule="auto"/>
              <w:ind w:firstLine="0"/>
              <w:jc w:val="center"/>
              <w:rPr>
                <w:b/>
                <w:sz w:val="22"/>
                <w:szCs w:val="22"/>
              </w:rPr>
            </w:pPr>
            <w:r w:rsidRPr="00AB15D8">
              <w:rPr>
                <w:b/>
                <w:sz w:val="22"/>
                <w:szCs w:val="22"/>
              </w:rPr>
              <w:t>ĐINH VĂN HỮU</w:t>
            </w:r>
          </w:p>
        </w:tc>
        <w:tc>
          <w:tcPr>
            <w:tcW w:w="347" w:type="pct"/>
            <w:vAlign w:val="center"/>
          </w:tcPr>
          <w:p w:rsidR="00ED1433" w:rsidRPr="00AB15D8" w:rsidRDefault="00AA54E5" w:rsidP="00AB15D8">
            <w:pPr>
              <w:spacing w:line="312" w:lineRule="auto"/>
              <w:ind w:hanging="2"/>
              <w:jc w:val="center"/>
              <w:rPr>
                <w:sz w:val="22"/>
                <w:szCs w:val="22"/>
              </w:rPr>
            </w:pPr>
            <w:r w:rsidRPr="00AB15D8">
              <w:rPr>
                <w:sz w:val="22"/>
                <w:szCs w:val="22"/>
              </w:rPr>
              <w:t>10/03/1998</w:t>
            </w:r>
          </w:p>
        </w:tc>
        <w:tc>
          <w:tcPr>
            <w:tcW w:w="446" w:type="pct"/>
            <w:vAlign w:val="center"/>
          </w:tcPr>
          <w:p w:rsidR="00ED1433" w:rsidRPr="00AB15D8" w:rsidRDefault="00AA54E5" w:rsidP="00AB15D8">
            <w:pPr>
              <w:spacing w:line="312" w:lineRule="auto"/>
              <w:ind w:hanging="2"/>
              <w:jc w:val="center"/>
              <w:rPr>
                <w:sz w:val="22"/>
                <w:szCs w:val="22"/>
              </w:rPr>
            </w:pPr>
            <w:r w:rsidRPr="00AB15D8">
              <w:rPr>
                <w:sz w:val="22"/>
                <w:szCs w:val="22"/>
              </w:rPr>
              <w:t>Nam</w:t>
            </w:r>
          </w:p>
        </w:tc>
        <w:tc>
          <w:tcPr>
            <w:tcW w:w="1436" w:type="pct"/>
            <w:vAlign w:val="center"/>
          </w:tcPr>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center"/>
              <w:rPr>
                <w:sz w:val="22"/>
                <w:szCs w:val="22"/>
              </w:rPr>
            </w:pPr>
            <w:r w:rsidRPr="00AB15D8">
              <w:rPr>
                <w:sz w:val="22"/>
                <w:szCs w:val="22"/>
              </w:rPr>
              <w:t>Xóm 8, Xã Giao Hòa, Tỉnh Ninh Bình, Việt Nam</w:t>
            </w:r>
          </w:p>
        </w:tc>
        <w:tc>
          <w:tcPr>
            <w:tcW w:w="1734" w:type="pct"/>
            <w:vAlign w:val="center"/>
          </w:tcPr>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center"/>
              <w:rPr>
                <w:sz w:val="22"/>
                <w:szCs w:val="22"/>
              </w:rPr>
            </w:pPr>
            <w:r w:rsidRPr="00AB15D8">
              <w:rPr>
                <w:sz w:val="22"/>
                <w:szCs w:val="22"/>
              </w:rPr>
              <w:t>Số định danh cá nhân:</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center"/>
              <w:rPr>
                <w:sz w:val="22"/>
                <w:szCs w:val="22"/>
              </w:rPr>
            </w:pPr>
            <w:r w:rsidRPr="00AB15D8">
              <w:rPr>
                <w:sz w:val="22"/>
                <w:szCs w:val="22"/>
              </w:rPr>
              <w:t>036098002192</w:t>
            </w:r>
          </w:p>
        </w:tc>
      </w:tr>
    </w:tbl>
    <w:p w:rsidR="00ED1433" w:rsidRPr="00AB15D8" w:rsidRDefault="00ED1433" w:rsidP="00AB15D8">
      <w:pPr>
        <w:widowControl w:val="0"/>
        <w:tabs>
          <w:tab w:val="left" w:pos="9324"/>
        </w:tabs>
        <w:spacing w:line="312" w:lineRule="auto"/>
        <w:jc w:val="both"/>
        <w:rPr>
          <w:b/>
          <w:sz w:val="22"/>
          <w:szCs w:val="22"/>
          <w:highlight w:val="white"/>
        </w:rPr>
      </w:pPr>
    </w:p>
    <w:p w:rsidR="00ED1433" w:rsidRPr="00AB15D8" w:rsidRDefault="00AA54E5" w:rsidP="00AB15D8">
      <w:pPr>
        <w:widowControl w:val="0"/>
        <w:tabs>
          <w:tab w:val="left" w:pos="9324"/>
        </w:tabs>
        <w:spacing w:line="312" w:lineRule="auto"/>
        <w:jc w:val="both"/>
        <w:rPr>
          <w:sz w:val="22"/>
          <w:szCs w:val="22"/>
        </w:rPr>
      </w:pPr>
      <w:r w:rsidRPr="00AB15D8">
        <w:rPr>
          <w:b/>
          <w:sz w:val="22"/>
          <w:szCs w:val="22"/>
          <w:highlight w:val="white"/>
        </w:rPr>
        <w:t>* Chủ sở hữu hưởng lợi</w:t>
      </w:r>
    </w:p>
    <w:p w:rsidR="00ED1433" w:rsidRPr="00AB15D8" w:rsidRDefault="00AA54E5" w:rsidP="00AB15D8">
      <w:pPr>
        <w:spacing w:line="312" w:lineRule="auto"/>
        <w:ind w:firstLine="0"/>
        <w:jc w:val="both"/>
        <w:rPr>
          <w:sz w:val="22"/>
          <w:szCs w:val="22"/>
        </w:rPr>
      </w:pPr>
      <w:r w:rsidRPr="00AB15D8">
        <w:rPr>
          <w:sz w:val="22"/>
          <w:szCs w:val="22"/>
          <w:highlight w:val="white"/>
        </w:rPr>
        <w:t xml:space="preserve">Họ và tên: </w:t>
      </w:r>
      <w:r w:rsidRPr="00AB15D8">
        <w:rPr>
          <w:b/>
          <w:sz w:val="22"/>
          <w:szCs w:val="22"/>
        </w:rPr>
        <w:t>ĐINH VĂN THẮNG</w:t>
      </w:r>
      <w:r w:rsidRPr="00AB15D8">
        <w:rPr>
          <w:sz w:val="22"/>
          <w:szCs w:val="22"/>
        </w:rPr>
        <w:t xml:space="preserve">          </w:t>
      </w:r>
      <w:r w:rsidRPr="00AB15D8">
        <w:rPr>
          <w:sz w:val="22"/>
          <w:szCs w:val="22"/>
        </w:rPr>
        <w:tab/>
        <w:t xml:space="preserve">Giới tính: Nam </w:t>
      </w:r>
    </w:p>
    <w:p w:rsidR="00ED1433" w:rsidRPr="00AB15D8" w:rsidRDefault="00AA54E5" w:rsidP="00AB15D8">
      <w:pPr>
        <w:spacing w:line="312" w:lineRule="auto"/>
        <w:jc w:val="both"/>
        <w:rPr>
          <w:sz w:val="22"/>
          <w:szCs w:val="22"/>
        </w:rPr>
      </w:pPr>
      <w:r w:rsidRPr="00AB15D8">
        <w:rPr>
          <w:sz w:val="22"/>
          <w:szCs w:val="22"/>
        </w:rPr>
        <w:t xml:space="preserve">Sinh ngày: 16/01/1971                               </w:t>
      </w:r>
    </w:p>
    <w:p w:rsidR="00ED1433" w:rsidRPr="00AB15D8" w:rsidRDefault="00AA54E5" w:rsidP="00AB15D8">
      <w:pPr>
        <w:spacing w:line="312" w:lineRule="auto"/>
        <w:jc w:val="both"/>
        <w:rPr>
          <w:sz w:val="22"/>
          <w:szCs w:val="22"/>
        </w:rPr>
      </w:pPr>
      <w:r w:rsidRPr="00AB15D8">
        <w:rPr>
          <w:sz w:val="22"/>
          <w:szCs w:val="22"/>
        </w:rPr>
        <w:t>Số định danh các nhân: 036071020545</w:t>
      </w:r>
    </w:p>
    <w:p w:rsidR="00ED1433" w:rsidRPr="00AB15D8" w:rsidRDefault="00AA54E5" w:rsidP="00AB15D8">
      <w:pPr>
        <w:widowControl w:val="0"/>
        <w:tabs>
          <w:tab w:val="left" w:pos="5760"/>
          <w:tab w:val="left" w:pos="8789"/>
        </w:tabs>
        <w:spacing w:line="312" w:lineRule="auto"/>
        <w:jc w:val="both"/>
        <w:rPr>
          <w:sz w:val="22"/>
          <w:szCs w:val="22"/>
        </w:rPr>
      </w:pPr>
      <w:r w:rsidRPr="00AB15D8">
        <w:rPr>
          <w:sz w:val="22"/>
          <w:szCs w:val="22"/>
        </w:rPr>
        <w:t xml:space="preserve">Địa chỉ liên lạc: Xóm 11, Xã Giao Hòa, Tỉnh Ninh Bình, Việt Nam </w:t>
      </w:r>
    </w:p>
    <w:p w:rsidR="00ED1433" w:rsidRPr="00AB15D8" w:rsidRDefault="00AA54E5" w:rsidP="00AB15D8">
      <w:pPr>
        <w:tabs>
          <w:tab w:val="left" w:pos="5310"/>
        </w:tabs>
        <w:spacing w:line="312" w:lineRule="auto"/>
        <w:jc w:val="both"/>
        <w:rPr>
          <w:sz w:val="22"/>
          <w:szCs w:val="22"/>
        </w:rPr>
      </w:pPr>
      <w:r w:rsidRPr="00AB15D8">
        <w:rPr>
          <w:sz w:val="22"/>
          <w:szCs w:val="22"/>
        </w:rPr>
        <w:t xml:space="preserve">Tỷ lệ sở hữu/ vốn điều lệ: 70% </w:t>
      </w:r>
    </w:p>
    <w:p w:rsidR="00ED1433" w:rsidRPr="00AB15D8" w:rsidRDefault="00AA54E5" w:rsidP="00AB15D8">
      <w:pPr>
        <w:spacing w:line="312" w:lineRule="auto"/>
        <w:ind w:hanging="2"/>
        <w:jc w:val="both"/>
        <w:rPr>
          <w:b/>
          <w:sz w:val="22"/>
          <w:szCs w:val="22"/>
        </w:rPr>
      </w:pPr>
      <w:r w:rsidRPr="00AB15D8">
        <w:rPr>
          <w:b/>
          <w:sz w:val="22"/>
          <w:szCs w:val="22"/>
        </w:rPr>
        <w:t>Điều 4. Cổ phần, Vốn điều lệ, tỷ lệ góp vốn, thanh toán cổ phần đã đăng ký mua</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1. Toàn bộ cổ phần của Công ty là cổ phần phổ thông. Cổ đông mua cổ phần bằng tiền Việt Nam.</w:t>
      </w:r>
    </w:p>
    <w:p w:rsidR="00ED1433" w:rsidRPr="00AB15D8" w:rsidRDefault="00AA54E5" w:rsidP="00AB15D8">
      <w:pPr>
        <w:spacing w:line="312" w:lineRule="auto"/>
        <w:ind w:hanging="2"/>
        <w:jc w:val="both"/>
        <w:rPr>
          <w:sz w:val="22"/>
          <w:szCs w:val="22"/>
          <w:highlight w:val="white"/>
        </w:rPr>
      </w:pPr>
      <w:r w:rsidRPr="00AB15D8">
        <w:rPr>
          <w:sz w:val="22"/>
          <w:szCs w:val="22"/>
        </w:rPr>
        <w:t>2. Vốn điều lệ (bằng số; VNĐ): 5.000.000.000 VNĐ</w:t>
      </w:r>
    </w:p>
    <w:p w:rsidR="00ED1433" w:rsidRPr="00AB15D8" w:rsidRDefault="00AA54E5" w:rsidP="00AB15D8">
      <w:pPr>
        <w:tabs>
          <w:tab w:val="left" w:pos="389"/>
          <w:tab w:val="left" w:pos="432"/>
          <w:tab w:val="left" w:pos="475"/>
          <w:tab w:val="left" w:pos="504"/>
          <w:tab w:val="left" w:pos="576"/>
          <w:tab w:val="left" w:pos="720"/>
          <w:tab w:val="left" w:pos="1440"/>
          <w:tab w:val="left" w:pos="9072"/>
        </w:tabs>
        <w:spacing w:line="312" w:lineRule="auto"/>
        <w:ind w:hanging="2"/>
        <w:jc w:val="both"/>
        <w:rPr>
          <w:sz w:val="22"/>
          <w:szCs w:val="22"/>
        </w:rPr>
      </w:pPr>
      <w:r w:rsidRPr="00AB15D8">
        <w:rPr>
          <w:sz w:val="22"/>
          <w:szCs w:val="22"/>
        </w:rPr>
        <w:t>Bằng chữ: Năm tỉ Việt Nam đồng</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Tổng số cổ phần: 500.000</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Mệnh giá cổ phần: 10.000 đồng/cổ phần</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Cổ phần phổ thông: 500.000</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Cổ phần ưu đãi: 0</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3. Tỷ lệ sở hữu cổ phần của các cổ đông sáng lập:</w:t>
      </w:r>
    </w:p>
    <w:tbl>
      <w:tblPr>
        <w:tblStyle w:val="a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518"/>
        <w:gridCol w:w="2531"/>
        <w:gridCol w:w="972"/>
        <w:gridCol w:w="1114"/>
        <w:gridCol w:w="833"/>
        <w:gridCol w:w="1539"/>
        <w:gridCol w:w="973"/>
        <w:gridCol w:w="581"/>
      </w:tblGrid>
      <w:tr w:rsidR="00ED1433" w:rsidRPr="00AB15D8" w:rsidTr="004F49CE">
        <w:trPr>
          <w:cantSplit/>
        </w:trPr>
        <w:tc>
          <w:tcPr>
            <w:tcW w:w="232" w:type="pct"/>
            <w:vMerge w:val="restart"/>
            <w:tcBorders>
              <w:top w:val="single" w:sz="4" w:space="0" w:color="000000"/>
              <w:left w:val="single" w:sz="4" w:space="0" w:color="000000"/>
              <w:bottom w:val="single" w:sz="4" w:space="0" w:color="000000"/>
              <w:right w:val="single" w:sz="4" w:space="0" w:color="000000"/>
            </w:tcBorders>
            <w:vAlign w:val="center"/>
          </w:tcPr>
          <w:p w:rsidR="00ED1433" w:rsidRPr="00AB15D8" w:rsidRDefault="00AA54E5" w:rsidP="00AB15D8">
            <w:pPr>
              <w:spacing w:line="312" w:lineRule="auto"/>
              <w:ind w:left="-114" w:right="-113" w:firstLine="0"/>
              <w:jc w:val="center"/>
              <w:rPr>
                <w:b/>
                <w:bCs/>
                <w:sz w:val="22"/>
                <w:szCs w:val="22"/>
              </w:rPr>
            </w:pPr>
            <w:r w:rsidRPr="00AB15D8">
              <w:rPr>
                <w:b/>
                <w:bCs/>
                <w:sz w:val="22"/>
                <w:szCs w:val="22"/>
              </w:rPr>
              <w:lastRenderedPageBreak/>
              <w:t>STT</w:t>
            </w:r>
          </w:p>
        </w:tc>
        <w:tc>
          <w:tcPr>
            <w:tcW w:w="1407" w:type="pct"/>
            <w:vMerge w:val="restart"/>
            <w:tcBorders>
              <w:top w:val="single" w:sz="4" w:space="0" w:color="000000"/>
              <w:left w:val="single" w:sz="4" w:space="0" w:color="000000"/>
              <w:bottom w:val="single" w:sz="4" w:space="0" w:color="000000"/>
              <w:right w:val="single" w:sz="4" w:space="0" w:color="000000"/>
            </w:tcBorders>
            <w:vAlign w:val="center"/>
          </w:tcPr>
          <w:p w:rsidR="00ED1433" w:rsidRPr="00AB15D8" w:rsidRDefault="00AA54E5" w:rsidP="00AB15D8">
            <w:pPr>
              <w:spacing w:line="312" w:lineRule="auto"/>
              <w:ind w:left="-2" w:firstLine="0"/>
              <w:jc w:val="center"/>
              <w:rPr>
                <w:b/>
                <w:bCs/>
                <w:sz w:val="22"/>
                <w:szCs w:val="22"/>
              </w:rPr>
            </w:pPr>
            <w:r w:rsidRPr="00AB15D8">
              <w:rPr>
                <w:b/>
                <w:bCs/>
                <w:sz w:val="22"/>
                <w:szCs w:val="22"/>
              </w:rPr>
              <w:t>Tên cổ đông</w:t>
            </w:r>
          </w:p>
        </w:tc>
        <w:tc>
          <w:tcPr>
            <w:tcW w:w="547" w:type="pct"/>
            <w:vMerge w:val="restart"/>
            <w:tcBorders>
              <w:top w:val="single" w:sz="4" w:space="0" w:color="000000"/>
              <w:left w:val="single" w:sz="4" w:space="0" w:color="000000"/>
              <w:bottom w:val="single" w:sz="4" w:space="0" w:color="000000"/>
              <w:right w:val="single" w:sz="4" w:space="0" w:color="000000"/>
            </w:tcBorders>
            <w:vAlign w:val="center"/>
          </w:tcPr>
          <w:p w:rsidR="00ED1433" w:rsidRPr="00AB15D8" w:rsidRDefault="00AA54E5" w:rsidP="00AB15D8">
            <w:pPr>
              <w:spacing w:line="312" w:lineRule="auto"/>
              <w:ind w:left="-2" w:firstLine="0"/>
              <w:jc w:val="center"/>
              <w:rPr>
                <w:b/>
                <w:bCs/>
                <w:sz w:val="22"/>
                <w:szCs w:val="22"/>
              </w:rPr>
            </w:pPr>
            <w:r w:rsidRPr="00AB15D8">
              <w:rPr>
                <w:b/>
                <w:bCs/>
                <w:sz w:val="22"/>
                <w:szCs w:val="22"/>
              </w:rPr>
              <w:t>Số cổ phần</w:t>
            </w:r>
          </w:p>
        </w:tc>
        <w:tc>
          <w:tcPr>
            <w:tcW w:w="1095" w:type="pct"/>
            <w:gridSpan w:val="2"/>
            <w:tcBorders>
              <w:top w:val="single" w:sz="4" w:space="0" w:color="000000"/>
              <w:left w:val="single" w:sz="4" w:space="0" w:color="000000"/>
              <w:bottom w:val="single" w:sz="4" w:space="0" w:color="000000"/>
              <w:right w:val="single" w:sz="4" w:space="0" w:color="000000"/>
            </w:tcBorders>
            <w:vAlign w:val="center"/>
          </w:tcPr>
          <w:p w:rsidR="00ED1433" w:rsidRPr="00AB15D8" w:rsidRDefault="00AA54E5" w:rsidP="00AB15D8">
            <w:pPr>
              <w:spacing w:line="312" w:lineRule="auto"/>
              <w:ind w:left="-2" w:firstLine="0"/>
              <w:jc w:val="center"/>
              <w:rPr>
                <w:b/>
                <w:bCs/>
                <w:sz w:val="22"/>
                <w:szCs w:val="22"/>
              </w:rPr>
            </w:pPr>
            <w:r w:rsidRPr="00AB15D8">
              <w:rPr>
                <w:b/>
                <w:bCs/>
                <w:sz w:val="22"/>
                <w:szCs w:val="22"/>
              </w:rPr>
              <w:t>Loại cổ phần sở hữu</w:t>
            </w:r>
          </w:p>
        </w:tc>
        <w:tc>
          <w:tcPr>
            <w:tcW w:w="860" w:type="pct"/>
            <w:vMerge w:val="restart"/>
            <w:tcBorders>
              <w:top w:val="single" w:sz="4" w:space="0" w:color="000000"/>
              <w:left w:val="single" w:sz="4" w:space="0" w:color="000000"/>
              <w:bottom w:val="single" w:sz="4" w:space="0" w:color="000000"/>
              <w:right w:val="single" w:sz="4" w:space="0" w:color="000000"/>
            </w:tcBorders>
            <w:vAlign w:val="center"/>
          </w:tcPr>
          <w:p w:rsidR="00ED1433" w:rsidRPr="00AB15D8" w:rsidRDefault="00AA54E5" w:rsidP="00AB15D8">
            <w:pPr>
              <w:spacing w:line="312" w:lineRule="auto"/>
              <w:ind w:left="-2" w:firstLine="0"/>
              <w:jc w:val="center"/>
              <w:rPr>
                <w:b/>
                <w:bCs/>
                <w:sz w:val="22"/>
                <w:szCs w:val="22"/>
              </w:rPr>
            </w:pPr>
            <w:r w:rsidRPr="00AB15D8">
              <w:rPr>
                <w:b/>
                <w:bCs/>
                <w:sz w:val="22"/>
                <w:szCs w:val="22"/>
              </w:rPr>
              <w:t>Tổng giá trị cổ phần (VNĐ)</w:t>
            </w:r>
          </w:p>
        </w:tc>
        <w:tc>
          <w:tcPr>
            <w:tcW w:w="547" w:type="pct"/>
            <w:vMerge w:val="restart"/>
            <w:tcBorders>
              <w:top w:val="single" w:sz="4" w:space="0" w:color="000000"/>
              <w:left w:val="single" w:sz="4" w:space="0" w:color="000000"/>
              <w:right w:val="single" w:sz="4" w:space="0" w:color="000000"/>
            </w:tcBorders>
            <w:vAlign w:val="center"/>
          </w:tcPr>
          <w:p w:rsidR="00ED1433" w:rsidRPr="00AB15D8" w:rsidRDefault="00AA54E5" w:rsidP="00AB15D8">
            <w:pPr>
              <w:spacing w:line="312" w:lineRule="auto"/>
              <w:ind w:left="-2" w:firstLine="0"/>
              <w:jc w:val="center"/>
              <w:rPr>
                <w:b/>
                <w:bCs/>
                <w:sz w:val="22"/>
                <w:szCs w:val="22"/>
              </w:rPr>
            </w:pPr>
            <w:r w:rsidRPr="00AB15D8">
              <w:rPr>
                <w:b/>
                <w:bCs/>
                <w:sz w:val="22"/>
                <w:szCs w:val="22"/>
              </w:rPr>
              <w:t>Mệnh giá</w:t>
            </w:r>
          </w:p>
          <w:p w:rsidR="00ED1433" w:rsidRPr="00AB15D8" w:rsidRDefault="00AA54E5" w:rsidP="00AB15D8">
            <w:pPr>
              <w:spacing w:line="312" w:lineRule="auto"/>
              <w:ind w:left="-2" w:firstLine="0"/>
              <w:jc w:val="center"/>
              <w:rPr>
                <w:b/>
                <w:bCs/>
                <w:sz w:val="22"/>
                <w:szCs w:val="22"/>
              </w:rPr>
            </w:pPr>
            <w:r w:rsidRPr="00AB15D8">
              <w:rPr>
                <w:b/>
                <w:bCs/>
                <w:sz w:val="22"/>
                <w:szCs w:val="22"/>
              </w:rPr>
              <w:t>cổ phần (VNĐ)</w:t>
            </w:r>
          </w:p>
        </w:tc>
        <w:tc>
          <w:tcPr>
            <w:tcW w:w="313" w:type="pct"/>
            <w:vMerge w:val="restart"/>
            <w:tcBorders>
              <w:top w:val="single" w:sz="4" w:space="0" w:color="000000"/>
              <w:left w:val="single" w:sz="4" w:space="0" w:color="000000"/>
              <w:bottom w:val="single" w:sz="4" w:space="0" w:color="000000"/>
              <w:right w:val="single" w:sz="4" w:space="0" w:color="000000"/>
            </w:tcBorders>
            <w:vAlign w:val="center"/>
          </w:tcPr>
          <w:p w:rsidR="00ED1433" w:rsidRPr="00AB15D8" w:rsidRDefault="00AA54E5" w:rsidP="00AB15D8">
            <w:pPr>
              <w:spacing w:line="312" w:lineRule="auto"/>
              <w:ind w:left="-2" w:firstLine="0"/>
              <w:jc w:val="center"/>
              <w:rPr>
                <w:b/>
                <w:bCs/>
                <w:sz w:val="22"/>
                <w:szCs w:val="22"/>
              </w:rPr>
            </w:pPr>
            <w:r w:rsidRPr="00AB15D8">
              <w:rPr>
                <w:b/>
                <w:bCs/>
                <w:sz w:val="22"/>
                <w:szCs w:val="22"/>
              </w:rPr>
              <w:t>Tỷ</w:t>
            </w:r>
          </w:p>
          <w:p w:rsidR="00ED1433" w:rsidRPr="00AB15D8" w:rsidRDefault="00AA54E5" w:rsidP="00AB15D8">
            <w:pPr>
              <w:spacing w:line="312" w:lineRule="auto"/>
              <w:ind w:left="-2" w:firstLine="0"/>
              <w:jc w:val="center"/>
              <w:rPr>
                <w:b/>
                <w:bCs/>
                <w:sz w:val="22"/>
                <w:szCs w:val="22"/>
              </w:rPr>
            </w:pPr>
            <w:r w:rsidRPr="00AB15D8">
              <w:rPr>
                <w:b/>
                <w:bCs/>
                <w:sz w:val="22"/>
                <w:szCs w:val="22"/>
              </w:rPr>
              <w:t>lệ</w:t>
            </w:r>
          </w:p>
          <w:p w:rsidR="00ED1433" w:rsidRPr="00AB15D8" w:rsidRDefault="00AA54E5" w:rsidP="00AB15D8">
            <w:pPr>
              <w:spacing w:line="312" w:lineRule="auto"/>
              <w:ind w:left="-2" w:firstLine="0"/>
              <w:jc w:val="center"/>
              <w:rPr>
                <w:b/>
                <w:bCs/>
                <w:sz w:val="22"/>
                <w:szCs w:val="22"/>
              </w:rPr>
            </w:pPr>
            <w:r w:rsidRPr="00AB15D8">
              <w:rPr>
                <w:b/>
                <w:bCs/>
                <w:sz w:val="22"/>
                <w:szCs w:val="22"/>
              </w:rPr>
              <w:t>(%)</w:t>
            </w:r>
          </w:p>
        </w:tc>
      </w:tr>
      <w:tr w:rsidR="00ED1433" w:rsidRPr="00AB15D8" w:rsidTr="004F49CE">
        <w:trPr>
          <w:cantSplit/>
          <w:trHeight w:val="513"/>
        </w:trPr>
        <w:tc>
          <w:tcPr>
            <w:tcW w:w="232" w:type="pct"/>
            <w:vMerge/>
            <w:tcBorders>
              <w:top w:val="single" w:sz="4" w:space="0" w:color="000000"/>
              <w:left w:val="single" w:sz="4" w:space="0" w:color="000000"/>
              <w:bottom w:val="single" w:sz="4" w:space="0" w:color="000000"/>
              <w:right w:val="single" w:sz="4" w:space="0" w:color="000000"/>
            </w:tcBorders>
            <w:vAlign w:val="center"/>
          </w:tcPr>
          <w:p w:rsidR="00ED1433" w:rsidRPr="00AB15D8" w:rsidRDefault="00ED1433" w:rsidP="00AB15D8">
            <w:pPr>
              <w:widowControl w:val="0"/>
              <w:pBdr>
                <w:top w:val="nil"/>
                <w:left w:val="nil"/>
                <w:bottom w:val="nil"/>
                <w:right w:val="nil"/>
                <w:between w:val="nil"/>
              </w:pBdr>
              <w:spacing w:line="312" w:lineRule="auto"/>
              <w:ind w:firstLine="0"/>
              <w:jc w:val="center"/>
              <w:rPr>
                <w:sz w:val="22"/>
                <w:szCs w:val="22"/>
              </w:rPr>
            </w:pPr>
          </w:p>
        </w:tc>
        <w:tc>
          <w:tcPr>
            <w:tcW w:w="1407" w:type="pct"/>
            <w:vMerge/>
            <w:tcBorders>
              <w:top w:val="single" w:sz="4" w:space="0" w:color="000000"/>
              <w:left w:val="single" w:sz="4" w:space="0" w:color="000000"/>
              <w:bottom w:val="single" w:sz="4" w:space="0" w:color="000000"/>
              <w:right w:val="single" w:sz="4" w:space="0" w:color="000000"/>
            </w:tcBorders>
            <w:vAlign w:val="center"/>
          </w:tcPr>
          <w:p w:rsidR="00ED1433" w:rsidRPr="00AB15D8" w:rsidRDefault="00ED1433" w:rsidP="00AB15D8">
            <w:pPr>
              <w:widowControl w:val="0"/>
              <w:pBdr>
                <w:top w:val="nil"/>
                <w:left w:val="nil"/>
                <w:bottom w:val="nil"/>
                <w:right w:val="nil"/>
                <w:between w:val="nil"/>
              </w:pBdr>
              <w:spacing w:line="312" w:lineRule="auto"/>
              <w:ind w:firstLine="0"/>
              <w:jc w:val="center"/>
              <w:rPr>
                <w:sz w:val="22"/>
                <w:szCs w:val="22"/>
              </w:rPr>
            </w:pPr>
          </w:p>
        </w:tc>
        <w:tc>
          <w:tcPr>
            <w:tcW w:w="547" w:type="pct"/>
            <w:vMerge/>
            <w:tcBorders>
              <w:top w:val="single" w:sz="4" w:space="0" w:color="000000"/>
              <w:left w:val="single" w:sz="4" w:space="0" w:color="000000"/>
              <w:bottom w:val="single" w:sz="4" w:space="0" w:color="000000"/>
              <w:right w:val="single" w:sz="4" w:space="0" w:color="000000"/>
            </w:tcBorders>
            <w:vAlign w:val="center"/>
          </w:tcPr>
          <w:p w:rsidR="00ED1433" w:rsidRPr="00AB15D8" w:rsidRDefault="00ED1433" w:rsidP="00AB15D8">
            <w:pPr>
              <w:widowControl w:val="0"/>
              <w:pBdr>
                <w:top w:val="nil"/>
                <w:left w:val="nil"/>
                <w:bottom w:val="nil"/>
                <w:right w:val="nil"/>
                <w:between w:val="nil"/>
              </w:pBdr>
              <w:spacing w:line="312" w:lineRule="auto"/>
              <w:ind w:firstLine="0"/>
              <w:jc w:val="center"/>
              <w:rPr>
                <w:sz w:val="22"/>
                <w:szCs w:val="22"/>
              </w:rPr>
            </w:pPr>
          </w:p>
        </w:tc>
        <w:tc>
          <w:tcPr>
            <w:tcW w:w="625" w:type="pct"/>
            <w:tcBorders>
              <w:top w:val="single" w:sz="4" w:space="0" w:color="000000"/>
              <w:left w:val="single" w:sz="4" w:space="0" w:color="000000"/>
              <w:bottom w:val="single" w:sz="4" w:space="0" w:color="000000"/>
              <w:right w:val="single" w:sz="4" w:space="0" w:color="000000"/>
            </w:tcBorders>
            <w:vAlign w:val="center"/>
          </w:tcPr>
          <w:p w:rsidR="00ED1433" w:rsidRPr="00AB15D8" w:rsidRDefault="00AA54E5" w:rsidP="00AB15D8">
            <w:pPr>
              <w:spacing w:line="312" w:lineRule="auto"/>
              <w:ind w:left="-2" w:firstLine="0"/>
              <w:jc w:val="center"/>
              <w:rPr>
                <w:b/>
                <w:bCs/>
                <w:sz w:val="22"/>
                <w:szCs w:val="22"/>
              </w:rPr>
            </w:pPr>
            <w:r w:rsidRPr="00AB15D8">
              <w:rPr>
                <w:b/>
                <w:bCs/>
                <w:sz w:val="22"/>
                <w:szCs w:val="22"/>
              </w:rPr>
              <w:t>Phổ thông</w:t>
            </w:r>
          </w:p>
        </w:tc>
        <w:tc>
          <w:tcPr>
            <w:tcW w:w="469" w:type="pct"/>
            <w:tcBorders>
              <w:top w:val="single" w:sz="4" w:space="0" w:color="000000"/>
              <w:left w:val="single" w:sz="4" w:space="0" w:color="000000"/>
              <w:bottom w:val="single" w:sz="4" w:space="0" w:color="000000"/>
              <w:right w:val="single" w:sz="4" w:space="0" w:color="000000"/>
            </w:tcBorders>
            <w:vAlign w:val="center"/>
          </w:tcPr>
          <w:p w:rsidR="00ED1433" w:rsidRPr="00AB15D8" w:rsidRDefault="00AA54E5" w:rsidP="00AB15D8">
            <w:pPr>
              <w:spacing w:line="312" w:lineRule="auto"/>
              <w:ind w:left="-2" w:firstLine="0"/>
              <w:jc w:val="center"/>
              <w:rPr>
                <w:b/>
                <w:bCs/>
                <w:sz w:val="22"/>
                <w:szCs w:val="22"/>
              </w:rPr>
            </w:pPr>
            <w:r w:rsidRPr="00AB15D8">
              <w:rPr>
                <w:b/>
                <w:bCs/>
                <w:sz w:val="22"/>
                <w:szCs w:val="22"/>
              </w:rPr>
              <w:t>Ưu đãi</w:t>
            </w:r>
          </w:p>
        </w:tc>
        <w:tc>
          <w:tcPr>
            <w:tcW w:w="860" w:type="pct"/>
            <w:vMerge/>
            <w:tcBorders>
              <w:top w:val="single" w:sz="4" w:space="0" w:color="000000"/>
              <w:left w:val="single" w:sz="4" w:space="0" w:color="000000"/>
              <w:bottom w:val="single" w:sz="4" w:space="0" w:color="000000"/>
              <w:right w:val="single" w:sz="4" w:space="0" w:color="000000"/>
            </w:tcBorders>
            <w:vAlign w:val="center"/>
          </w:tcPr>
          <w:p w:rsidR="00ED1433" w:rsidRPr="00AB15D8" w:rsidRDefault="00ED1433" w:rsidP="00AB15D8">
            <w:pPr>
              <w:widowControl w:val="0"/>
              <w:pBdr>
                <w:top w:val="nil"/>
                <w:left w:val="nil"/>
                <w:bottom w:val="nil"/>
                <w:right w:val="nil"/>
                <w:between w:val="nil"/>
              </w:pBdr>
              <w:spacing w:line="312" w:lineRule="auto"/>
              <w:ind w:firstLine="0"/>
              <w:jc w:val="center"/>
              <w:rPr>
                <w:sz w:val="22"/>
                <w:szCs w:val="22"/>
              </w:rPr>
            </w:pPr>
          </w:p>
        </w:tc>
        <w:tc>
          <w:tcPr>
            <w:tcW w:w="547" w:type="pct"/>
            <w:vMerge/>
            <w:tcBorders>
              <w:top w:val="single" w:sz="4" w:space="0" w:color="000000"/>
              <w:left w:val="single" w:sz="4" w:space="0" w:color="000000"/>
              <w:right w:val="single" w:sz="4" w:space="0" w:color="000000"/>
            </w:tcBorders>
            <w:vAlign w:val="center"/>
          </w:tcPr>
          <w:p w:rsidR="00ED1433" w:rsidRPr="00AB15D8" w:rsidRDefault="00ED1433" w:rsidP="00AB15D8">
            <w:pPr>
              <w:widowControl w:val="0"/>
              <w:pBdr>
                <w:top w:val="nil"/>
                <w:left w:val="nil"/>
                <w:bottom w:val="nil"/>
                <w:right w:val="nil"/>
                <w:between w:val="nil"/>
              </w:pBdr>
              <w:spacing w:line="312" w:lineRule="auto"/>
              <w:ind w:firstLine="0"/>
              <w:jc w:val="center"/>
              <w:rPr>
                <w:sz w:val="22"/>
                <w:szCs w:val="22"/>
              </w:rPr>
            </w:pPr>
          </w:p>
        </w:tc>
        <w:tc>
          <w:tcPr>
            <w:tcW w:w="313" w:type="pct"/>
            <w:vMerge/>
            <w:tcBorders>
              <w:top w:val="single" w:sz="4" w:space="0" w:color="000000"/>
              <w:left w:val="single" w:sz="4" w:space="0" w:color="000000"/>
              <w:bottom w:val="single" w:sz="4" w:space="0" w:color="000000"/>
              <w:right w:val="single" w:sz="4" w:space="0" w:color="000000"/>
            </w:tcBorders>
            <w:vAlign w:val="center"/>
          </w:tcPr>
          <w:p w:rsidR="00ED1433" w:rsidRPr="00AB15D8" w:rsidRDefault="00ED1433" w:rsidP="00AB15D8">
            <w:pPr>
              <w:widowControl w:val="0"/>
              <w:pBdr>
                <w:top w:val="nil"/>
                <w:left w:val="nil"/>
                <w:bottom w:val="nil"/>
                <w:right w:val="nil"/>
                <w:between w:val="nil"/>
              </w:pBdr>
              <w:spacing w:line="312" w:lineRule="auto"/>
              <w:ind w:firstLine="0"/>
              <w:jc w:val="center"/>
              <w:rPr>
                <w:sz w:val="22"/>
                <w:szCs w:val="22"/>
              </w:rPr>
            </w:pPr>
          </w:p>
        </w:tc>
      </w:tr>
      <w:tr w:rsidR="00ED1433" w:rsidRPr="00AB15D8" w:rsidTr="004F49CE">
        <w:trPr>
          <w:trHeight w:val="332"/>
        </w:trPr>
        <w:tc>
          <w:tcPr>
            <w:tcW w:w="232" w:type="pct"/>
            <w:tcBorders>
              <w:top w:val="single" w:sz="4" w:space="0" w:color="000000"/>
              <w:left w:val="single" w:sz="4" w:space="0" w:color="000000"/>
              <w:bottom w:val="single" w:sz="4" w:space="0" w:color="000000"/>
              <w:right w:val="single" w:sz="4" w:space="0" w:color="000000"/>
            </w:tcBorders>
            <w:vAlign w:val="center"/>
          </w:tcPr>
          <w:p w:rsidR="00ED1433" w:rsidRPr="00AB15D8" w:rsidRDefault="00AA54E5" w:rsidP="00AB15D8">
            <w:pPr>
              <w:spacing w:line="312" w:lineRule="auto"/>
              <w:ind w:left="-2" w:firstLine="0"/>
              <w:jc w:val="center"/>
              <w:rPr>
                <w:sz w:val="22"/>
                <w:szCs w:val="22"/>
              </w:rPr>
            </w:pPr>
            <w:r w:rsidRPr="00AB15D8">
              <w:rPr>
                <w:sz w:val="22"/>
                <w:szCs w:val="22"/>
              </w:rPr>
              <w:t>1</w:t>
            </w:r>
          </w:p>
        </w:tc>
        <w:tc>
          <w:tcPr>
            <w:tcW w:w="1407" w:type="pct"/>
            <w:tcBorders>
              <w:top w:val="single" w:sz="4" w:space="0" w:color="000000"/>
              <w:left w:val="single" w:sz="4" w:space="0" w:color="000000"/>
              <w:bottom w:val="single" w:sz="4" w:space="0" w:color="000000"/>
              <w:right w:val="single" w:sz="4" w:space="0" w:color="000000"/>
            </w:tcBorders>
            <w:vAlign w:val="center"/>
          </w:tcPr>
          <w:p w:rsidR="00ED1433" w:rsidRPr="00AB15D8" w:rsidRDefault="00AA54E5" w:rsidP="00AB15D8">
            <w:pPr>
              <w:spacing w:line="312" w:lineRule="auto"/>
              <w:ind w:firstLine="0"/>
              <w:jc w:val="center"/>
              <w:rPr>
                <w:b/>
                <w:sz w:val="22"/>
                <w:szCs w:val="22"/>
              </w:rPr>
            </w:pPr>
            <w:r w:rsidRPr="00AB15D8">
              <w:rPr>
                <w:b/>
                <w:sz w:val="22"/>
                <w:szCs w:val="22"/>
              </w:rPr>
              <w:t>ĐINH VĂN THẮNG</w:t>
            </w:r>
          </w:p>
        </w:tc>
        <w:tc>
          <w:tcPr>
            <w:tcW w:w="547" w:type="pct"/>
            <w:tcBorders>
              <w:top w:val="single" w:sz="4" w:space="0" w:color="000000"/>
              <w:left w:val="single" w:sz="4" w:space="0" w:color="000000"/>
              <w:bottom w:val="single" w:sz="4" w:space="0" w:color="000000"/>
              <w:right w:val="single" w:sz="4" w:space="0" w:color="000000"/>
            </w:tcBorders>
            <w:vAlign w:val="center"/>
          </w:tcPr>
          <w:p w:rsidR="00ED1433" w:rsidRPr="00AB15D8" w:rsidRDefault="00AA54E5" w:rsidP="00AB15D8">
            <w:pPr>
              <w:spacing w:line="312" w:lineRule="auto"/>
              <w:ind w:left="-2" w:firstLine="0"/>
              <w:jc w:val="center"/>
              <w:rPr>
                <w:sz w:val="22"/>
                <w:szCs w:val="22"/>
              </w:rPr>
            </w:pPr>
            <w:r w:rsidRPr="00AB15D8">
              <w:rPr>
                <w:sz w:val="22"/>
                <w:szCs w:val="22"/>
              </w:rPr>
              <w:t>350.000</w:t>
            </w:r>
          </w:p>
        </w:tc>
        <w:tc>
          <w:tcPr>
            <w:tcW w:w="625" w:type="pct"/>
            <w:tcBorders>
              <w:top w:val="single" w:sz="4" w:space="0" w:color="000000"/>
              <w:left w:val="single" w:sz="4" w:space="0" w:color="000000"/>
              <w:bottom w:val="single" w:sz="4" w:space="0" w:color="000000"/>
              <w:right w:val="single" w:sz="4" w:space="0" w:color="000000"/>
            </w:tcBorders>
            <w:vAlign w:val="center"/>
          </w:tcPr>
          <w:p w:rsidR="00ED1433" w:rsidRPr="00AB15D8" w:rsidRDefault="00AA54E5" w:rsidP="00AB15D8">
            <w:pPr>
              <w:spacing w:line="312" w:lineRule="auto"/>
              <w:ind w:left="-2" w:firstLine="0"/>
              <w:jc w:val="center"/>
              <w:rPr>
                <w:sz w:val="22"/>
                <w:szCs w:val="22"/>
              </w:rPr>
            </w:pPr>
            <w:r w:rsidRPr="00AB15D8">
              <w:rPr>
                <w:sz w:val="22"/>
                <w:szCs w:val="22"/>
              </w:rPr>
              <w:t>350.000</w:t>
            </w:r>
          </w:p>
        </w:tc>
        <w:tc>
          <w:tcPr>
            <w:tcW w:w="469" w:type="pct"/>
            <w:tcBorders>
              <w:top w:val="single" w:sz="4" w:space="0" w:color="000000"/>
              <w:left w:val="single" w:sz="4" w:space="0" w:color="000000"/>
              <w:bottom w:val="single" w:sz="4" w:space="0" w:color="000000"/>
              <w:right w:val="single" w:sz="4" w:space="0" w:color="000000"/>
            </w:tcBorders>
            <w:vAlign w:val="center"/>
          </w:tcPr>
          <w:p w:rsidR="00ED1433" w:rsidRPr="00AB15D8" w:rsidRDefault="00AA54E5" w:rsidP="00AB15D8">
            <w:pPr>
              <w:spacing w:line="312" w:lineRule="auto"/>
              <w:ind w:left="-2" w:firstLine="0"/>
              <w:jc w:val="center"/>
              <w:rPr>
                <w:sz w:val="22"/>
                <w:szCs w:val="22"/>
              </w:rPr>
            </w:pPr>
            <w:r w:rsidRPr="00AB15D8">
              <w:rPr>
                <w:sz w:val="22"/>
                <w:szCs w:val="22"/>
              </w:rPr>
              <w:t>0</w:t>
            </w:r>
          </w:p>
        </w:tc>
        <w:tc>
          <w:tcPr>
            <w:tcW w:w="860" w:type="pct"/>
            <w:tcBorders>
              <w:top w:val="single" w:sz="4" w:space="0" w:color="000000"/>
              <w:left w:val="single" w:sz="4" w:space="0" w:color="000000"/>
              <w:bottom w:val="single" w:sz="4" w:space="0" w:color="000000"/>
              <w:right w:val="single" w:sz="4" w:space="0" w:color="000000"/>
            </w:tcBorders>
            <w:vAlign w:val="center"/>
          </w:tcPr>
          <w:p w:rsidR="00ED1433" w:rsidRPr="00AB15D8" w:rsidRDefault="00AA54E5" w:rsidP="00AB15D8">
            <w:pPr>
              <w:spacing w:line="312" w:lineRule="auto"/>
              <w:ind w:left="-2" w:firstLine="0"/>
              <w:jc w:val="center"/>
              <w:rPr>
                <w:sz w:val="22"/>
                <w:szCs w:val="22"/>
              </w:rPr>
            </w:pPr>
            <w:r w:rsidRPr="00AB15D8">
              <w:rPr>
                <w:sz w:val="22"/>
                <w:szCs w:val="22"/>
              </w:rPr>
              <w:t>3.500.000.000</w:t>
            </w:r>
          </w:p>
        </w:tc>
        <w:tc>
          <w:tcPr>
            <w:tcW w:w="547" w:type="pct"/>
            <w:tcBorders>
              <w:top w:val="single" w:sz="4" w:space="0" w:color="000000"/>
              <w:left w:val="single" w:sz="4" w:space="0" w:color="000000"/>
              <w:bottom w:val="single" w:sz="4" w:space="0" w:color="000000"/>
              <w:right w:val="single" w:sz="4" w:space="0" w:color="000000"/>
            </w:tcBorders>
            <w:vAlign w:val="center"/>
          </w:tcPr>
          <w:p w:rsidR="00ED1433" w:rsidRPr="00AB15D8" w:rsidRDefault="00AA54E5" w:rsidP="00AB15D8">
            <w:pPr>
              <w:spacing w:line="312" w:lineRule="auto"/>
              <w:ind w:left="-2" w:firstLine="0"/>
              <w:jc w:val="center"/>
              <w:rPr>
                <w:sz w:val="22"/>
                <w:szCs w:val="22"/>
              </w:rPr>
            </w:pPr>
            <w:r w:rsidRPr="00AB15D8">
              <w:rPr>
                <w:sz w:val="22"/>
                <w:szCs w:val="22"/>
              </w:rPr>
              <w:t>10.000</w:t>
            </w:r>
          </w:p>
        </w:tc>
        <w:tc>
          <w:tcPr>
            <w:tcW w:w="313" w:type="pct"/>
            <w:tcBorders>
              <w:top w:val="single" w:sz="4" w:space="0" w:color="000000"/>
              <w:left w:val="single" w:sz="4" w:space="0" w:color="000000"/>
              <w:bottom w:val="single" w:sz="4" w:space="0" w:color="000000"/>
              <w:right w:val="single" w:sz="4" w:space="0" w:color="000000"/>
            </w:tcBorders>
            <w:vAlign w:val="center"/>
          </w:tcPr>
          <w:p w:rsidR="00ED1433" w:rsidRPr="00AB15D8" w:rsidRDefault="00AA54E5" w:rsidP="00AB15D8">
            <w:pPr>
              <w:spacing w:line="312" w:lineRule="auto"/>
              <w:ind w:left="-2" w:firstLine="0"/>
              <w:jc w:val="center"/>
              <w:rPr>
                <w:sz w:val="22"/>
                <w:szCs w:val="22"/>
              </w:rPr>
            </w:pPr>
            <w:r w:rsidRPr="00AB15D8">
              <w:rPr>
                <w:sz w:val="22"/>
                <w:szCs w:val="22"/>
              </w:rPr>
              <w:t>70</w:t>
            </w:r>
          </w:p>
        </w:tc>
      </w:tr>
      <w:tr w:rsidR="00ED1433" w:rsidRPr="00AB15D8" w:rsidTr="004F49CE">
        <w:trPr>
          <w:trHeight w:val="332"/>
        </w:trPr>
        <w:tc>
          <w:tcPr>
            <w:tcW w:w="232" w:type="pct"/>
            <w:tcBorders>
              <w:top w:val="single" w:sz="4" w:space="0" w:color="000000"/>
              <w:left w:val="single" w:sz="4" w:space="0" w:color="000000"/>
              <w:bottom w:val="single" w:sz="4" w:space="0" w:color="000000"/>
              <w:right w:val="single" w:sz="4" w:space="0" w:color="000000"/>
            </w:tcBorders>
            <w:vAlign w:val="center"/>
          </w:tcPr>
          <w:p w:rsidR="00ED1433" w:rsidRPr="00AB15D8" w:rsidRDefault="00AA54E5" w:rsidP="00AB15D8">
            <w:pPr>
              <w:spacing w:line="312" w:lineRule="auto"/>
              <w:ind w:left="-2" w:firstLine="0"/>
              <w:jc w:val="center"/>
              <w:rPr>
                <w:sz w:val="22"/>
                <w:szCs w:val="22"/>
              </w:rPr>
            </w:pPr>
            <w:r w:rsidRPr="00AB15D8">
              <w:rPr>
                <w:sz w:val="22"/>
                <w:szCs w:val="22"/>
              </w:rPr>
              <w:t>2</w:t>
            </w:r>
          </w:p>
        </w:tc>
        <w:tc>
          <w:tcPr>
            <w:tcW w:w="1407" w:type="pct"/>
            <w:tcBorders>
              <w:top w:val="single" w:sz="4" w:space="0" w:color="000000"/>
              <w:left w:val="single" w:sz="4" w:space="0" w:color="000000"/>
              <w:bottom w:val="single" w:sz="4" w:space="0" w:color="000000"/>
              <w:right w:val="single" w:sz="4" w:space="0" w:color="000000"/>
            </w:tcBorders>
            <w:vAlign w:val="center"/>
          </w:tcPr>
          <w:p w:rsidR="00ED1433" w:rsidRPr="00AB15D8" w:rsidRDefault="00AA54E5" w:rsidP="00AB15D8">
            <w:pPr>
              <w:spacing w:line="312" w:lineRule="auto"/>
              <w:ind w:firstLine="0"/>
              <w:jc w:val="center"/>
              <w:rPr>
                <w:b/>
                <w:sz w:val="22"/>
                <w:szCs w:val="22"/>
              </w:rPr>
            </w:pPr>
            <w:r w:rsidRPr="00AB15D8">
              <w:rPr>
                <w:b/>
                <w:sz w:val="22"/>
                <w:szCs w:val="22"/>
              </w:rPr>
              <w:t>ĐINH VĂN BẰNG</w:t>
            </w:r>
          </w:p>
        </w:tc>
        <w:tc>
          <w:tcPr>
            <w:tcW w:w="547" w:type="pct"/>
            <w:tcBorders>
              <w:top w:val="single" w:sz="4" w:space="0" w:color="000000"/>
              <w:left w:val="single" w:sz="4" w:space="0" w:color="000000"/>
              <w:bottom w:val="single" w:sz="4" w:space="0" w:color="000000"/>
              <w:right w:val="single" w:sz="4" w:space="0" w:color="000000"/>
            </w:tcBorders>
            <w:vAlign w:val="center"/>
          </w:tcPr>
          <w:p w:rsidR="00ED1433" w:rsidRPr="00AB15D8" w:rsidRDefault="00AA54E5" w:rsidP="00AB15D8">
            <w:pPr>
              <w:spacing w:line="312" w:lineRule="auto"/>
              <w:ind w:left="-2" w:firstLine="0"/>
              <w:jc w:val="center"/>
              <w:rPr>
                <w:sz w:val="22"/>
                <w:szCs w:val="22"/>
              </w:rPr>
            </w:pPr>
            <w:r w:rsidRPr="00AB15D8">
              <w:rPr>
                <w:sz w:val="22"/>
                <w:szCs w:val="22"/>
              </w:rPr>
              <w:t>50.000</w:t>
            </w:r>
          </w:p>
        </w:tc>
        <w:tc>
          <w:tcPr>
            <w:tcW w:w="625" w:type="pct"/>
            <w:tcBorders>
              <w:top w:val="single" w:sz="4" w:space="0" w:color="000000"/>
              <w:left w:val="single" w:sz="4" w:space="0" w:color="000000"/>
              <w:bottom w:val="single" w:sz="4" w:space="0" w:color="000000"/>
              <w:right w:val="single" w:sz="4" w:space="0" w:color="000000"/>
            </w:tcBorders>
            <w:vAlign w:val="center"/>
          </w:tcPr>
          <w:p w:rsidR="00ED1433" w:rsidRPr="00AB15D8" w:rsidRDefault="00AA54E5" w:rsidP="00AB15D8">
            <w:pPr>
              <w:spacing w:line="312" w:lineRule="auto"/>
              <w:ind w:left="-2" w:firstLine="0"/>
              <w:jc w:val="center"/>
              <w:rPr>
                <w:sz w:val="22"/>
                <w:szCs w:val="22"/>
              </w:rPr>
            </w:pPr>
            <w:r w:rsidRPr="00AB15D8">
              <w:rPr>
                <w:sz w:val="22"/>
                <w:szCs w:val="22"/>
              </w:rPr>
              <w:t>50.000</w:t>
            </w:r>
          </w:p>
        </w:tc>
        <w:tc>
          <w:tcPr>
            <w:tcW w:w="469" w:type="pct"/>
            <w:tcBorders>
              <w:top w:val="single" w:sz="4" w:space="0" w:color="000000"/>
              <w:left w:val="single" w:sz="4" w:space="0" w:color="000000"/>
              <w:bottom w:val="single" w:sz="4" w:space="0" w:color="000000"/>
              <w:right w:val="single" w:sz="4" w:space="0" w:color="000000"/>
            </w:tcBorders>
            <w:vAlign w:val="center"/>
          </w:tcPr>
          <w:p w:rsidR="00ED1433" w:rsidRPr="00AB15D8" w:rsidRDefault="00AA54E5" w:rsidP="00AB15D8">
            <w:pPr>
              <w:spacing w:line="312" w:lineRule="auto"/>
              <w:ind w:left="-2" w:firstLine="0"/>
              <w:jc w:val="center"/>
              <w:rPr>
                <w:sz w:val="22"/>
                <w:szCs w:val="22"/>
              </w:rPr>
            </w:pPr>
            <w:r w:rsidRPr="00AB15D8">
              <w:rPr>
                <w:sz w:val="22"/>
                <w:szCs w:val="22"/>
              </w:rPr>
              <w:t>0</w:t>
            </w:r>
          </w:p>
        </w:tc>
        <w:tc>
          <w:tcPr>
            <w:tcW w:w="860" w:type="pct"/>
            <w:tcBorders>
              <w:top w:val="single" w:sz="4" w:space="0" w:color="000000"/>
              <w:left w:val="single" w:sz="4" w:space="0" w:color="000000"/>
              <w:bottom w:val="single" w:sz="4" w:space="0" w:color="000000"/>
              <w:right w:val="single" w:sz="4" w:space="0" w:color="000000"/>
            </w:tcBorders>
            <w:vAlign w:val="center"/>
          </w:tcPr>
          <w:p w:rsidR="00ED1433" w:rsidRPr="00AB15D8" w:rsidRDefault="00AA54E5" w:rsidP="00AB15D8">
            <w:pPr>
              <w:spacing w:line="312" w:lineRule="auto"/>
              <w:ind w:left="-2" w:firstLine="0"/>
              <w:jc w:val="center"/>
              <w:rPr>
                <w:sz w:val="22"/>
                <w:szCs w:val="22"/>
              </w:rPr>
            </w:pPr>
            <w:r w:rsidRPr="00AB15D8">
              <w:rPr>
                <w:sz w:val="22"/>
                <w:szCs w:val="22"/>
              </w:rPr>
              <w:t>500.000.000</w:t>
            </w:r>
          </w:p>
        </w:tc>
        <w:tc>
          <w:tcPr>
            <w:tcW w:w="547" w:type="pct"/>
            <w:tcBorders>
              <w:top w:val="single" w:sz="4" w:space="0" w:color="000000"/>
              <w:left w:val="single" w:sz="4" w:space="0" w:color="000000"/>
              <w:bottom w:val="single" w:sz="4" w:space="0" w:color="000000"/>
              <w:right w:val="single" w:sz="4" w:space="0" w:color="000000"/>
            </w:tcBorders>
            <w:vAlign w:val="center"/>
          </w:tcPr>
          <w:p w:rsidR="00ED1433" w:rsidRPr="00AB15D8" w:rsidRDefault="00AA54E5" w:rsidP="00AB15D8">
            <w:pPr>
              <w:spacing w:line="312" w:lineRule="auto"/>
              <w:ind w:left="-2" w:firstLine="0"/>
              <w:jc w:val="center"/>
              <w:rPr>
                <w:sz w:val="22"/>
                <w:szCs w:val="22"/>
              </w:rPr>
            </w:pPr>
            <w:r w:rsidRPr="00AB15D8">
              <w:rPr>
                <w:sz w:val="22"/>
                <w:szCs w:val="22"/>
              </w:rPr>
              <w:t>10.000</w:t>
            </w:r>
          </w:p>
        </w:tc>
        <w:tc>
          <w:tcPr>
            <w:tcW w:w="313" w:type="pct"/>
            <w:tcBorders>
              <w:top w:val="single" w:sz="4" w:space="0" w:color="000000"/>
              <w:left w:val="single" w:sz="4" w:space="0" w:color="000000"/>
              <w:bottom w:val="single" w:sz="4" w:space="0" w:color="000000"/>
              <w:right w:val="single" w:sz="4" w:space="0" w:color="000000"/>
            </w:tcBorders>
            <w:vAlign w:val="center"/>
          </w:tcPr>
          <w:p w:rsidR="00ED1433" w:rsidRPr="00AB15D8" w:rsidRDefault="00AA54E5" w:rsidP="00AB15D8">
            <w:pPr>
              <w:spacing w:line="312" w:lineRule="auto"/>
              <w:ind w:left="-2" w:firstLine="0"/>
              <w:jc w:val="center"/>
              <w:rPr>
                <w:sz w:val="22"/>
                <w:szCs w:val="22"/>
              </w:rPr>
            </w:pPr>
            <w:r w:rsidRPr="00AB15D8">
              <w:rPr>
                <w:sz w:val="22"/>
                <w:szCs w:val="22"/>
              </w:rPr>
              <w:t>10</w:t>
            </w:r>
          </w:p>
        </w:tc>
      </w:tr>
      <w:tr w:rsidR="00ED1433" w:rsidRPr="00AB15D8" w:rsidTr="004F49CE">
        <w:trPr>
          <w:trHeight w:val="332"/>
        </w:trPr>
        <w:tc>
          <w:tcPr>
            <w:tcW w:w="232" w:type="pct"/>
            <w:tcBorders>
              <w:top w:val="single" w:sz="4" w:space="0" w:color="000000"/>
              <w:left w:val="single" w:sz="4" w:space="0" w:color="000000"/>
              <w:bottom w:val="single" w:sz="4" w:space="0" w:color="000000"/>
              <w:right w:val="single" w:sz="4" w:space="0" w:color="000000"/>
            </w:tcBorders>
            <w:vAlign w:val="center"/>
          </w:tcPr>
          <w:p w:rsidR="00ED1433" w:rsidRPr="00AB15D8" w:rsidRDefault="00AA54E5" w:rsidP="00AB15D8">
            <w:pPr>
              <w:spacing w:line="312" w:lineRule="auto"/>
              <w:ind w:left="-2" w:firstLine="0"/>
              <w:jc w:val="center"/>
              <w:rPr>
                <w:sz w:val="22"/>
                <w:szCs w:val="22"/>
              </w:rPr>
            </w:pPr>
            <w:r w:rsidRPr="00AB15D8">
              <w:rPr>
                <w:sz w:val="22"/>
                <w:szCs w:val="22"/>
              </w:rPr>
              <w:t>3</w:t>
            </w:r>
          </w:p>
        </w:tc>
        <w:tc>
          <w:tcPr>
            <w:tcW w:w="1407" w:type="pct"/>
            <w:tcBorders>
              <w:top w:val="single" w:sz="4" w:space="0" w:color="000000"/>
              <w:left w:val="single" w:sz="4" w:space="0" w:color="000000"/>
              <w:bottom w:val="single" w:sz="4" w:space="0" w:color="000000"/>
              <w:right w:val="single" w:sz="4" w:space="0" w:color="000000"/>
            </w:tcBorders>
            <w:vAlign w:val="center"/>
          </w:tcPr>
          <w:p w:rsidR="00ED1433" w:rsidRPr="00AB15D8" w:rsidRDefault="00AA54E5" w:rsidP="00AB15D8">
            <w:pPr>
              <w:spacing w:line="312" w:lineRule="auto"/>
              <w:ind w:firstLine="0"/>
              <w:jc w:val="center"/>
              <w:rPr>
                <w:b/>
                <w:sz w:val="22"/>
                <w:szCs w:val="22"/>
              </w:rPr>
            </w:pPr>
            <w:r w:rsidRPr="00AB15D8">
              <w:rPr>
                <w:b/>
                <w:sz w:val="22"/>
                <w:szCs w:val="22"/>
              </w:rPr>
              <w:t>ĐINH VĂN CHIẾN</w:t>
            </w:r>
          </w:p>
        </w:tc>
        <w:tc>
          <w:tcPr>
            <w:tcW w:w="547" w:type="pct"/>
            <w:tcBorders>
              <w:top w:val="single" w:sz="4" w:space="0" w:color="000000"/>
              <w:left w:val="single" w:sz="4" w:space="0" w:color="000000"/>
              <w:bottom w:val="single" w:sz="4" w:space="0" w:color="000000"/>
              <w:right w:val="single" w:sz="4" w:space="0" w:color="000000"/>
            </w:tcBorders>
            <w:vAlign w:val="center"/>
          </w:tcPr>
          <w:p w:rsidR="00ED1433" w:rsidRPr="00AB15D8" w:rsidRDefault="00AA54E5" w:rsidP="00AB15D8">
            <w:pPr>
              <w:spacing w:line="312" w:lineRule="auto"/>
              <w:ind w:left="-2" w:firstLine="0"/>
              <w:jc w:val="center"/>
              <w:rPr>
                <w:sz w:val="22"/>
                <w:szCs w:val="22"/>
              </w:rPr>
            </w:pPr>
            <w:r w:rsidRPr="00AB15D8">
              <w:rPr>
                <w:sz w:val="22"/>
                <w:szCs w:val="22"/>
              </w:rPr>
              <w:t>50.000</w:t>
            </w:r>
          </w:p>
        </w:tc>
        <w:tc>
          <w:tcPr>
            <w:tcW w:w="625" w:type="pct"/>
            <w:tcBorders>
              <w:top w:val="single" w:sz="4" w:space="0" w:color="000000"/>
              <w:left w:val="single" w:sz="4" w:space="0" w:color="000000"/>
              <w:bottom w:val="single" w:sz="4" w:space="0" w:color="000000"/>
              <w:right w:val="single" w:sz="4" w:space="0" w:color="000000"/>
            </w:tcBorders>
            <w:vAlign w:val="center"/>
          </w:tcPr>
          <w:p w:rsidR="00ED1433" w:rsidRPr="00AB15D8" w:rsidRDefault="00AA54E5" w:rsidP="00AB15D8">
            <w:pPr>
              <w:spacing w:line="312" w:lineRule="auto"/>
              <w:ind w:left="-2" w:firstLine="0"/>
              <w:jc w:val="center"/>
              <w:rPr>
                <w:sz w:val="22"/>
                <w:szCs w:val="22"/>
              </w:rPr>
            </w:pPr>
            <w:r w:rsidRPr="00AB15D8">
              <w:rPr>
                <w:sz w:val="22"/>
                <w:szCs w:val="22"/>
              </w:rPr>
              <w:t>50.000</w:t>
            </w:r>
          </w:p>
        </w:tc>
        <w:tc>
          <w:tcPr>
            <w:tcW w:w="469" w:type="pct"/>
            <w:tcBorders>
              <w:top w:val="single" w:sz="4" w:space="0" w:color="000000"/>
              <w:left w:val="single" w:sz="4" w:space="0" w:color="000000"/>
              <w:bottom w:val="single" w:sz="4" w:space="0" w:color="000000"/>
              <w:right w:val="single" w:sz="4" w:space="0" w:color="000000"/>
            </w:tcBorders>
            <w:vAlign w:val="center"/>
          </w:tcPr>
          <w:p w:rsidR="00ED1433" w:rsidRPr="00AB15D8" w:rsidRDefault="00AA54E5" w:rsidP="00AB15D8">
            <w:pPr>
              <w:spacing w:line="312" w:lineRule="auto"/>
              <w:ind w:left="-2" w:firstLine="0"/>
              <w:jc w:val="center"/>
              <w:rPr>
                <w:sz w:val="22"/>
                <w:szCs w:val="22"/>
              </w:rPr>
            </w:pPr>
            <w:r w:rsidRPr="00AB15D8">
              <w:rPr>
                <w:sz w:val="22"/>
                <w:szCs w:val="22"/>
              </w:rPr>
              <w:t>0</w:t>
            </w:r>
          </w:p>
        </w:tc>
        <w:tc>
          <w:tcPr>
            <w:tcW w:w="860" w:type="pct"/>
            <w:tcBorders>
              <w:top w:val="single" w:sz="4" w:space="0" w:color="000000"/>
              <w:left w:val="single" w:sz="4" w:space="0" w:color="000000"/>
              <w:bottom w:val="single" w:sz="4" w:space="0" w:color="000000"/>
              <w:right w:val="single" w:sz="4" w:space="0" w:color="000000"/>
            </w:tcBorders>
            <w:vAlign w:val="center"/>
          </w:tcPr>
          <w:p w:rsidR="00ED1433" w:rsidRPr="00AB15D8" w:rsidRDefault="00AA54E5" w:rsidP="00AB15D8">
            <w:pPr>
              <w:spacing w:line="312" w:lineRule="auto"/>
              <w:ind w:left="-2" w:firstLine="0"/>
              <w:jc w:val="center"/>
              <w:rPr>
                <w:sz w:val="22"/>
                <w:szCs w:val="22"/>
              </w:rPr>
            </w:pPr>
            <w:r w:rsidRPr="00AB15D8">
              <w:rPr>
                <w:sz w:val="22"/>
                <w:szCs w:val="22"/>
              </w:rPr>
              <w:t>500.000.000</w:t>
            </w:r>
          </w:p>
        </w:tc>
        <w:tc>
          <w:tcPr>
            <w:tcW w:w="547" w:type="pct"/>
            <w:tcBorders>
              <w:top w:val="single" w:sz="4" w:space="0" w:color="000000"/>
              <w:left w:val="single" w:sz="4" w:space="0" w:color="000000"/>
              <w:bottom w:val="single" w:sz="4" w:space="0" w:color="000000"/>
              <w:right w:val="single" w:sz="4" w:space="0" w:color="000000"/>
            </w:tcBorders>
            <w:vAlign w:val="center"/>
          </w:tcPr>
          <w:p w:rsidR="00ED1433" w:rsidRPr="00AB15D8" w:rsidRDefault="00AA54E5" w:rsidP="00AB15D8">
            <w:pPr>
              <w:spacing w:line="312" w:lineRule="auto"/>
              <w:ind w:left="-2" w:firstLine="0"/>
              <w:jc w:val="center"/>
              <w:rPr>
                <w:sz w:val="22"/>
                <w:szCs w:val="22"/>
              </w:rPr>
            </w:pPr>
            <w:r w:rsidRPr="00AB15D8">
              <w:rPr>
                <w:sz w:val="22"/>
                <w:szCs w:val="22"/>
              </w:rPr>
              <w:t>10.000</w:t>
            </w:r>
          </w:p>
        </w:tc>
        <w:tc>
          <w:tcPr>
            <w:tcW w:w="313" w:type="pct"/>
            <w:tcBorders>
              <w:top w:val="single" w:sz="4" w:space="0" w:color="000000"/>
              <w:left w:val="single" w:sz="4" w:space="0" w:color="000000"/>
              <w:bottom w:val="single" w:sz="4" w:space="0" w:color="000000"/>
              <w:right w:val="single" w:sz="4" w:space="0" w:color="000000"/>
            </w:tcBorders>
            <w:vAlign w:val="center"/>
          </w:tcPr>
          <w:p w:rsidR="00ED1433" w:rsidRPr="00AB15D8" w:rsidRDefault="00AA54E5" w:rsidP="00AB15D8">
            <w:pPr>
              <w:spacing w:line="312" w:lineRule="auto"/>
              <w:ind w:left="-2" w:firstLine="0"/>
              <w:jc w:val="center"/>
              <w:rPr>
                <w:sz w:val="22"/>
                <w:szCs w:val="22"/>
              </w:rPr>
            </w:pPr>
            <w:r w:rsidRPr="00AB15D8">
              <w:rPr>
                <w:sz w:val="22"/>
                <w:szCs w:val="22"/>
              </w:rPr>
              <w:t>10</w:t>
            </w:r>
          </w:p>
        </w:tc>
      </w:tr>
      <w:tr w:rsidR="00ED1433" w:rsidRPr="00AB15D8" w:rsidTr="004F49CE">
        <w:trPr>
          <w:trHeight w:val="332"/>
        </w:trPr>
        <w:tc>
          <w:tcPr>
            <w:tcW w:w="232" w:type="pct"/>
            <w:tcBorders>
              <w:top w:val="single" w:sz="4" w:space="0" w:color="000000"/>
              <w:left w:val="single" w:sz="4" w:space="0" w:color="000000"/>
              <w:bottom w:val="single" w:sz="4" w:space="0" w:color="000000"/>
              <w:right w:val="single" w:sz="4" w:space="0" w:color="000000"/>
            </w:tcBorders>
            <w:vAlign w:val="center"/>
          </w:tcPr>
          <w:p w:rsidR="00ED1433" w:rsidRPr="00AB15D8" w:rsidRDefault="00AA54E5" w:rsidP="00AB15D8">
            <w:pPr>
              <w:spacing w:line="312" w:lineRule="auto"/>
              <w:ind w:left="-2" w:firstLine="0"/>
              <w:jc w:val="center"/>
              <w:rPr>
                <w:sz w:val="22"/>
                <w:szCs w:val="22"/>
              </w:rPr>
            </w:pPr>
            <w:r w:rsidRPr="00AB15D8">
              <w:rPr>
                <w:sz w:val="22"/>
                <w:szCs w:val="22"/>
              </w:rPr>
              <w:t>4</w:t>
            </w:r>
          </w:p>
        </w:tc>
        <w:tc>
          <w:tcPr>
            <w:tcW w:w="1407" w:type="pct"/>
            <w:tcBorders>
              <w:top w:val="single" w:sz="4" w:space="0" w:color="000000"/>
              <w:left w:val="single" w:sz="4" w:space="0" w:color="000000"/>
              <w:bottom w:val="single" w:sz="4" w:space="0" w:color="000000"/>
              <w:right w:val="single" w:sz="4" w:space="0" w:color="000000"/>
            </w:tcBorders>
            <w:vAlign w:val="center"/>
          </w:tcPr>
          <w:p w:rsidR="00ED1433" w:rsidRPr="00AB15D8" w:rsidRDefault="00AA54E5" w:rsidP="00AB15D8">
            <w:pPr>
              <w:spacing w:line="312" w:lineRule="auto"/>
              <w:ind w:firstLine="0"/>
              <w:jc w:val="center"/>
              <w:rPr>
                <w:b/>
                <w:sz w:val="22"/>
                <w:szCs w:val="22"/>
              </w:rPr>
            </w:pPr>
            <w:r w:rsidRPr="00AB15D8">
              <w:rPr>
                <w:b/>
                <w:sz w:val="22"/>
                <w:szCs w:val="22"/>
              </w:rPr>
              <w:t>ĐINH VĂN HỮU</w:t>
            </w:r>
          </w:p>
        </w:tc>
        <w:tc>
          <w:tcPr>
            <w:tcW w:w="547" w:type="pct"/>
            <w:tcBorders>
              <w:top w:val="single" w:sz="4" w:space="0" w:color="000000"/>
              <w:left w:val="single" w:sz="4" w:space="0" w:color="000000"/>
              <w:bottom w:val="single" w:sz="4" w:space="0" w:color="000000"/>
              <w:right w:val="single" w:sz="4" w:space="0" w:color="000000"/>
            </w:tcBorders>
            <w:vAlign w:val="center"/>
          </w:tcPr>
          <w:p w:rsidR="00ED1433" w:rsidRPr="00AB15D8" w:rsidRDefault="00AA54E5" w:rsidP="00AB15D8">
            <w:pPr>
              <w:spacing w:line="312" w:lineRule="auto"/>
              <w:ind w:left="-2" w:firstLine="0"/>
              <w:jc w:val="center"/>
              <w:rPr>
                <w:sz w:val="22"/>
                <w:szCs w:val="22"/>
              </w:rPr>
            </w:pPr>
            <w:r w:rsidRPr="00AB15D8">
              <w:rPr>
                <w:sz w:val="22"/>
                <w:szCs w:val="22"/>
              </w:rPr>
              <w:t>50.000</w:t>
            </w:r>
          </w:p>
        </w:tc>
        <w:tc>
          <w:tcPr>
            <w:tcW w:w="625" w:type="pct"/>
            <w:tcBorders>
              <w:top w:val="single" w:sz="4" w:space="0" w:color="000000"/>
              <w:left w:val="single" w:sz="4" w:space="0" w:color="000000"/>
              <w:bottom w:val="single" w:sz="4" w:space="0" w:color="000000"/>
              <w:right w:val="single" w:sz="4" w:space="0" w:color="000000"/>
            </w:tcBorders>
            <w:vAlign w:val="center"/>
          </w:tcPr>
          <w:p w:rsidR="00ED1433" w:rsidRPr="00AB15D8" w:rsidRDefault="00AA54E5" w:rsidP="00AB15D8">
            <w:pPr>
              <w:spacing w:line="312" w:lineRule="auto"/>
              <w:ind w:left="-2" w:firstLine="0"/>
              <w:jc w:val="center"/>
              <w:rPr>
                <w:sz w:val="22"/>
                <w:szCs w:val="22"/>
              </w:rPr>
            </w:pPr>
            <w:r w:rsidRPr="00AB15D8">
              <w:rPr>
                <w:sz w:val="22"/>
                <w:szCs w:val="22"/>
              </w:rPr>
              <w:t>50.000</w:t>
            </w:r>
          </w:p>
        </w:tc>
        <w:tc>
          <w:tcPr>
            <w:tcW w:w="469" w:type="pct"/>
            <w:tcBorders>
              <w:top w:val="single" w:sz="4" w:space="0" w:color="000000"/>
              <w:left w:val="single" w:sz="4" w:space="0" w:color="000000"/>
              <w:bottom w:val="single" w:sz="4" w:space="0" w:color="000000"/>
              <w:right w:val="single" w:sz="4" w:space="0" w:color="000000"/>
            </w:tcBorders>
            <w:vAlign w:val="center"/>
          </w:tcPr>
          <w:p w:rsidR="00ED1433" w:rsidRPr="00AB15D8" w:rsidRDefault="00AA54E5" w:rsidP="00AB15D8">
            <w:pPr>
              <w:spacing w:line="312" w:lineRule="auto"/>
              <w:ind w:left="-2" w:firstLine="0"/>
              <w:jc w:val="center"/>
              <w:rPr>
                <w:sz w:val="22"/>
                <w:szCs w:val="22"/>
              </w:rPr>
            </w:pPr>
            <w:r w:rsidRPr="00AB15D8">
              <w:rPr>
                <w:sz w:val="22"/>
                <w:szCs w:val="22"/>
              </w:rPr>
              <w:t>0</w:t>
            </w:r>
          </w:p>
        </w:tc>
        <w:tc>
          <w:tcPr>
            <w:tcW w:w="860" w:type="pct"/>
            <w:tcBorders>
              <w:top w:val="single" w:sz="4" w:space="0" w:color="000000"/>
              <w:left w:val="single" w:sz="4" w:space="0" w:color="000000"/>
              <w:bottom w:val="single" w:sz="4" w:space="0" w:color="000000"/>
              <w:right w:val="single" w:sz="4" w:space="0" w:color="000000"/>
            </w:tcBorders>
            <w:vAlign w:val="center"/>
          </w:tcPr>
          <w:p w:rsidR="00ED1433" w:rsidRPr="00AB15D8" w:rsidRDefault="00AA54E5" w:rsidP="00AB15D8">
            <w:pPr>
              <w:spacing w:line="312" w:lineRule="auto"/>
              <w:ind w:left="-2" w:firstLine="0"/>
              <w:jc w:val="center"/>
              <w:rPr>
                <w:sz w:val="22"/>
                <w:szCs w:val="22"/>
              </w:rPr>
            </w:pPr>
            <w:r w:rsidRPr="00AB15D8">
              <w:rPr>
                <w:sz w:val="22"/>
                <w:szCs w:val="22"/>
              </w:rPr>
              <w:t>500.000.000</w:t>
            </w:r>
          </w:p>
        </w:tc>
        <w:tc>
          <w:tcPr>
            <w:tcW w:w="547" w:type="pct"/>
            <w:tcBorders>
              <w:top w:val="single" w:sz="4" w:space="0" w:color="000000"/>
              <w:left w:val="single" w:sz="4" w:space="0" w:color="000000"/>
              <w:bottom w:val="single" w:sz="4" w:space="0" w:color="000000"/>
              <w:right w:val="single" w:sz="4" w:space="0" w:color="000000"/>
            </w:tcBorders>
            <w:vAlign w:val="center"/>
          </w:tcPr>
          <w:p w:rsidR="00ED1433" w:rsidRPr="00AB15D8" w:rsidRDefault="00AA54E5" w:rsidP="00AB15D8">
            <w:pPr>
              <w:spacing w:line="312" w:lineRule="auto"/>
              <w:ind w:left="-2" w:firstLine="0"/>
              <w:jc w:val="center"/>
              <w:rPr>
                <w:sz w:val="22"/>
                <w:szCs w:val="22"/>
              </w:rPr>
            </w:pPr>
            <w:r w:rsidRPr="00AB15D8">
              <w:rPr>
                <w:sz w:val="22"/>
                <w:szCs w:val="22"/>
              </w:rPr>
              <w:t>10.000</w:t>
            </w:r>
          </w:p>
        </w:tc>
        <w:tc>
          <w:tcPr>
            <w:tcW w:w="313" w:type="pct"/>
            <w:tcBorders>
              <w:top w:val="single" w:sz="4" w:space="0" w:color="000000"/>
              <w:left w:val="single" w:sz="4" w:space="0" w:color="000000"/>
              <w:bottom w:val="single" w:sz="4" w:space="0" w:color="000000"/>
              <w:right w:val="single" w:sz="4" w:space="0" w:color="000000"/>
            </w:tcBorders>
            <w:vAlign w:val="center"/>
          </w:tcPr>
          <w:p w:rsidR="00ED1433" w:rsidRPr="00AB15D8" w:rsidRDefault="00AA54E5" w:rsidP="00AB15D8">
            <w:pPr>
              <w:spacing w:line="312" w:lineRule="auto"/>
              <w:ind w:left="-2" w:firstLine="0"/>
              <w:jc w:val="center"/>
              <w:rPr>
                <w:sz w:val="22"/>
                <w:szCs w:val="22"/>
              </w:rPr>
            </w:pPr>
            <w:r w:rsidRPr="00AB15D8">
              <w:rPr>
                <w:sz w:val="22"/>
                <w:szCs w:val="22"/>
              </w:rPr>
              <w:t>10</w:t>
            </w:r>
          </w:p>
        </w:tc>
      </w:tr>
      <w:tr w:rsidR="00ED1433" w:rsidRPr="00AB15D8" w:rsidTr="004F49CE">
        <w:tc>
          <w:tcPr>
            <w:tcW w:w="1639" w:type="pct"/>
            <w:gridSpan w:val="2"/>
            <w:tcBorders>
              <w:top w:val="single" w:sz="4" w:space="0" w:color="000000"/>
              <w:left w:val="single" w:sz="4" w:space="0" w:color="000000"/>
              <w:bottom w:val="single" w:sz="4" w:space="0" w:color="000000"/>
              <w:right w:val="single" w:sz="4" w:space="0" w:color="000000"/>
            </w:tcBorders>
            <w:vAlign w:val="center"/>
          </w:tcPr>
          <w:p w:rsidR="00ED1433" w:rsidRPr="00AB15D8" w:rsidRDefault="00AA54E5" w:rsidP="00AB15D8">
            <w:pPr>
              <w:spacing w:line="312" w:lineRule="auto"/>
              <w:ind w:left="-2" w:firstLine="0"/>
              <w:jc w:val="center"/>
              <w:rPr>
                <w:sz w:val="22"/>
                <w:szCs w:val="22"/>
              </w:rPr>
            </w:pPr>
            <w:r w:rsidRPr="00AB15D8">
              <w:rPr>
                <w:sz w:val="22"/>
                <w:szCs w:val="22"/>
              </w:rPr>
              <w:t>Tổng</w:t>
            </w:r>
          </w:p>
        </w:tc>
        <w:tc>
          <w:tcPr>
            <w:tcW w:w="547" w:type="pct"/>
            <w:tcBorders>
              <w:top w:val="single" w:sz="4" w:space="0" w:color="000000"/>
              <w:left w:val="single" w:sz="4" w:space="0" w:color="000000"/>
              <w:bottom w:val="single" w:sz="4" w:space="0" w:color="000000"/>
              <w:right w:val="single" w:sz="4" w:space="0" w:color="000000"/>
            </w:tcBorders>
            <w:vAlign w:val="center"/>
          </w:tcPr>
          <w:p w:rsidR="00ED1433" w:rsidRPr="00AB15D8" w:rsidRDefault="00AA54E5" w:rsidP="00AB15D8">
            <w:pPr>
              <w:spacing w:line="312" w:lineRule="auto"/>
              <w:ind w:left="-2" w:firstLine="0"/>
              <w:jc w:val="center"/>
              <w:rPr>
                <w:sz w:val="22"/>
                <w:szCs w:val="22"/>
              </w:rPr>
            </w:pPr>
            <w:r w:rsidRPr="00AB15D8">
              <w:rPr>
                <w:sz w:val="22"/>
                <w:szCs w:val="22"/>
              </w:rPr>
              <w:t>500.000</w:t>
            </w:r>
          </w:p>
        </w:tc>
        <w:tc>
          <w:tcPr>
            <w:tcW w:w="625" w:type="pct"/>
            <w:tcBorders>
              <w:top w:val="single" w:sz="4" w:space="0" w:color="000000"/>
              <w:left w:val="single" w:sz="4" w:space="0" w:color="000000"/>
              <w:bottom w:val="single" w:sz="4" w:space="0" w:color="000000"/>
              <w:right w:val="single" w:sz="4" w:space="0" w:color="000000"/>
            </w:tcBorders>
            <w:vAlign w:val="center"/>
          </w:tcPr>
          <w:p w:rsidR="00ED1433" w:rsidRPr="00AB15D8" w:rsidRDefault="00AA54E5" w:rsidP="00AB15D8">
            <w:pPr>
              <w:spacing w:line="312" w:lineRule="auto"/>
              <w:ind w:left="-2" w:firstLine="0"/>
              <w:jc w:val="center"/>
              <w:rPr>
                <w:sz w:val="22"/>
                <w:szCs w:val="22"/>
              </w:rPr>
            </w:pPr>
            <w:r w:rsidRPr="00AB15D8">
              <w:rPr>
                <w:sz w:val="22"/>
                <w:szCs w:val="22"/>
              </w:rPr>
              <w:t>500.000</w:t>
            </w:r>
          </w:p>
        </w:tc>
        <w:tc>
          <w:tcPr>
            <w:tcW w:w="469" w:type="pct"/>
            <w:tcBorders>
              <w:top w:val="single" w:sz="4" w:space="0" w:color="000000"/>
              <w:left w:val="single" w:sz="4" w:space="0" w:color="000000"/>
              <w:bottom w:val="single" w:sz="4" w:space="0" w:color="000000"/>
              <w:right w:val="single" w:sz="4" w:space="0" w:color="000000"/>
            </w:tcBorders>
            <w:vAlign w:val="center"/>
          </w:tcPr>
          <w:p w:rsidR="00ED1433" w:rsidRPr="00AB15D8" w:rsidRDefault="00AA54E5" w:rsidP="00AB15D8">
            <w:pPr>
              <w:spacing w:line="312" w:lineRule="auto"/>
              <w:ind w:left="-2" w:firstLine="0"/>
              <w:jc w:val="center"/>
              <w:rPr>
                <w:sz w:val="22"/>
                <w:szCs w:val="22"/>
              </w:rPr>
            </w:pPr>
            <w:r w:rsidRPr="00AB15D8">
              <w:rPr>
                <w:sz w:val="22"/>
                <w:szCs w:val="22"/>
              </w:rPr>
              <w:t>0</w:t>
            </w:r>
          </w:p>
        </w:tc>
        <w:tc>
          <w:tcPr>
            <w:tcW w:w="860" w:type="pct"/>
            <w:tcBorders>
              <w:top w:val="single" w:sz="4" w:space="0" w:color="000000"/>
              <w:left w:val="single" w:sz="4" w:space="0" w:color="000000"/>
              <w:bottom w:val="single" w:sz="4" w:space="0" w:color="000000"/>
              <w:right w:val="single" w:sz="4" w:space="0" w:color="000000"/>
            </w:tcBorders>
            <w:vAlign w:val="center"/>
          </w:tcPr>
          <w:p w:rsidR="00ED1433" w:rsidRPr="00AB15D8" w:rsidRDefault="00AA54E5" w:rsidP="00AB15D8">
            <w:pPr>
              <w:spacing w:line="312" w:lineRule="auto"/>
              <w:ind w:left="-2" w:firstLine="0"/>
              <w:jc w:val="center"/>
              <w:rPr>
                <w:sz w:val="22"/>
                <w:szCs w:val="22"/>
              </w:rPr>
            </w:pPr>
            <w:r w:rsidRPr="00AB15D8">
              <w:rPr>
                <w:sz w:val="22"/>
                <w:szCs w:val="22"/>
              </w:rPr>
              <w:t>5.000.000.000</w:t>
            </w:r>
          </w:p>
        </w:tc>
        <w:tc>
          <w:tcPr>
            <w:tcW w:w="547" w:type="pct"/>
            <w:tcBorders>
              <w:top w:val="single" w:sz="4" w:space="0" w:color="000000"/>
              <w:left w:val="single" w:sz="4" w:space="0" w:color="000000"/>
              <w:bottom w:val="single" w:sz="4" w:space="0" w:color="000000"/>
              <w:right w:val="single" w:sz="4" w:space="0" w:color="000000"/>
            </w:tcBorders>
            <w:vAlign w:val="center"/>
          </w:tcPr>
          <w:p w:rsidR="00ED1433" w:rsidRPr="00AB15D8" w:rsidRDefault="00ED1433" w:rsidP="00AB15D8">
            <w:pPr>
              <w:spacing w:line="312" w:lineRule="auto"/>
              <w:ind w:left="-2" w:firstLine="0"/>
              <w:jc w:val="center"/>
              <w:rPr>
                <w:sz w:val="22"/>
                <w:szCs w:val="22"/>
              </w:rPr>
            </w:pPr>
          </w:p>
        </w:tc>
        <w:tc>
          <w:tcPr>
            <w:tcW w:w="313" w:type="pct"/>
            <w:tcBorders>
              <w:top w:val="single" w:sz="4" w:space="0" w:color="000000"/>
              <w:left w:val="single" w:sz="4" w:space="0" w:color="000000"/>
              <w:bottom w:val="single" w:sz="4" w:space="0" w:color="000000"/>
              <w:right w:val="single" w:sz="4" w:space="0" w:color="000000"/>
            </w:tcBorders>
            <w:vAlign w:val="center"/>
          </w:tcPr>
          <w:p w:rsidR="00ED1433" w:rsidRPr="00AB15D8" w:rsidRDefault="00AA54E5" w:rsidP="00AB15D8">
            <w:pPr>
              <w:spacing w:line="312" w:lineRule="auto"/>
              <w:ind w:left="-2" w:firstLine="0"/>
              <w:jc w:val="center"/>
              <w:rPr>
                <w:sz w:val="22"/>
                <w:szCs w:val="22"/>
              </w:rPr>
            </w:pPr>
            <w:r w:rsidRPr="00AB15D8">
              <w:rPr>
                <w:sz w:val="22"/>
                <w:szCs w:val="22"/>
              </w:rPr>
              <w:t>100</w:t>
            </w:r>
          </w:p>
        </w:tc>
      </w:tr>
    </w:tbl>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rPr>
        <w:t>4. Thời điểm góp vốn: 90 ngày kể từ ngày công ty được cấp Giấy chứng nhận đăng ký kinh doanh</w:t>
      </w:r>
      <w:r w:rsidR="004F49CE" w:rsidRPr="00AB15D8">
        <w:rPr>
          <w:sz w:val="22"/>
          <w:szCs w:val="22"/>
          <w:lang w:val="vi-VN"/>
        </w:rPr>
        <w:t>.</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 xml:space="preserve">5. </w:t>
      </w:r>
      <w:r w:rsidRPr="00AB15D8">
        <w:rPr>
          <w:sz w:val="22"/>
          <w:szCs w:val="22"/>
          <w:highlight w:val="white"/>
          <w:lang w:val="vi-VN"/>
        </w:rPr>
        <w:t>Trong thời hạn từ ngày công ty được cấp Giấy chứng nhận đăng ký doanh nghiệp đến ngày cuối cùng phải thanh toán đủ số cổ phần đã đăng ký mua, số phiếu biểu quyết của các cổ đông được tính theo số cổ phần phổ thông đã được đăng ký mua.</w:t>
      </w:r>
      <w:r w:rsidRPr="00AB15D8">
        <w:rPr>
          <w:sz w:val="22"/>
          <w:szCs w:val="22"/>
          <w:lang w:val="vi-VN"/>
        </w:rPr>
        <w:t xml:space="preserve">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6. Trường hợp sau khi hết thời hạn, cổ đông chưa thanh toán hoặc chỉ thanh toán được một phần số cổ phần đã đăng ký mua thì thực hiện theo quy định sau đây: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a) Cổ đông chưa thanh toán số cổ phần đã đăng ký mua đương nhiên không còn là cổ đông của công ty và không được chuyển nhượng quyền mua cổ phần đó cho người khác;</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b) Cổ đông chỉ thanh toán một phần số cổ phần đã đăng ký mua có quyền biểu quyết, nhận lợi tức và các quyền khác tương ứng với số cổ phần đã thanh toán; không được chuyển nhượng quyền mua số cổ phần chưa thanh toán cho người khác;</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c) Cổ phần chưa thanh toán được coi là cổ phần chưa bán và Hội đồng quản trị được quyền bán;</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d) </w:t>
      </w:r>
      <w:r w:rsidRPr="00AB15D8">
        <w:rPr>
          <w:sz w:val="22"/>
          <w:szCs w:val="22"/>
          <w:highlight w:val="white"/>
          <w:lang w:val="vi-VN"/>
        </w:rPr>
        <w:t>Trong</w:t>
      </w:r>
      <w:r w:rsidRPr="00AB15D8">
        <w:rPr>
          <w:sz w:val="22"/>
          <w:szCs w:val="22"/>
          <w:lang w:val="vi-VN"/>
        </w:rPr>
        <w:t> thời hạn 30 ngày kể từ ngày kết thúc thời hạn phải thanh toán đủ số cổ phần đã đăng ký mua, công ty phải đăng ký điều chỉnh vốn điều lệ bằng mệnh giá số cổ phần đã được thanh toán đủ, trừ trường hợp số cổ phần chưa thanh toán đã được bán hết trong thời hạn này; đăng ký thay đổi cổ đông sáng lập.</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 xml:space="preserve">7. </w:t>
      </w:r>
      <w:r w:rsidRPr="00AB15D8">
        <w:rPr>
          <w:sz w:val="22"/>
          <w:szCs w:val="22"/>
          <w:highlight w:val="white"/>
          <w:lang w:val="vi-VN"/>
        </w:rPr>
        <w:t>Cổ đông chưa thanh toán hoặc chưa thanh toán đủ số cổ phần đã đăng ký mua phải chịu trách nhiệm tương ứng với tổng mệnh giá cổ phần đã đăng ký mua đối với các nghĩa vụ tài chính của công ty phát sinh trong thời hạn trước ngày công ty đăng ký điều chỉnh vốn điều lệ theo quy định tại điểm d khoản 6 Điều này. Thành viên Hội đồng quản trị, người đại diện theo pháp luật phải chịu trách nhiệm liên đới về các thiệt hại phát sinh do không thực hiện hoặc không thực hiện đúng quy định tại khoản 1 và điểm d khoản 6 Điều này</w:t>
      </w:r>
      <w:r w:rsidRPr="00AB15D8">
        <w:rPr>
          <w:sz w:val="22"/>
          <w:szCs w:val="22"/>
          <w:lang w:val="vi-VN"/>
        </w:rPr>
        <w:t>.</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8.  Công ty có thể thay đổi vốn điều lệ trong các trường hợp sau đây: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a) Theo quyết định của Đại hội đồng cổ đông, Công ty hoàn trả một phần vốn góp cho cổ đông theo tỷ lệ sở hữu cổ phần của họ trong Công ty nếu Công ty đã hoạt động kinh doanh liên tục trong hơn 02 năm, kể từ ngày đăng ký doanh nghiệp và bảo đảm thanh toán đủ các khoản nợ và nghĩa vụ tài sản khác sau khi đã hoàn trả cho cổ đông;</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b) Công ty mua lại cổ phần đã phát hành quy định tại Điều 132, 133 Luật doanh nghiệp;</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c) Vốn điều lệ không được các cổ đông thanh toán đầy đủ và đúng hạn theo quy định tại Điều này.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 xml:space="preserve">d) Công ty tăng vốn điều lệ tương ứng với tổng giá trị mệnh giá các cổ phần dùng để chi trả cổ tức khi Công ty chi trả cổ tức bằng cổ phần.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 xml:space="preserve">đ) Công ty tăng thêm số lượng cổ phần được quyền chào bán và bán các cổ phần đó trong quá trình hoạt động để tăng vốn điều lệ. </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b/>
          <w:sz w:val="22"/>
          <w:szCs w:val="22"/>
          <w:lang w:val="vi-VN"/>
        </w:rPr>
        <w:t xml:space="preserve">Điều 5. Cổ phần phổ thông của cổ đông sáng lập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1. Các cổ đông sáng lập phải cùng nhau đăng ký mua ít nhất 20% tổng số cổ phần phổ thông được quyền chào bán tại thời điểm đăng ký doanh nghiệp.</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highlight w:val="white"/>
          <w:lang w:val="vi-VN"/>
        </w:rPr>
      </w:pPr>
      <w:r w:rsidRPr="00AB15D8">
        <w:rPr>
          <w:sz w:val="22"/>
          <w:szCs w:val="22"/>
          <w:lang w:val="vi-VN"/>
        </w:rPr>
        <w:lastRenderedPageBreak/>
        <w:t xml:space="preserve">2. </w:t>
      </w:r>
      <w:r w:rsidRPr="00AB15D8">
        <w:rPr>
          <w:sz w:val="22"/>
          <w:szCs w:val="22"/>
          <w:highlight w:val="white"/>
          <w:lang w:val="vi-VN"/>
        </w:rPr>
        <w:t>Trong thời hạn 03 năm kể từ ngày công ty được cấp Giấy chứng nhận đăng ký doanh nghiệp, cổ phần phổ thông của cổ đông sáng lập được tự do chuyển nhượng cho cổ đông sáng lập khác và chỉ được chuyển nhượng cho người không phải là cổ đông sáng lập nếu được sự chấp thuận của Đại hội đồng cổ đông. Trường hợp này, cổ đông sáng lập dự định chuyển nhượng cổ phần phổ thông thì không có quyền biểu quyết về việc chuyển nhượng cổ phần đó.</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3. Các hạn chế quy định tại khoản 2 Điều này không áp dụng đối với cổ phần phổ thông sau đây: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a) Cổ phần mà cổ đông sáng lập có thêm sau khi đăng ký thành lập doanh nghiệp;</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b) Cổ phần đã được chuyển nhượng cho người khác không phải là cổ đông sáng lập.</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bookmarkStart w:id="4" w:name="_heading=h.xf2uydv6edub" w:colFirst="0" w:colLast="0"/>
      <w:bookmarkEnd w:id="4"/>
      <w:r w:rsidRPr="00AB15D8">
        <w:rPr>
          <w:b/>
          <w:sz w:val="22"/>
          <w:szCs w:val="22"/>
          <w:lang w:val="vi-VN"/>
        </w:rPr>
        <w:t>Điều 6.  Quyền của cổ đông phổ thông</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1. Cổ đông phổ thông có quyền sau đây: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a) Tham dự, phát biểu trong cuộc họp Đại hội đồng cổ đông và thực hiện quyền biểu quyết trực tiếp hoặc thông qua người đại diện theo ủy quyền hoặc hình thức khác do pháp luật quy định. Mỗi cổ phần phổ thông có một phiếu biểu quyết;</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b) Nhận cổ tức với mức theo quyết định của Đại hội đồng cổ đông;</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c) Ưu tiên mua cổ phần mới tương ứng với tỷ lệ sở hữu cổ phần phổ thông của từng cổ đông </w:t>
      </w:r>
      <w:r w:rsidRPr="00AB15D8">
        <w:rPr>
          <w:sz w:val="22"/>
          <w:szCs w:val="22"/>
          <w:highlight w:val="white"/>
          <w:lang w:val="vi-VN"/>
        </w:rPr>
        <w:t>trong</w:t>
      </w:r>
      <w:r w:rsidRPr="00AB15D8">
        <w:rPr>
          <w:sz w:val="22"/>
          <w:szCs w:val="22"/>
          <w:lang w:val="vi-VN"/>
        </w:rPr>
        <w:t> công ty;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d) Tự do chuyển nhượng cổ phần của mình cho người khác, trừ trường hợp quy định tại khoản 3 Điều 120, khoản 1 Điều 127 của Luật doanh nghiệp và quy định khác của pháp luật có liên quan;</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đ) Xem xét, tra cứu và trích lục thông tin về tên và địa chỉ liên lạc trong danh sách cổ đông có quyền biểu quyết; yêu cầu sửa đổi thông tin không chính xác của mình;</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e) Xem xét, tra cứu, trích lục hoặc sao chụp Điều lệ công ty, biên bản họp Đại hội đồng cổ đông và nghị quyết Đại hội đồng cổ đông;</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g) Khi công ty giải thể hoặc phá sản, được nhận một phần tài sản còn lại tương ứng với tỷ lệ sở hữu cổ phần tại công ty.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2. Cổ đông hoặc nhóm cổ đông sở hữu từ 05% tổng số cổ phần phổ thông trở lên có quyền sau đây: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a) Xem xét, tra cứu, trích lục sổ biên bản và nghị quyết, quyết định của Hội đồng quản trị, báo cáo tài chính giữa năm và hằng năm, báo cáo của Ban kiểm soát, hợp đồng, giao dịch phải thông qua Hội đồng quản trị và tài liệu khác, trừ tài liệu liên quan đến bí mật thương mại, bí mật kinh doanh của công ty;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b) Yêu cầu triệu tập họp Đại hội đồng cổ đông </w:t>
      </w:r>
      <w:r w:rsidRPr="00AB15D8">
        <w:rPr>
          <w:sz w:val="22"/>
          <w:szCs w:val="22"/>
          <w:highlight w:val="white"/>
          <w:lang w:val="vi-VN"/>
        </w:rPr>
        <w:t>trong</w:t>
      </w:r>
      <w:r w:rsidRPr="00AB15D8">
        <w:rPr>
          <w:sz w:val="22"/>
          <w:szCs w:val="22"/>
          <w:lang w:val="vi-VN"/>
        </w:rPr>
        <w:t> trường hợp quy định tại khoản 3 Điều này;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c) Yêu cầu Ban kiểm soát kiểm tra từng vấn đề cụ thể liên quan đến quản lý, điều hành hoạt động của công ty khi xét thấy cần thiết. Yêu cầu phải bằng văn bản và phải bao gồm các nội dung sau đây: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số lượng cổ phần và thời điểm đăng ký cổ phần của từng cổ đông, tổng số cổ phần của cả nhóm cổ đông và tỷ lệ sở hữu trong tổng số cổ phần của công ty; vấn đề cần kiểm tra, mục đích kiểm tra;</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3. Cổ đông hoặc nhóm cổ đông quy định tại khoản 2 Điều này có quyền yêu cầu triệu tập họp Đại hội đồng cổ đông trong trường hợp sau đây: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a) Hội đồng quản trị vi phạm nghiêm trọng quyền của cổ đông, nghĩa vụ của người quản lý hoặc ra quyết định vượt quá thẩm quyền được giao;</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4. Yêu cầu triệu tập họp Đại hội đồng cổ đông quy định tại khoản 3 Điều này phải bằng văn bản và phải bao gồm các nội dung sau đây: họ, tên, địa chỉ liên lạc, quốc tịch, số giấy tờ pháp lý của cá nhân đối </w:t>
      </w:r>
      <w:r w:rsidRPr="00AB15D8">
        <w:rPr>
          <w:sz w:val="22"/>
          <w:szCs w:val="22"/>
          <w:highlight w:val="white"/>
          <w:lang w:val="vi-VN"/>
        </w:rPr>
        <w:t>với</w:t>
      </w:r>
      <w:r w:rsidRPr="00AB15D8">
        <w:rPr>
          <w:sz w:val="22"/>
          <w:szCs w:val="22"/>
          <w:lang w:val="vi-VN"/>
        </w:rPr>
        <w:t> cổ đông là cá nhân; tên, mã số doanh nghiệp hoặc số giấy tờ pháp lý của tổ chức, địa chỉ trụ sở chính đối với cổ đông là tổ chức; số lượng cổ phần và thời điểm </w:t>
      </w:r>
      <w:r w:rsidRPr="00AB15D8">
        <w:rPr>
          <w:sz w:val="22"/>
          <w:szCs w:val="22"/>
          <w:highlight w:val="white"/>
          <w:lang w:val="vi-VN"/>
        </w:rPr>
        <w:t>đăng ký</w:t>
      </w:r>
      <w:r w:rsidRPr="00AB15D8">
        <w:rPr>
          <w:sz w:val="22"/>
          <w:szCs w:val="22"/>
          <w:lang w:val="vi-VN"/>
        </w:rPr>
        <w:t xml:space="preserve"> cổ phần của từng cổ đông, tổng số cổ phần của cả nhóm cổ đông và tỷ lệ sở hữu trong tổng số cổ phần của công ty, căn cứ và lý do yêu </w:t>
      </w:r>
      <w:r w:rsidRPr="00AB15D8">
        <w:rPr>
          <w:sz w:val="22"/>
          <w:szCs w:val="22"/>
          <w:lang w:val="vi-VN"/>
        </w:rPr>
        <w:lastRenderedPageBreak/>
        <w:t>cầu triệu tập họp Đại hội đồng cổ đông. Kèm theo yêu cầu triệu tập họp phải có các tài liệu, chứng cứ về các vi phạm của Hội đồng quản trị, mức độ vi phạm hoặc </w:t>
      </w:r>
      <w:r w:rsidRPr="00AB15D8">
        <w:rPr>
          <w:sz w:val="22"/>
          <w:szCs w:val="22"/>
          <w:highlight w:val="white"/>
          <w:lang w:val="vi-VN"/>
        </w:rPr>
        <w:t>về</w:t>
      </w:r>
      <w:r w:rsidRPr="00AB15D8">
        <w:rPr>
          <w:sz w:val="22"/>
          <w:szCs w:val="22"/>
          <w:lang w:val="vi-VN"/>
        </w:rPr>
        <w:t> </w:t>
      </w:r>
      <w:r w:rsidRPr="00AB15D8">
        <w:rPr>
          <w:sz w:val="22"/>
          <w:szCs w:val="22"/>
          <w:highlight w:val="white"/>
          <w:lang w:val="vi-VN"/>
        </w:rPr>
        <w:t>quyết</w:t>
      </w:r>
      <w:r w:rsidRPr="00AB15D8">
        <w:rPr>
          <w:sz w:val="22"/>
          <w:szCs w:val="22"/>
          <w:lang w:val="vi-VN"/>
        </w:rPr>
        <w:t> định vượt quá </w:t>
      </w:r>
      <w:r w:rsidRPr="00AB15D8">
        <w:rPr>
          <w:sz w:val="22"/>
          <w:szCs w:val="22"/>
          <w:highlight w:val="white"/>
          <w:lang w:val="vi-VN"/>
        </w:rPr>
        <w:t>thẩm quyền</w:t>
      </w:r>
      <w:r w:rsidRPr="00AB15D8">
        <w:rPr>
          <w:sz w:val="22"/>
          <w:szCs w:val="22"/>
          <w:lang w:val="vi-VN"/>
        </w:rPr>
        <w:t>.</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5. Cổ đông hoặc nhóm cổ đông sở hữu từ 10% tổng số cổ phần phổ thông trở lên có quyền đề cử người vào Hội đồng quản trị, Ban kiểm soát. Việc đề cử người </w:t>
      </w:r>
      <w:r w:rsidRPr="00AB15D8">
        <w:rPr>
          <w:sz w:val="22"/>
          <w:szCs w:val="22"/>
          <w:highlight w:val="white"/>
          <w:lang w:val="vi-VN"/>
        </w:rPr>
        <w:t>và</w:t>
      </w:r>
      <w:r w:rsidRPr="00AB15D8">
        <w:rPr>
          <w:sz w:val="22"/>
          <w:szCs w:val="22"/>
          <w:lang w:val="vi-VN"/>
        </w:rPr>
        <w:t>o Hội đồng quản trị và Ban kiểm soát thực hiện như sau:</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a) Các cổ đông phổ thông hợp thành nhóm để đề cử người vào Hội đồng quản trị và Ban kiểm soát phải thông báo về việc họp nhóm cho các cổ đông dự họp biết trước khi khai mạc Đại hội đồng cổ đông;</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b) Căn cứ số lượng thành viên Hội đồng quản trị và Ban kiểm soát, cổ đông hoặc nhóm cổ đông quy định tại khoản này được quyền đề cử một hoặc một số ng</w:t>
      </w:r>
      <w:r w:rsidRPr="00AB15D8">
        <w:rPr>
          <w:sz w:val="22"/>
          <w:szCs w:val="22"/>
          <w:highlight w:val="white"/>
          <w:lang w:val="vi-VN"/>
        </w:rPr>
        <w:t>ườ</w:t>
      </w:r>
      <w:r w:rsidRPr="00AB15D8">
        <w:rPr>
          <w:sz w:val="22"/>
          <w:szCs w:val="22"/>
          <w:lang w:val="vi-VN"/>
        </w:rPr>
        <w:t>i theo quyết định của Đại hội đồng cổ đông làm ứng cử viên Hội đồng quản trị và Ban kiểm soát. Trường hợp số ứng cử viên được cổ đông hoặc nhóm cổ đông đề cử thấp hơn số ứng cử viên mà họ được quyền đề cử theo quyết định của Đại hội đồng cổ đông thì số ứng cử viên còn lại do Hội đồng quản trị, Ban kiểm soát và các cổ đông khác đề cử.</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b/>
          <w:sz w:val="22"/>
          <w:szCs w:val="22"/>
          <w:lang w:val="vi-VN"/>
        </w:rPr>
        <w:t>Điều 7. Nghĩa vụ của cổ đông phổ thông</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 xml:space="preserve">1. Thanh toán đủ và đúng thời hạn số cổ phần cam kết mua.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Không được rút vốn đã góp bằng cổ phần phổ thông ra khỏi Công ty dưới mọi hình thức, trừ trường hợp được Công ty hoặc người khác mua lại cổ phần. Trường hợp có cổ đông rút một phần hoặc toàn bộ vốn cổ phần đã góp trái với quy định tại khoản này thì cổ đông đó và người có lợi ích liên quan trong Công ty phải cùng liên đới chịu trách nhiệm về các khoản nợ và nghĩa vụ tài sản khác của Công ty trong phạm vi giá trị cổ phần đã bị rút và các thiệt hại xảy ra.</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2. Tuân thủ Điều lệ và quy chế quản lý nội bộ của Công ty.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3. Chấp hành nghị quyết của Đại hội đồng cổ đông, Hội đồng quản trị.</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 xml:space="preserve">4. </w:t>
      </w:r>
      <w:r w:rsidRPr="00AB15D8">
        <w:rPr>
          <w:sz w:val="22"/>
          <w:szCs w:val="22"/>
          <w:highlight w:val="white"/>
          <w:lang w:val="vi-VN"/>
        </w:rPr>
        <w:t>Bảo mật các thông tin được công ty cung cấp theo quy định tại Điều lệ công ty và pháp luật; chỉ sử dụng thông tin được cung cấp để thực hiện và bảo vệ quyền và lợi ích hợp pháp của mình; nghiêm cấm phát tán hoặc sao, gửi thông tin được công ty cung cấp cho tổ chức, cá nhân khác.</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b/>
          <w:sz w:val="22"/>
          <w:szCs w:val="22"/>
          <w:lang w:val="vi-VN"/>
        </w:rPr>
        <w:t xml:space="preserve">Điều 8. Sổ đăng ký cổ đông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1. Công ty lập và lưu giữ sổ đăng ký cổ đông từ khi được cấp Giấy chứng nhận đăng ký doanh nghiệp. Sổ đăng ký cổ đông có thể là văn bản và tập dữ liệu điện tử.</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2. Sổ đăng ký cổ đông có các nội dung chủ yếu sau đây: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a) Tên, địa chỉ trụ sở chính của Công ty;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b) Tổng số cổ phần được quyền chào bán, loại cổ phần được quyền chào bán và số cổ phần được quyền chào bán của từng loại;</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c) Tổng số cổ phần đã bán của từng loại và giá trị vốn cổ phần đã góp;</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d) Họ, tên, địa chỉ thường trú, quốc tịch, số Thẻ căn cước công dân, Giấy chứng minh nhân dân, Hộ chiếu hoặc chứng thực cá nhân hợp pháp khác đối với cổ đông là cá nhân; tên, mã số doanh nghiệp hoặc số quyết định thành lập, địa chỉ trụ sở chính đối với cổ đông là tổ chức;</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 xml:space="preserve">đ) Số lượng cổ phần từng loại của mỗi cổ đông, ngày đăng ký cổ phần.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 xml:space="preserve">3. Sổ đăng ký cổ đông được lưu giữ tại trụ sở chính của Công ty. Cổ đông có quyền kiểm tra, tra cứu hoặc trích lục, sao chép nội dung sổ đăng ký cổ đông trong giờ làm việc của Công ty.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4. Trường hợp cổ đông có thay đổi địa chỉ liên lạc thì phải thông báo kịp thời với Công ty để cập nhật vào sổ đăng ký cổ đông. Công ty không chịu trách nhiệm về việc không liên lạc được với cổ đông do không được thông báo thay đổi địa chỉ của cổ đông.</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b/>
          <w:sz w:val="22"/>
          <w:szCs w:val="22"/>
          <w:lang w:val="vi-VN"/>
        </w:rPr>
        <w:t xml:space="preserve">Điều 9. Chào bán cổ phần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t xml:space="preserve">1. Chào bán cổ phần là việc Công ty tăng thêm số lượng cổ phần được quyền chào bán và bán các cổ phần đó trong quá trình hoạt động để tăng vốn điều lệ.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lang w:val="vi-VN"/>
        </w:rPr>
      </w:pPr>
      <w:r w:rsidRPr="00AB15D8">
        <w:rPr>
          <w:sz w:val="22"/>
          <w:szCs w:val="22"/>
          <w:lang w:val="vi-VN"/>
        </w:rPr>
        <w:lastRenderedPageBreak/>
        <w:t>2. Chào bán cổ phần có thể thực hiện theo một trong các hình thức sau đây: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a) Chào bán cho các cổ đông hiện hữu;</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b) Chào bán cổ phần riêng lẻ.</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bookmarkStart w:id="5" w:name="_heading=h.h3qs6s41j8lk" w:colFirst="0" w:colLast="0"/>
      <w:bookmarkEnd w:id="5"/>
      <w:r w:rsidRPr="00AB15D8">
        <w:rPr>
          <w:sz w:val="22"/>
          <w:szCs w:val="22"/>
        </w:rPr>
        <w:t>3. Công ty thực hiện đăng ký thay đổi vốn điều lệ trong thời hạn 10 ngày, kể từ ngày hoàn thành đợt bán cổ phần.</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bookmarkStart w:id="6" w:name="_heading=h.59pbf6q066zg" w:colFirst="0" w:colLast="0"/>
      <w:bookmarkEnd w:id="6"/>
      <w:r w:rsidRPr="00AB15D8">
        <w:rPr>
          <w:b/>
          <w:sz w:val="22"/>
          <w:szCs w:val="22"/>
        </w:rPr>
        <w:t>Điều 10. Chào bán cổ phần riêng lẻ</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1. Chào bán cổ phần riêng lẻ của công ty phải đáp ứng các điều kiện sau đây: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a) Không chào bán thông qua phương tiện thông tin đại chúng;</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b) Chào bán cho dưới 100 nhà đầu tư.</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2. Công ty thực hiện chào bán cổ phần riêng lẻ theo quy định sau đây: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a) Công ty quyết định phương án chào bán cổ phần riêng lẻ theo quy định của Luật doanh nghiệp;</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b) Cổ đông của công ty thực hiện quyền ưu tiên mua cổ phần theo quy định tại khoản 2 Điều 124 của Luật doanh nghiệp trừ trường hợp sáp nhập, hợp nhất công ty;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c) Trường hợp cổ đông và người nhận chuyển quyền ưu tiên mua không mua hết thì số cổ phần còn lại được bán cho người khác theo phương án chào bán cổ phần riêng lẻ với điều kiện không thuận lợi hơn so với điều kiện chào bán cho các cổ đông, trừ trường hợp Đại hội đồng cổ đông có chấp thuận khác.</w:t>
      </w:r>
    </w:p>
    <w:p w:rsidR="00ED1433" w:rsidRPr="00AB15D8" w:rsidRDefault="00AA54E5" w:rsidP="00AB15D8">
      <w:pPr>
        <w:pStyle w:val="Heading3"/>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Điều 11. Chào bán cổ phần cho cổ đông hiện hữu</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1. Chào bán cổ phần cho cổ đông hiện hữu là trường hợp Công ty tăng thêm số lượng cổ phần được quyền chào bán và bán toàn bộ số cổ phần đó cho tất cả cổ đông theo tỷ lệ cổ phần hiện có của họ tại Công ty.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2. Chào bán cổ phần cho cổ đông hiện hữu của Công ty được thực hiện như sau:</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a) Công ty thông báo bằng văn bản đến các cổ đông theo phương thức bảo đảm đến được địa chỉ thường trú hoặc địa chỉ liên lạc của họ trong sổ đăng ký cổ đông chậm nhất 15 ngày trước ngày kết thúc thời hạn đăng ký mua cổ phần;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b) Thông báo có họ, tên, địa chỉ thường trú, quốc tịch, số Thẻ căn cước công dân, Giấy chứng minh nhân dân, Hộ chiếu hoặc chứng thực cá nhân hợp pháp khác của cổ đông là cá nhân; tên, mã số doanh nghiệp hoặc số quyết định thành lập, địa chỉ trụ sở chính của cổ đông là tổ chức; số cổ phần và tỷ lệ cổ phần hiện có của cổ đông tại Công ty; tổng số cổ phần dự kiến chào bán và số cổ phần cổ đông được quyền mua; giá chào bán cổ phần; thời hạn đăng ký mua; họ, tên, chữ ký của người đại diện theo pháp luật của Công ty. Kèm theo thông báo phải có mẫu phiếu đăng ký mua cổ phần do Công ty phát hành. Trường hợp phiếu đăng ký mua cổ phần không được gửi về công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ty đúng hạn như thông báo thì cổ đông có liên quan coi như đã không nhận quyền ưu tiên mua;</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c) Cổ đông có quyền chuyển quyền ưu tiên mua cổ phần của mình cho người khác.</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3. Trường hợp số lượng cổ phần dự kiến chào bán không được cổ đông và người nhận chuyển quyền ưu tiên mua đăng ký mua hết thì Hội đồng quản trị có quyền bán số cổ phần được quyền chào bán còn lại đó cho cổ đông của Công ty hoặc người khác theo cách thức hợp lý với điều kiện không thuận lợi hơn so với những điều kiện đã chào bán cho các cổ đông.</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4. Cổ phần được coi là đã bán khi được thanh toán đủ và những thông tin về người mua quy định tại khoản 2 Điều 8 của điều lệ này được ghi đầy đủ vào sổ đăng ký cổ đông; kể từ thời điểm đó, người mua cổ phần trở thành cổ đông của Công ty.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bookmarkStart w:id="7" w:name="_heading=h.ykpqu0w2fpeo" w:colFirst="0" w:colLast="0"/>
      <w:bookmarkEnd w:id="7"/>
      <w:r w:rsidRPr="00AB15D8">
        <w:rPr>
          <w:sz w:val="22"/>
          <w:szCs w:val="22"/>
        </w:rPr>
        <w:t xml:space="preserve">5. Sau khi cổ phần được thanh toán đầy đủ, Công ty phải phát hành và trao cổ phiếu cho người mua.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b/>
          <w:sz w:val="22"/>
          <w:szCs w:val="22"/>
        </w:rPr>
        <w:t>Điều 12. Bán cổ phần</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lastRenderedPageBreak/>
        <w:t xml:space="preserve">Hội đồng quản trị quyết định thời điểm, phương thức và giá bán cổ phần. Giá bán cổ phần không được thấp hơn giá thị trường tại thời điểm chào bán hoặc giá trị được ghi trong sổ sách của cổ phần tại thời điểm gần nhất, trừ những trường hợp sau đây: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1. Cổ phần chào bán lần đầu tiên cho những người không phải là cổ đông sáng lập;</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2. Cổ phần chào bán cho tất cả cổ đông theo tỷ lệ cổ phần hiện có của họ ở Công ty;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bookmarkStart w:id="8" w:name="_heading=h.l35niuxhxb0e" w:colFirst="0" w:colLast="0"/>
      <w:bookmarkEnd w:id="8"/>
      <w:r w:rsidRPr="00AB15D8">
        <w:rPr>
          <w:sz w:val="22"/>
          <w:szCs w:val="22"/>
        </w:rPr>
        <w:t>3. Cổ phần bán cho người môi giới hoặc người bảo lãnh; trường hợp này, số chiết khấu hoặc tỷ lệ chiết khấu cụ thể phải được sự chấp thuận của Đại hội đồng cổ đông;</w:t>
      </w:r>
    </w:p>
    <w:p w:rsidR="00ED1433" w:rsidRPr="00AB15D8" w:rsidRDefault="00AA54E5" w:rsidP="00AB15D8">
      <w:pPr>
        <w:pStyle w:val="Heading3"/>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Điều 13. Chuyển nhượng cổ phần</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1. Cổ phần được tự do chuyển nhượng, trừ trường hợp quy định tại khoản 3 Điều 120 của Luật doanh nghiệp. </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2. Việc chuyển nhượng được thực hiện bằng hợp đồng. Trường hợp chuyển nhượng bằng hợp đồng thì giấy tờ chuyển nhượng phải được bên chuyển nhượng và bên nhận chuyển nhượng hoặc người đại diện theo ủy quyền của họ ký.</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3. Trường hợp cổ đông là cá nhân chết thì người thừa kế theo di chúc hoặc theo pháp luật của cổ đông đó trở thành cổ đông của công ty.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4. Trường hợp cổ đông là cá nhân chết mà không có người thừa kế, người thừa kế</w:t>
      </w:r>
      <w:r w:rsidRPr="00AB15D8">
        <w:rPr>
          <w:sz w:val="22"/>
          <w:szCs w:val="22"/>
          <w:highlight w:val="white"/>
        </w:rPr>
        <w:t> từ</w:t>
      </w:r>
      <w:r w:rsidRPr="00AB15D8">
        <w:rPr>
          <w:sz w:val="22"/>
          <w:szCs w:val="22"/>
        </w:rPr>
        <w:t> chối nhận thừa kế hoặc bị truất quyền thừa kế thì số cổ phần của cổ đông đó được giải quyết theo quy định của pháp luật về dân sự.</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5. Cổ đông có quyền tặng cho một phần hoặc toàn bộ cổ phần của mình tại công ty cho cá nhân, tổ chức khác; sử dụng cổ phần để trả nợ. Cá nhân, tổ chức được tặng cho hoặc nhận trả nợ bằng cổ phần sẽ trở thành cổ đông của công ty.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6. Cá nhân, tổ chức nhận cổ phần trong các trường hợp quy định tại Điều này chỉ trở thành cổ đông công ty từ thời điểm các thông tin của họ quy định tại khoản 2 Điều 122 của Luật doanh nghiệp được ghi đầy đủ vào sổ đăng ký cổ đông.</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7. Công ty phải đăng ký thay đổi cổ đông trong sổ đăng ký cổ đông theo yêu cầu của cổ đông có liên quan trong thời hạn 24 giờ kể từ khi nhận được yêu cầu.</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b/>
          <w:sz w:val="22"/>
          <w:szCs w:val="22"/>
        </w:rPr>
        <w:t xml:space="preserve">Điều 14. Mua lại cổ phần </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1. Mua lại cổ phần theo yêu cầu của cổ đông </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1.1 Cổ đông đã biểu quyết không thông qua nghị quyết về việc tổ chức lại công ty hoặc thay đổi quyền, nghĩa vụ của cổ đông quy định tại Điều lệ công ty có quyền yêu cầu công ty mua lại cổ phần của mình. Yêu cầu phải bằng văn bản, </w:t>
      </w:r>
      <w:r w:rsidRPr="00AB15D8">
        <w:rPr>
          <w:sz w:val="22"/>
          <w:szCs w:val="22"/>
          <w:highlight w:val="white"/>
        </w:rPr>
        <w:t>trong</w:t>
      </w:r>
      <w:r w:rsidRPr="00AB15D8">
        <w:rPr>
          <w:sz w:val="22"/>
          <w:szCs w:val="22"/>
        </w:rPr>
        <w:t> đó nêu rõ tên, địa chỉ của cổ đông, số lượng cổ phần từng loại, giá dự định bán, lý do yêu cầu công ty mua lại. Yêu cầu phải được gửi đến công ty </w:t>
      </w:r>
      <w:r w:rsidRPr="00AB15D8">
        <w:rPr>
          <w:sz w:val="22"/>
          <w:szCs w:val="22"/>
          <w:highlight w:val="white"/>
        </w:rPr>
        <w:t>trong</w:t>
      </w:r>
      <w:r w:rsidRPr="00AB15D8">
        <w:rPr>
          <w:sz w:val="22"/>
          <w:szCs w:val="22"/>
        </w:rPr>
        <w:t> thời hạn 10 ngày kể từ ngày Đại hội đồng cổ đông thông qua nghị quyết về các vấn đề quy định tại khoản này.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1.2. Công ty phải mua lại cổ phần theo yêu cầu của cổ đông quy định tại khoản 1.1 Điều này với giá thị trường hoặc giá được tính theo nguyên tắc quy định tại Điều lệ công ty trong thời hạn 90 ngày kể từ ngày nhận được yêu cầu. </w:t>
      </w:r>
      <w:r w:rsidRPr="00AB15D8">
        <w:rPr>
          <w:sz w:val="22"/>
          <w:szCs w:val="22"/>
          <w:highlight w:val="white"/>
        </w:rPr>
        <w:t>Trường hợp</w:t>
      </w:r>
      <w:r w:rsidRPr="00AB15D8">
        <w:rPr>
          <w:sz w:val="22"/>
          <w:szCs w:val="22"/>
        </w:rPr>
        <w:t> không thỏa thuận được về giá thì các bên có thể yêu cầu một tổ chức thẩm định giá định giá. Công ty giới thiệu ít nhất 03 tổ chức thẩm định giá để cổ đông lựa chọn và lựa chọn đó là quyết định cuối cùng.</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2. Mua lại cổ phần theo quyết định của Công ty </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Công ty có quyền mua lại không quá 30% tổng số cổ phần phổ thông đã bán, một phần hoặc toàn bộ cổ phần ưu đãi cổ tức đã bán theo quy định sau đây: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2.1. Hội đồng quản trị có quyền quyết định mua lại không quá 10% tổng số cổ phần của từng loại đã bán </w:t>
      </w:r>
      <w:r w:rsidRPr="00AB15D8">
        <w:rPr>
          <w:sz w:val="22"/>
          <w:szCs w:val="22"/>
          <w:highlight w:val="white"/>
        </w:rPr>
        <w:t>trong thời hạn</w:t>
      </w:r>
      <w:r w:rsidRPr="00AB15D8">
        <w:rPr>
          <w:sz w:val="22"/>
          <w:szCs w:val="22"/>
        </w:rPr>
        <w:t> 12 tháng. Trường hợp khác, việc mua lại cổ phần do Đại hội đồng cổ đông quyết định;</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lastRenderedPageBreak/>
        <w:t>2.2 Hội đồng quản trị quyết định giá mua lại cổ phần. Đối với cổ phần phổ thông, giá mua lại không được cao hơn giá thị trường tại thời điểm mua lại, trừ trường </w:t>
      </w:r>
      <w:r w:rsidRPr="00AB15D8">
        <w:rPr>
          <w:sz w:val="22"/>
          <w:szCs w:val="22"/>
          <w:highlight w:val="white"/>
        </w:rPr>
        <w:t>hợp quy</w:t>
      </w:r>
      <w:r w:rsidRPr="00AB15D8">
        <w:rPr>
          <w:sz w:val="22"/>
          <w:szCs w:val="22"/>
        </w:rPr>
        <w:t> định tại khoản 2.3 Điều này. Đối với cổ phần loại khác, nếu Điều lệ công ty không </w:t>
      </w:r>
      <w:r w:rsidRPr="00AB15D8">
        <w:rPr>
          <w:sz w:val="22"/>
          <w:szCs w:val="22"/>
          <w:highlight w:val="white"/>
        </w:rPr>
        <w:t>quy định</w:t>
      </w:r>
      <w:r w:rsidRPr="00AB15D8">
        <w:rPr>
          <w:sz w:val="22"/>
          <w:szCs w:val="22"/>
        </w:rPr>
        <w:t> hoặc công ty và cổ đông có liên quan không có thỏa thuận khác thì giá mua lại không được thấp hơn giá thị trường;</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2.3 Công ty có thể mua lại cổ phần của từng cổ đông tương ứng với tỷ lệ sở hữu cổ phần của họ trong công ty theo trình tự, thủ tục sau đây: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a) Quyết định mua lại cổ phần của công ty phải được thông báo bằng phương thức để bảo đảm đến được tất cả cổ đông trong thời hạn 30 ngày kể từ ngày quyết định đó được thông qua. Thông báo phải gồm tên, địa chỉ trụ sở chính của công ty, tổng số cổ phần và loại cổ phần được mua lại, giá mua lại hoặc nguyên tắc định giá mua lại, thủ tục và thời hạn thanh toán, thủ tục và thời hạn để cổ đông bán cổ phần của họ cho công ty;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b) Cổ đông đồng ý bán lại cổ phần phải gửi văn bản đồng ý bán cổ phần của mình bằng phương thức để bảo đảm đến được công ty trong thời hạn 30 ngày kể từ ngày thông báo. Văn bản đồng ý bán cổ phần phải có họ, tên, địa chỉ liên lạc, số giấy tờ pháp lý của cá nhân đối với cổ đông là cá nhân; tên, mã số doanh nghiệp hoặc số giấy tờ pháp lý của tổ chức, địa chỉ trụ sở chính đối với cổ đông là tổ chức; số cổ phần sở hữu và số cổ phần đồng ý bán; phương thức thanh toán; chữ ký của cổ đông hoặc người đại diện theo pháp luật của cổ đông. Công ty chỉ mua lại cổ phần trong thời hạn nêu trên.</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b/>
          <w:sz w:val="22"/>
          <w:szCs w:val="22"/>
        </w:rPr>
        <w:t>Điều 15. Điều kiện thanh toán và xử lý các cổ phần được mua lại</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1. Công ty chỉ được quyền thanh toán cổ phần được mua lại cho cổ đông theo quy định tại Điều 14 Điều lệ này nếu ngay sau khi thanh toán hết số cổ phần được mua lại, công ty vẫn bảo đảm thanh toán đủ các khoản nợ và nghĩa vụ tài sản khác.</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2. Cổ phần được mua lại theo quy định tại Điều 14 của Điều lệ này được coi là cổ phần chưa bán. Công ty phải làm thủ tục điều chỉnh giảm vốn điều lệ tương ứng với tổng giá trị mệnh giá các cổ phần được Công ty mua lại trong thời hạn 10 ngày, kể từ ngày hoàn thành việc thanh toán mua lại cổ phần.</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3. Cổ phiếu xác nhận quyền sở hữu cổ phần đã được mua lại phải được tiêu huỷ ngay sau khi cổ phần tương ứng đã được thanh toán đủ. Chủ tịch Hội đồng quản trị và Giám đốc phải liên đới chịu trách nhiệm về thiệt hại do không tiêu huỷ hoặc chậm tiêu huỷ cổ phiếu gây ra đối với công ty. </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4. Sau khi thanh toán hết số cổ phần mua lại, nếu tổng giá trị tài sản được ghi trong sổ kế toán của công ty giảm hơn 10% thì công ty phải thông báo cho tất cả các chủ nợ biết trong thời hạn 15 ngày, kể từ ngày thanh toán hết số cổ phần mua lại.</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b/>
          <w:sz w:val="22"/>
          <w:szCs w:val="22"/>
        </w:rPr>
        <w:t>Điều 16. Trả cổ tức.</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1. Cổ tức trả cho cổ phần ưu đãi được thực hiện theo điều kiện áp dụng riêng cho mỗi loại cổ phần ưu đãi.</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2. Cổ tức trả cho cổ phần phổ thông được xác định căn cứ vào số lợi nhuận ròng đã thực hiện và khoản chi trả cổ tức được trích từ nguồn lợi nhuận giữ lại của công ty. Công ty cổ phần chỉ được trả cổ tức của cổ phần phổ thông khi có đủ các điều kiện sau đây: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a) Công ty đã hoàn thành nghĩa vụ thuế và các nghĩa vụ tài chính khác theo quy định của pháp luật;</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b) Đã trích lập các quỹ công ty và bù đắp lỗ trước đó theo quy định của pháp luật;</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c) Ngay sau khi trả hết số cổ tức, công ty vẫn bảo đảm thanh toán đủ các khoản nợ và nghĩa vụ tài sản khác đến hạn.</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3. Cổ tức có thể được chi trả bằng tiền mặt, bằng cổ phần của công ty. Nếu chi trả bằng tiền mặt thì phải được thực hiện bằng Đồng Việt Nam và theo các phương thức thanh toán theo quy định của pháp luật.</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4. Cổ tức phải được thanh toán đầy đủ trong thời hạn 06 tháng kể từ ngày kết thúc họp Đại hội đồng cổ đông thường niên. Hội đồng quản trị lập danh sách cổ đông được nhận cổ tức, xác định mức cổ tức được </w:t>
      </w:r>
      <w:r w:rsidRPr="00AB15D8">
        <w:rPr>
          <w:sz w:val="22"/>
          <w:szCs w:val="22"/>
        </w:rPr>
        <w:lastRenderedPageBreak/>
        <w:t>trả đối với từng cổ phần, thời hạn và hình thức trả chậm nhất là 30 ngày trước mỗi lần trả cổ tức. Thông báo về trả cổ tức được gửi bằng phương thức để bảo đảm đến cổ đông theo địa chỉ đăng ký </w:t>
      </w:r>
      <w:r w:rsidRPr="00AB15D8">
        <w:rPr>
          <w:sz w:val="22"/>
          <w:szCs w:val="22"/>
          <w:highlight w:val="white"/>
        </w:rPr>
        <w:t>trong</w:t>
      </w:r>
      <w:r w:rsidRPr="00AB15D8">
        <w:rPr>
          <w:sz w:val="22"/>
          <w:szCs w:val="22"/>
        </w:rPr>
        <w:t> sổ đăng ký cổ đông chậm nhất là 15 ngày trước khi thực hiện trả cổ tức. Thông báo phải bao gồm các nội dung sau đây: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a) Tên công ty và địa chỉ trụ sở chính của công ty;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b) Họ, tên, địa chỉ liên lạc, quốc tịch, số giấy tờ pháp lý của cá nhân đối với cổ đông là cá nhân;</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c) Tên, mã số doanh nghiệp hoặc số giấy tờ pháp lý của tổ chức, địa chỉ trụ sở chính đối với cổ đông là tổ chức;</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d) Số lượng cổ phần từng loại của cổ đông; mức cổ tức đối với từng cổ phần và tổng số cổ tức mà cổ đông đó được nhận;</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đ) Thời điểm và phương thức trả cổ tức;</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e) Họ, tên, chữ ký của Chủ tịch Hội đồng quản trị và người đại diện theo pháp luật của công ty.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5. Trường hợp cổ đông chuyển nhượng cổ phần của mình trong thời gian giữa thời điểm kết thúc lập danh sách cổ đông và thời điểm trả cổ tức thì người chuyển nhượng là người nhận cổ tức từ công ty.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6. Trường hợp chi trả cổ tức bằng cổ phần, công ty không phải làm thủ tục chào bán cổ phần theo quy định tại các điều 123, 124 và 125 của Luật doanh nghiệp. Công ty phải đăng ký tăng vốn điều lệ tương ứng với tổng mệnh giá các cổ phần dùng để chi trả cổ tức trong thời hạn 10 ngày kể từ ngày hoàn thành việc thanh toán cổ tức.</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b/>
          <w:sz w:val="22"/>
          <w:szCs w:val="22"/>
        </w:rPr>
        <w:t>Điều 17. Thu hồi tiền thanh toán cổ phần mua lại hoặc cổ tức</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Trường hợp việc thanh toán cổ phần mua lại trái với quy định tại khoản 1 Điều 15 của Điều lệ này hoặc trả cổ tức trái với quy định tại Điều 16 của Điều lệ này thì các cổ đông phải hoàn trả cho công ty số tiền, tài sản khác đã nhận; trường hợp cổ đông không hoàn trả được cho công ty thì cổ đông đó và tất cả thành viên Hội đồng quản trị phải cùng liên đới chịu trách nhiệm về các khoản nợ và nghĩa vụ tài sản khác của công ty trong phạm vi giá trị số tiền, tài sản đã trả cho cổ đông mà chưa được hoàn lại. </w:t>
      </w:r>
    </w:p>
    <w:p w:rsidR="004F49CE" w:rsidRPr="00AB15D8" w:rsidRDefault="004F49CE"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center"/>
        <w:rPr>
          <w:sz w:val="22"/>
          <w:szCs w:val="22"/>
        </w:rPr>
      </w:pPr>
      <w:r w:rsidRPr="00AB15D8">
        <w:rPr>
          <w:b/>
          <w:sz w:val="22"/>
          <w:szCs w:val="22"/>
        </w:rPr>
        <w:t>CHƯƠNG II.</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center"/>
        <w:rPr>
          <w:sz w:val="22"/>
          <w:szCs w:val="22"/>
        </w:rPr>
      </w:pPr>
      <w:r w:rsidRPr="00AB15D8">
        <w:rPr>
          <w:b/>
          <w:sz w:val="22"/>
          <w:szCs w:val="22"/>
        </w:rPr>
        <w:t>CƠ CẤU TỔ CHỨC VÀ QUẢN LÝ CÔNG TY</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b/>
          <w:sz w:val="22"/>
          <w:szCs w:val="22"/>
        </w:rPr>
        <w:t>Điều 18. Cơ cấu tổ chức và quản lý Công ty</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1.  Công ty được tổ chức quản lý và hoạt động theo mô hình: </w:t>
      </w:r>
    </w:p>
    <w:p w:rsidR="00ED1433" w:rsidRPr="00AB15D8" w:rsidRDefault="00AA54E5" w:rsidP="00AB15D8">
      <w:pPr>
        <w:numPr>
          <w:ilvl w:val="0"/>
          <w:numId w:val="3"/>
        </w:num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left="0" w:hanging="2"/>
        <w:jc w:val="both"/>
        <w:rPr>
          <w:sz w:val="22"/>
          <w:szCs w:val="22"/>
        </w:rPr>
      </w:pPr>
      <w:r w:rsidRPr="00AB15D8">
        <w:rPr>
          <w:sz w:val="22"/>
          <w:szCs w:val="22"/>
        </w:rPr>
        <w:t>Đại hội đồng cổ đông.</w:t>
      </w:r>
    </w:p>
    <w:p w:rsidR="00ED1433" w:rsidRPr="00AB15D8" w:rsidRDefault="00AA54E5" w:rsidP="00AB15D8">
      <w:pPr>
        <w:numPr>
          <w:ilvl w:val="0"/>
          <w:numId w:val="3"/>
        </w:num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left="0" w:hanging="2"/>
        <w:jc w:val="both"/>
        <w:rPr>
          <w:sz w:val="22"/>
          <w:szCs w:val="22"/>
        </w:rPr>
      </w:pPr>
      <w:r w:rsidRPr="00AB15D8">
        <w:rPr>
          <w:sz w:val="22"/>
          <w:szCs w:val="22"/>
        </w:rPr>
        <w:t>Hội đồng quản trị.</w:t>
      </w:r>
    </w:p>
    <w:p w:rsidR="00ED1433" w:rsidRPr="00AB15D8" w:rsidRDefault="00AA54E5" w:rsidP="00AB15D8">
      <w:pPr>
        <w:numPr>
          <w:ilvl w:val="0"/>
          <w:numId w:val="3"/>
        </w:num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left="0" w:hanging="2"/>
        <w:jc w:val="both"/>
        <w:rPr>
          <w:sz w:val="22"/>
          <w:szCs w:val="22"/>
        </w:rPr>
      </w:pPr>
      <w:r w:rsidRPr="00AB15D8">
        <w:rPr>
          <w:sz w:val="22"/>
          <w:szCs w:val="22"/>
        </w:rPr>
        <w:t>Giám đốc.</w:t>
      </w:r>
    </w:p>
    <w:p w:rsidR="00ED1433" w:rsidRPr="00AB15D8" w:rsidRDefault="00AA54E5" w:rsidP="00AB15D8">
      <w:pPr>
        <w:numPr>
          <w:ilvl w:val="0"/>
          <w:numId w:val="3"/>
        </w:num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left="0" w:hanging="2"/>
        <w:jc w:val="both"/>
        <w:rPr>
          <w:sz w:val="22"/>
          <w:szCs w:val="22"/>
        </w:rPr>
      </w:pPr>
      <w:r w:rsidRPr="00AB15D8">
        <w:rPr>
          <w:sz w:val="22"/>
          <w:szCs w:val="22"/>
        </w:rPr>
        <w:t>Ban kiểm soát.</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Trong quá trình hoạt động, nếu Công ty có dưới 11 cổ đông và các cổ đông là tổ chức sở hữu dưới 50% tổng số cổ phần của công ty thì không bắt buộc phải có Ban kiểm soát.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2. Chức năng, quyền và nghĩa vụ của Đại hội đồng cổ đông, Hội đồng quản trị, Giám đốc, ban kiểm soát thực hiện theo quy định tại Điều lệ này và pháp luật có liên quan.</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b/>
          <w:sz w:val="22"/>
          <w:szCs w:val="22"/>
        </w:rPr>
        <w:t>Điều 19.  Người đại diện theo pháp luật của Công ty</w:t>
      </w:r>
    </w:p>
    <w:p w:rsidR="00ED1433" w:rsidRPr="00AB15D8" w:rsidRDefault="00F94EED"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firstLine="0"/>
        <w:jc w:val="both"/>
        <w:rPr>
          <w:sz w:val="22"/>
          <w:szCs w:val="22"/>
        </w:rPr>
      </w:pPr>
      <w:r w:rsidRPr="00AB15D8">
        <w:rPr>
          <w:sz w:val="22"/>
          <w:szCs w:val="22"/>
          <w:lang w:val="vi-VN"/>
        </w:rPr>
        <w:t xml:space="preserve">1. </w:t>
      </w:r>
      <w:r w:rsidR="00AA54E5" w:rsidRPr="00AB15D8">
        <w:rPr>
          <w:sz w:val="22"/>
          <w:szCs w:val="22"/>
        </w:rPr>
        <w:t xml:space="preserve">Người đại diện theo pháp luật của Công ty có quyền đại diện cho Công ty, thực hiện các quyền và nghĩa vụ phát sinh từ giao dịch của Công ty, đại diện cho Công ty với tư cách </w:t>
      </w:r>
      <w:r w:rsidR="00AA54E5" w:rsidRPr="00AB15D8">
        <w:rPr>
          <w:sz w:val="22"/>
          <w:szCs w:val="22"/>
          <w:highlight w:val="white"/>
        </w:rPr>
        <w:t>người yêu cầu giải quyết việc dân sự,</w:t>
      </w:r>
      <w:r w:rsidR="00AA54E5" w:rsidRPr="00AB15D8">
        <w:rPr>
          <w:sz w:val="22"/>
          <w:szCs w:val="22"/>
        </w:rPr>
        <w:t xml:space="preserve"> nguyên đơn, bị đơn, người có quyền lợi, nghĩa vụ liên quan trước Trọng tài, Tòa án và các quyền và nghĩa vụ khác theo quy định của pháp luật.</w:t>
      </w:r>
    </w:p>
    <w:p w:rsidR="00ED1433" w:rsidRPr="00AB15D8" w:rsidRDefault="00F94EED" w:rsidP="00AB15D8">
      <w:pPr>
        <w:tabs>
          <w:tab w:val="left" w:pos="389"/>
          <w:tab w:val="left" w:pos="432"/>
          <w:tab w:val="left" w:pos="475"/>
          <w:tab w:val="left" w:pos="504"/>
          <w:tab w:val="left" w:pos="576"/>
          <w:tab w:val="left" w:pos="720"/>
          <w:tab w:val="left" w:pos="1440"/>
        </w:tabs>
        <w:spacing w:line="312" w:lineRule="auto"/>
        <w:ind w:firstLine="0"/>
        <w:jc w:val="both"/>
        <w:rPr>
          <w:sz w:val="22"/>
          <w:szCs w:val="22"/>
        </w:rPr>
      </w:pPr>
      <w:r w:rsidRPr="00AB15D8">
        <w:rPr>
          <w:sz w:val="22"/>
          <w:szCs w:val="22"/>
          <w:lang w:val="vi-VN"/>
        </w:rPr>
        <w:t xml:space="preserve">2. </w:t>
      </w:r>
      <w:r w:rsidR="00AA54E5" w:rsidRPr="00AB15D8">
        <w:rPr>
          <w:sz w:val="22"/>
          <w:szCs w:val="22"/>
        </w:rPr>
        <w:t xml:space="preserve">Công ty chỉ có 01 người đại diện theo pháp luật, Giám đốc là người đại diện theo pháp luật của Công ty. Các giấy tờ giao dịch phải ghi rõ điều đó. </w:t>
      </w:r>
    </w:p>
    <w:p w:rsidR="00ED1433" w:rsidRPr="00AB15D8" w:rsidRDefault="00AA54E5" w:rsidP="00AB15D8">
      <w:pPr>
        <w:widowControl w:val="0"/>
        <w:spacing w:line="312" w:lineRule="auto"/>
        <w:jc w:val="both"/>
        <w:rPr>
          <w:sz w:val="22"/>
          <w:szCs w:val="22"/>
        </w:rPr>
      </w:pPr>
      <w:bookmarkStart w:id="9" w:name="_heading=h.knl4n19l3v8a" w:colFirst="0" w:colLast="0"/>
      <w:bookmarkEnd w:id="9"/>
      <w:r w:rsidRPr="00AB15D8">
        <w:rPr>
          <w:sz w:val="22"/>
          <w:szCs w:val="22"/>
        </w:rPr>
        <w:lastRenderedPageBreak/>
        <w:t xml:space="preserve">Người đại diện theo pháp luật của Công ty có thông tin sau đây: </w:t>
      </w:r>
    </w:p>
    <w:p w:rsidR="00ED1433" w:rsidRPr="00AB15D8" w:rsidRDefault="00AA54E5" w:rsidP="00AB15D8">
      <w:pPr>
        <w:spacing w:line="312" w:lineRule="auto"/>
        <w:jc w:val="both"/>
        <w:rPr>
          <w:sz w:val="22"/>
          <w:szCs w:val="22"/>
        </w:rPr>
      </w:pPr>
      <w:bookmarkStart w:id="10" w:name="_heading=h.c3y6cob9e0hq" w:colFirst="0" w:colLast="0"/>
      <w:bookmarkEnd w:id="10"/>
      <w:r w:rsidRPr="00AB15D8">
        <w:rPr>
          <w:sz w:val="22"/>
          <w:szCs w:val="22"/>
        </w:rPr>
        <w:t xml:space="preserve">Họ và tên </w:t>
      </w:r>
      <w:r w:rsidRPr="00AB15D8">
        <w:rPr>
          <w:i/>
          <w:sz w:val="22"/>
          <w:szCs w:val="22"/>
        </w:rPr>
        <w:t>(ghi bằng chữ in hoa)</w:t>
      </w:r>
      <w:r w:rsidRPr="00AB15D8">
        <w:rPr>
          <w:sz w:val="22"/>
          <w:szCs w:val="22"/>
        </w:rPr>
        <w:t xml:space="preserve">: </w:t>
      </w:r>
      <w:r w:rsidRPr="00AB15D8">
        <w:rPr>
          <w:b/>
          <w:sz w:val="22"/>
          <w:szCs w:val="22"/>
        </w:rPr>
        <w:t>ĐINH VĂN THẮNG</w:t>
      </w:r>
      <w:r w:rsidRPr="00AB15D8">
        <w:rPr>
          <w:sz w:val="22"/>
          <w:szCs w:val="22"/>
        </w:rPr>
        <w:t xml:space="preserve">         Giới tính:  Nam         </w:t>
      </w:r>
    </w:p>
    <w:p w:rsidR="00ED1433" w:rsidRPr="00AB15D8" w:rsidRDefault="00AA54E5" w:rsidP="00AB15D8">
      <w:pPr>
        <w:spacing w:line="312" w:lineRule="auto"/>
        <w:jc w:val="both"/>
        <w:rPr>
          <w:sz w:val="22"/>
          <w:szCs w:val="22"/>
        </w:rPr>
      </w:pPr>
      <w:r w:rsidRPr="00AB15D8">
        <w:rPr>
          <w:sz w:val="22"/>
          <w:szCs w:val="22"/>
        </w:rPr>
        <w:t xml:space="preserve">Chức danh: Giám đốc          </w:t>
      </w:r>
    </w:p>
    <w:p w:rsidR="00ED1433" w:rsidRPr="00AB15D8" w:rsidRDefault="00AA54E5" w:rsidP="00AB15D8">
      <w:pPr>
        <w:spacing w:line="312" w:lineRule="auto"/>
        <w:jc w:val="both"/>
        <w:rPr>
          <w:sz w:val="22"/>
          <w:szCs w:val="22"/>
        </w:rPr>
      </w:pPr>
      <w:r w:rsidRPr="00AB15D8">
        <w:rPr>
          <w:sz w:val="22"/>
          <w:szCs w:val="22"/>
        </w:rPr>
        <w:t xml:space="preserve">Sinh ngày: 16/01/1971                    </w:t>
      </w:r>
    </w:p>
    <w:p w:rsidR="00ED1433" w:rsidRPr="00AB15D8" w:rsidRDefault="00AA54E5" w:rsidP="00AB15D8">
      <w:pPr>
        <w:tabs>
          <w:tab w:val="left" w:pos="5640"/>
          <w:tab w:val="left" w:pos="8520"/>
        </w:tabs>
        <w:spacing w:line="312" w:lineRule="auto"/>
        <w:jc w:val="both"/>
        <w:rPr>
          <w:sz w:val="22"/>
          <w:szCs w:val="22"/>
        </w:rPr>
      </w:pPr>
      <w:r w:rsidRPr="00AB15D8">
        <w:rPr>
          <w:sz w:val="22"/>
          <w:szCs w:val="22"/>
        </w:rPr>
        <w:t>Số giấy tờ pháp lý của cá nhân: 036071020545</w:t>
      </w:r>
    </w:p>
    <w:p w:rsidR="00ED1433" w:rsidRPr="00AB15D8" w:rsidRDefault="00AA54E5" w:rsidP="00AB15D8">
      <w:pPr>
        <w:tabs>
          <w:tab w:val="left" w:pos="993"/>
        </w:tabs>
        <w:spacing w:line="312" w:lineRule="auto"/>
        <w:jc w:val="both"/>
        <w:rPr>
          <w:sz w:val="22"/>
          <w:szCs w:val="22"/>
        </w:rPr>
      </w:pPr>
      <w:r w:rsidRPr="00AB15D8">
        <w:rPr>
          <w:sz w:val="22"/>
          <w:szCs w:val="22"/>
        </w:rPr>
        <w:t>Địa chỉ liên lạc: Xóm 11, Xã Giao Hòa, Tỉnh Ninh Bình, Việt Nam</w:t>
      </w:r>
    </w:p>
    <w:p w:rsidR="00ED1433" w:rsidRPr="00AB15D8" w:rsidRDefault="00AA54E5" w:rsidP="00AB15D8">
      <w:pPr>
        <w:widowControl w:val="0"/>
        <w:tabs>
          <w:tab w:val="left" w:pos="9324"/>
        </w:tabs>
        <w:spacing w:line="312" w:lineRule="auto"/>
        <w:jc w:val="both"/>
        <w:rPr>
          <w:sz w:val="22"/>
          <w:szCs w:val="22"/>
        </w:rPr>
      </w:pPr>
      <w:r w:rsidRPr="00AB15D8">
        <w:rPr>
          <w:sz w:val="22"/>
          <w:szCs w:val="22"/>
        </w:rPr>
        <w:t xml:space="preserve">Điện thoại </w:t>
      </w:r>
      <w:r w:rsidRPr="00AB15D8">
        <w:rPr>
          <w:i/>
          <w:sz w:val="22"/>
          <w:szCs w:val="22"/>
        </w:rPr>
        <w:t>(nếu có)</w:t>
      </w:r>
      <w:r w:rsidRPr="00AB15D8">
        <w:rPr>
          <w:sz w:val="22"/>
          <w:szCs w:val="22"/>
        </w:rPr>
        <w:t xml:space="preserve">:          Email </w:t>
      </w:r>
      <w:r w:rsidRPr="00AB15D8">
        <w:rPr>
          <w:i/>
          <w:sz w:val="22"/>
          <w:szCs w:val="22"/>
        </w:rPr>
        <w:t>(nếu có)</w:t>
      </w:r>
      <w:r w:rsidRPr="00AB15D8">
        <w:rPr>
          <w:sz w:val="22"/>
          <w:szCs w:val="22"/>
        </w:rPr>
        <w:t xml:space="preserve">: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Người đại diện theo pháp luật của công ty phải cư trú ở Việt Nam và phải ủy quyền bằng văn bản cho người khác thực hiện quyền và nghĩa vụ của người đại diện theo pháp luật khi xuất cảnh khỏi Việt Nam, Người đại diện theo pháp luật vẫn phải chịu trách nhiệm về việc thực hiện quyền và nghĩa vụ đã ủy quyền.</w:t>
      </w:r>
    </w:p>
    <w:p w:rsidR="00ED1433" w:rsidRPr="00AB15D8" w:rsidRDefault="00F94EED"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firstLine="0"/>
        <w:jc w:val="both"/>
        <w:rPr>
          <w:sz w:val="22"/>
          <w:szCs w:val="22"/>
        </w:rPr>
      </w:pPr>
      <w:r w:rsidRPr="00AB15D8">
        <w:rPr>
          <w:sz w:val="22"/>
          <w:szCs w:val="22"/>
          <w:lang w:val="vi-VN"/>
        </w:rPr>
        <w:t xml:space="preserve">3. </w:t>
      </w:r>
      <w:r w:rsidR="00AA54E5" w:rsidRPr="00AB15D8">
        <w:rPr>
          <w:sz w:val="22"/>
          <w:szCs w:val="22"/>
        </w:rPr>
        <w:t xml:space="preserve">Trường hợp hết thời hạn ủy quyền theo khoản 2 Điều này mà người đại diện theo pháp luật của Công ty chưa trở lại Việt Nam và không có ủy quyền khác thì Người được ủy quyền vẫn tiếp tục thực hiện các quyền và nghĩa vụ của người đại diện theo pháp luật của Công ty trong phạm vi đã được ủy quyền cho đến khi người đại diện theo pháp luật của Công ty trở lại làm việc tại Công ty hoặc cho đến khi Hội đồng quản trị quyết định cử người khác làm người đại diện theo pháp luật của Công ty. </w:t>
      </w:r>
    </w:p>
    <w:p w:rsidR="00ED1433" w:rsidRPr="00AB15D8" w:rsidRDefault="00F94EED"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firstLine="0"/>
        <w:jc w:val="both"/>
        <w:rPr>
          <w:sz w:val="22"/>
          <w:szCs w:val="22"/>
        </w:rPr>
      </w:pPr>
      <w:r w:rsidRPr="00AB15D8">
        <w:rPr>
          <w:sz w:val="22"/>
          <w:szCs w:val="22"/>
          <w:lang w:val="vi-VN"/>
        </w:rPr>
        <w:t xml:space="preserve">4. </w:t>
      </w:r>
      <w:r w:rsidR="00AA54E5" w:rsidRPr="00AB15D8">
        <w:rPr>
          <w:sz w:val="22"/>
          <w:szCs w:val="22"/>
        </w:rPr>
        <w:t xml:space="preserve">Trường hợp Người đại diện theo pháp luật vắng mặt tại Việt Nam quá 30 ngày mà không ủy quyền cho người khác thực hiện các quyền và nghĩa vụ của người đại diện theo pháp luật của Công ty hoặc bị chết, mất tích, tạm giam, kết án tù, bị hạn chế hoặc mất năng lực hành vi dân sự thì Hội đồng quản trị cử người khác làm người đại diện theo pháp luật của Công ty. </w:t>
      </w:r>
    </w:p>
    <w:p w:rsidR="00ED1433" w:rsidRPr="00AB15D8" w:rsidRDefault="00F94EED"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firstLine="0"/>
        <w:jc w:val="both"/>
        <w:rPr>
          <w:sz w:val="22"/>
          <w:szCs w:val="22"/>
        </w:rPr>
      </w:pPr>
      <w:r w:rsidRPr="00AB15D8">
        <w:rPr>
          <w:sz w:val="22"/>
          <w:szCs w:val="22"/>
          <w:lang w:val="vi-VN"/>
        </w:rPr>
        <w:t xml:space="preserve">5. </w:t>
      </w:r>
      <w:r w:rsidR="00AA54E5" w:rsidRPr="00AB15D8">
        <w:rPr>
          <w:sz w:val="22"/>
          <w:szCs w:val="22"/>
        </w:rPr>
        <w:t>Người đại diện theo pháp luật của Công ty có trách nhiệm sau đây: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a) Thực hiện các quyền và nghĩa vụ được giao một cách trung thực, cẩn trọng, tốt nhất nhằm bảo đảm lợi ích hợp pháp của Công ty;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b) Trung thành với lợi ích của Công ty; không sử dụng thông tin, bí quyết, cơ hội kinh doanh của Công ty, không lạm dụng địa vị, chức vụ và sử dụng tài sản của Công ty để tư lợi hoặc phục vụ lợi ích của tổ chức, cá nhân khác;</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c) Thông báo kịp thời, đầy đủ, chính xác cho Công ty về việc người đại diện đó và người có liên quan của họ làm chủ hoặc có cổ phần, phần vốn góp chi phối tại các doanh nghiệp khác.</w:t>
      </w:r>
    </w:p>
    <w:p w:rsidR="00ED1433" w:rsidRPr="00AB15D8" w:rsidRDefault="00F94EED"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lang w:val="vi-VN"/>
        </w:rPr>
        <w:t>6</w:t>
      </w:r>
      <w:r w:rsidR="00AA54E5" w:rsidRPr="00AB15D8">
        <w:rPr>
          <w:sz w:val="22"/>
          <w:szCs w:val="22"/>
        </w:rPr>
        <w:t>. Người đại diện theo pháp luật của Công ty chịu trách nhiệm cá nhân đối với những thiệt hại cho doanh nghiệp do vi phạm nghĩa vụ quy định tại khoản 5 Điều này.</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b/>
          <w:sz w:val="22"/>
          <w:szCs w:val="22"/>
        </w:rPr>
        <w:t>Điều 20. Đại hội đồng cổ đông</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1. Đại hội đồng cổ đông gồm tất cả cổ đông có quyền biểu quyết, là cơ quan quyết định cao nhất của công ty cổ phần.</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2. Đại hội đồng cổ đông có quyền và nghĩa vụ sau đây: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a) Thông qua định hướng phát triển của công ty;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b) Quyết định loại cổ phần và tổng số cổ phần của từng loại được quyền chào bán; quyết định mức cổ tức hằng năm của từng loại cổ phần;</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c) Bầu, miễn nhiệm, bãi nhiệm thành viên Hội đồng quản trị, Kiểm soát viên;</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d) Quyết định đầu tư hoặc bán số tài sản có giá trị từ 35% tổng giá trị tài sản trở lên được ghi trong báo cáo tài chính gần nhất của công ty;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đ) Quyết định sửa đổi, bổ sung Điều lệ công ty;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e) Thông qua báo cáo tài chính hằng năm;</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g) Quyết định mua lại trên 10% tổng số cổ phần đã bán của mỗi loại;</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lastRenderedPageBreak/>
        <w:t>h) Xem xét, xử lý vi phạm của thành viên Hội đồng quản trị, Kiểm soát viên gây thiệt hại cho công ty và cổ đông công ty;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i) Quyết định tổ chức lại, giải thể công ty;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k) Quyết định ngân sách hoặc tổng mức thù lao, thưởng và lợi ích khác cho Hội đồng quản trị, Ban kiểm soát;</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l) Phê duyệt quy chế quản trị nội bộ; quy chế hoạt động Hội đồng quản trị, Ban kiểm soát;</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m) Phê duyệt danh sách công ty kiểm toán độc lập; quyết định công ty kiểm toán độc lập thực hiện kiểm tra hoạt động của công ty, bãi miễn kiểm toán viên độc lập khi xét thấy cần thiết;</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bookmarkStart w:id="11" w:name="_heading=h.jyio2tyrgevu" w:colFirst="0" w:colLast="0"/>
      <w:bookmarkEnd w:id="11"/>
      <w:r w:rsidRPr="00AB15D8">
        <w:rPr>
          <w:b/>
          <w:sz w:val="22"/>
          <w:szCs w:val="22"/>
        </w:rPr>
        <w:t xml:space="preserve">Điều 21. Thẩm quyền triệu tập họp đại hội đồng cổ đông </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1. Đại hội đồng cổ đông họp thường niên mỗi năm một lần. Ngoài cuộc họp thường niên, Đại hội đồng cổ đông có thể họp bất thường. Địa điểm họp Đại hội đồng cổ đông được xác định là nơi chủ tọa tham dự họp và phải ở trên lãnh thổ Việt Nam.</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2. Đại hội đồng cổ đông phải họp thường niên trong thời hạn 04 tháng kể từ ngày kết thúc năm tài chính. Hội đồng quản trị quyết định gia hạn họp Đại hội đồng cổ đông thường niên trong trường hợp cần thiết, nhưng không quá 06 tháng kể từ ngày kết thúc năm tài chính.</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3. Đại hội đồng cổ đông thường niên thảo luận và thông qua các vấn đề sau đây: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highlight w:val="white"/>
        </w:rPr>
        <w:t>a) Kế hoạch</w:t>
      </w:r>
      <w:r w:rsidRPr="00AB15D8">
        <w:rPr>
          <w:sz w:val="22"/>
          <w:szCs w:val="22"/>
        </w:rPr>
        <w:t> kinh doanh hằng năm của công ty;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b) Báo cáo tài chính hằng năm;</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c) Báo cáo của Hội đồng quản trị về quản trị và kết quả hoạt động của Hội đồng quản trị và từng thành viên Hội đồng quản trị;</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d) Báo cáo của Ban kiểm soát về kết quả kinh doanh của công ty, kết quả hoạt động của Hội đồng quản trị, Giám đốc hoặc Phó Giám đốc;</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đ) Báo cáo tự đánh giá kết quả hoạt động của Ban kiểm soát và Kiểm soát viên;</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e) Mức cổ tức đối với mỗi cổ phần của từng loại;</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g) Vấn đề khác thuộc thẩm quyền.</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4. Hội đồng quản trị triệu tập họp Đại hội đồng cổ đông thường niên và bất thường. Hội đồng quản trị triệu tập họp bất thường Đại hội đồng cổ đông trong trường hợp sau đây: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a) Hội đồng quản trị xét thấy cần thiết vì lợi ích của công ty;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b) Số lượng thành viên Hội đồng quản trị, Ban kiểm soát còn lại ít hơn số lượng thành viên tối thiểu theo quy định của pháp luật;</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c) Theo yêu cầu của cổ đông hoặc nhóm cổ đông quy định tại khoản 2 Điều 115 của Luật doanh nghiệp;</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d) Theo yêu cầu của Ban kiểm soát;</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đ) Trường hợp khác theo quy định của pháp luật.</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5. Hội đồng quản trị phải triệu tập họp Đại hội đồng cổ đông trong thời hạn 30 ngày kể từ ngày xảy ra trường hợp quy định tại điểm b khoản 4 Điều này hoặc nhận được yêu cầu triệu tập họp quy định tại điểm c và điểm d khoản 4 Điều này. Trường hợp Hội đồng quản trị không triệu tập họp Đại hội đồng cổ đông theo quy định thì Chủ tịch Hội đồng quản trị và các thành viên Hội đồng quản trị phải bồi thường thiệt hại phát sinh cho công ty.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highlight w:val="white"/>
        </w:rPr>
        <w:t>6. Trường hợp</w:t>
      </w:r>
      <w:r w:rsidRPr="00AB15D8">
        <w:rPr>
          <w:sz w:val="22"/>
          <w:szCs w:val="22"/>
        </w:rPr>
        <w:t> Hội đồng quản trị không triệu tập họp Đại hội đồng cổ đông theo quy định tại khoản 5 Điều này thì trong thời hạn 30 ngày tiếp theo, Ban kiểm soát thay thế Hội đồng quản trị triệu tập họp Đại hội đồng cổ đông theo quy định của Luật này.</w:t>
      </w:r>
      <w:r w:rsidRPr="00AB15D8">
        <w:rPr>
          <w:sz w:val="22"/>
          <w:szCs w:val="22"/>
          <w:highlight w:val="white"/>
        </w:rPr>
        <w:t> Trường hợp</w:t>
      </w:r>
      <w:r w:rsidRPr="00AB15D8">
        <w:rPr>
          <w:sz w:val="22"/>
          <w:szCs w:val="22"/>
        </w:rPr>
        <w:t> Ban kiểm soát không triệu tập họp Đại hội đồng cổ đông theo </w:t>
      </w:r>
      <w:r w:rsidRPr="00AB15D8">
        <w:rPr>
          <w:sz w:val="22"/>
          <w:szCs w:val="22"/>
          <w:highlight w:val="white"/>
        </w:rPr>
        <w:t>quy định</w:t>
      </w:r>
      <w:r w:rsidRPr="00AB15D8">
        <w:rPr>
          <w:sz w:val="22"/>
          <w:szCs w:val="22"/>
        </w:rPr>
        <w:t> thì Ban kiểm soát phải bồi thường thiệt hại phát sinh cho công ty.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lastRenderedPageBreak/>
        <w:t>7. Trường hợp Ban kiểm soát không triệu tập họp Đại hội đồng cổ đông theo quy định tại khoản 6 Điều này thì cổ đông hoặc nhóm cổ đông theo quy định tại khoản 2 Điều 115 của Luật doanh nghiệp có quyền đại diện công ty triệu tập họp Đại hội đồng cổ đông theo quy định của Luật doanh nghiệp.</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8. Người triệu tập họp Đại hội đồng cổ đông phải thực hiện các công việc sau đây: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a) Lập danh sách cổ đông có quyền dự họp;</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b) Cung cấp thông tin và giải quyết khiếu nại liên quan đến danh sách cổ đông;</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c) Lập chương trình và nội dung cuộc họp;</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d) Chuẩn bị tài liệu cho cuộc họp;</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đ) Dự thảo nghị quyết Đại hội đồng cổ đông theo nội dung dự kiến của cuộc họp; danh sách và thông tin chi tiết của các ứng cử viên trong trường hợp bầu thành viên Hội đồng quản trị, Kiểm soát viên;</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e) Xác định thời gian và địa điểm họp;</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g) Gửi thông báo mời họp đến từng cổ đông có quyền dự họp theo quy định của Luật này;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h) Công việc khác phục vụ cuộc họp.</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9. Chi phí triệu tập và tiến hành họp Đại hội đồng cổ đông theo quy định tại các khoản 5, 6 và 7 Điều này sẽ được công ty hoàn lại.</w:t>
      </w:r>
    </w:p>
    <w:p w:rsidR="00ED1433" w:rsidRPr="00AB15D8" w:rsidRDefault="00AA54E5" w:rsidP="00AB15D8">
      <w:pPr>
        <w:pStyle w:val="Heading3"/>
        <w:tabs>
          <w:tab w:val="left" w:pos="389"/>
          <w:tab w:val="left" w:pos="432"/>
          <w:tab w:val="left" w:pos="475"/>
          <w:tab w:val="left" w:pos="504"/>
          <w:tab w:val="left" w:pos="576"/>
          <w:tab w:val="left" w:pos="720"/>
          <w:tab w:val="left" w:pos="1440"/>
        </w:tabs>
        <w:spacing w:line="312" w:lineRule="auto"/>
        <w:ind w:hanging="2"/>
        <w:jc w:val="both"/>
        <w:rPr>
          <w:sz w:val="22"/>
          <w:szCs w:val="22"/>
        </w:rPr>
      </w:pPr>
      <w:bookmarkStart w:id="12" w:name="_heading=h.po5jm4bx7uex" w:colFirst="0" w:colLast="0"/>
      <w:bookmarkEnd w:id="12"/>
      <w:r w:rsidRPr="00AB15D8">
        <w:rPr>
          <w:sz w:val="22"/>
          <w:szCs w:val="22"/>
        </w:rPr>
        <w:t>Điều 22. Danh sách cổ đông có quyền dự họp Đại hội đồng cổ đông</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1. Danh sách cổ đông có quyền dự họp Đại hội đồng cổ đông được lập dựa trên sổ đăng ký cổ đông của công ty. Danh sách cổ đông có quyền dự họp Đại hội đồng cổ đông được lập không quá 10 ngày trước ngày gửi giấy mời họp Đại hội đồng cổ đông.</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2. Danh sách cổ đông có quyền dự họp Đại hội đồng cổ đông phải có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số lượng cổ phần từng loại, số và ngày đăng ký cổ đông của từng cổ đông.</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3. Cổ đông có quyền kiểm tra, tra cứu, trích lục, sao chép tên và địa chỉ liên lạc của cổ đông trong danh sách cổ đông có quyền dự họp Đại hội đồng cổ đông; yêu cầu sửa đổi thông tin sai lệch hoặc bổ sung thông tin cần thiết về mình </w:t>
      </w:r>
      <w:r w:rsidRPr="00AB15D8">
        <w:rPr>
          <w:sz w:val="22"/>
          <w:szCs w:val="22"/>
          <w:highlight w:val="white"/>
        </w:rPr>
        <w:t>trong</w:t>
      </w:r>
      <w:r w:rsidRPr="00AB15D8">
        <w:rPr>
          <w:sz w:val="22"/>
          <w:szCs w:val="22"/>
        </w:rPr>
        <w:t> danh sách cổ đông có quyền dự họp Đại hội đồng cổ đông. Người quản lý công ty phải cung cấp kịp thời thông tin trong sổ đăng ký cổ đông, sửa đổi, </w:t>
      </w:r>
      <w:r w:rsidRPr="00AB15D8">
        <w:rPr>
          <w:sz w:val="22"/>
          <w:szCs w:val="22"/>
          <w:highlight w:val="white"/>
        </w:rPr>
        <w:t>bổ sung</w:t>
      </w:r>
      <w:r w:rsidRPr="00AB15D8">
        <w:rPr>
          <w:sz w:val="22"/>
          <w:szCs w:val="22"/>
        </w:rPr>
        <w:t> thông tin sai lệch theo yêu cầu của cổ đông; chịu trách nhiệm bồi thường thiệt hại phát sinh do không cung cấp hoặc cung cấp không kịp thời, không chính xác thông tin sổ đăng ký cổ đông theo yêu cầu.</w:t>
      </w:r>
    </w:p>
    <w:p w:rsidR="00ED1433" w:rsidRPr="00AB15D8" w:rsidRDefault="00AA54E5" w:rsidP="00AB15D8">
      <w:pPr>
        <w:pStyle w:val="Heading3"/>
        <w:tabs>
          <w:tab w:val="left" w:pos="389"/>
          <w:tab w:val="left" w:pos="432"/>
          <w:tab w:val="left" w:pos="475"/>
          <w:tab w:val="left" w:pos="504"/>
          <w:tab w:val="left" w:pos="576"/>
          <w:tab w:val="left" w:pos="720"/>
          <w:tab w:val="left" w:pos="1440"/>
        </w:tabs>
        <w:spacing w:line="312" w:lineRule="auto"/>
        <w:ind w:hanging="2"/>
        <w:jc w:val="both"/>
        <w:rPr>
          <w:sz w:val="22"/>
          <w:szCs w:val="22"/>
        </w:rPr>
      </w:pPr>
      <w:bookmarkStart w:id="13" w:name="_heading=h.2tkg4757o9g5" w:colFirst="0" w:colLast="0"/>
      <w:bookmarkEnd w:id="13"/>
      <w:r w:rsidRPr="00AB15D8">
        <w:rPr>
          <w:sz w:val="22"/>
          <w:szCs w:val="22"/>
        </w:rPr>
        <w:t>Điều 23. Chương trình và nội dung họp Đại hội đồng cổ đông</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1. Ng</w:t>
      </w:r>
      <w:r w:rsidRPr="00AB15D8">
        <w:rPr>
          <w:sz w:val="22"/>
          <w:szCs w:val="22"/>
          <w:highlight w:val="white"/>
        </w:rPr>
        <w:t>ườ</w:t>
      </w:r>
      <w:r w:rsidRPr="00AB15D8">
        <w:rPr>
          <w:sz w:val="22"/>
          <w:szCs w:val="22"/>
        </w:rPr>
        <w:t>i triệu tập họp Đại hội đồng cổ đông phải chuẩn bị chương trình, nội dung cuộc họp.</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2. Cổ đông hoặc nhóm cổ đông quy định tại khoản 2 Điều 6 có quyền kiến nghị vấn đề đưa vào chương trình họp Đại hội đồng cổ đông. Kiến nghị phải bằng văn bản và được gửi đến công ty chậm nhất là 03 ngày làm việc trước ngày khai mạc. Kiến nghị phải ghi rõ tên cổ đông, số lượng từng loại cổ phần của cổ đông, vấn đề kiến nghị đưa vào chương trình họp.</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3. Trường hợp người triệu tập họp Đại hội đồng cổ đông từ chối kiến nghị quy định tại khoản 2 Điều này thì chậm nhất là 02 ngày làm việc trước ngày khai mạc cuộc họp Đại hội đồng cổ đông phải trả lời bằng văn bản và nêu rõ lý do. Người triệu tập họp Đại hội đồng cổ đông chỉ được từ chối kiến nghị nếu thuộc một trong các trường hợp sau đây: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a) Kiến nghị được gửi đến không đúng quy định tại khoản 2 Điều này;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b) Vấn đề kiến nghị không thuộc thẩm quyền quyết định của Đại hội đồng cổ đông;</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4. Người triệu tập họp Đại hội đồng cổ đông phải chấp nhận và đưa kiến nghị quy định tại khoản 2 Điều này vào dự kiến chương trình và nội dung cuộc họp, trừ trường hợp quy định tại khoản 3 Điều này; kiến </w:t>
      </w:r>
      <w:r w:rsidRPr="00AB15D8">
        <w:rPr>
          <w:sz w:val="22"/>
          <w:szCs w:val="22"/>
        </w:rPr>
        <w:lastRenderedPageBreak/>
        <w:t>nghị được chính thức bổ sung vào chương trình và nội dung cuộc họp nếu được Đại hội đồng cổ đông chấp thuận.</w:t>
      </w:r>
    </w:p>
    <w:p w:rsidR="00ED1433" w:rsidRPr="00AB15D8" w:rsidRDefault="00AA54E5" w:rsidP="00AB15D8">
      <w:pPr>
        <w:pStyle w:val="Heading3"/>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Điều 24. Mời họp Đại hội đồng cổ đông</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1. Người triệu tập họp Đại hội đồng cổ đông phải gửi thông báo mời họp đến tất cả cổ đông </w:t>
      </w:r>
      <w:r w:rsidRPr="00AB15D8">
        <w:rPr>
          <w:sz w:val="22"/>
          <w:szCs w:val="22"/>
          <w:highlight w:val="white"/>
        </w:rPr>
        <w:t>trong</w:t>
      </w:r>
      <w:r w:rsidRPr="00AB15D8">
        <w:rPr>
          <w:sz w:val="22"/>
          <w:szCs w:val="22"/>
        </w:rPr>
        <w:t> danh sách cổ đông có quyền dự họp chậm nhất là 21 ngày trước ngày khai mạc. Thông báo mời họp phải có tên, địa chỉ trụ sở chính, mã số doanh nghiệp; tên, địa chỉ liên lạc của cổ đông, thời gian, địa điểm họp và những yêu cầu khác đối với người dự họp.</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2. Thông báo mời họp được gửi bằng phương thức để bảo đảm đến được địa chỉ liên lạc của cổ đông và đăng trên trang thông tin điện tử của công ty; trường hợp công ty xét thấy cần thiết thì đăng báo hằng ngày của trung ương hoặc địa phương.</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3. Thông báo mời họp phải được gửi kèm theo các tài liệu sau đây: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a) Chương trình họp, các tài liệu sử dụng trong cuộc họp và dự thảo nghị quyết đối với từng vấn đề trong chương trình họp;</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b) Phiếu biểu quyết.</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4. Trường hợp công ty có trang thông tin điện tử, việc gửi tài liệu họp kèm theo thông báo mời </w:t>
      </w:r>
      <w:r w:rsidRPr="00AB15D8">
        <w:rPr>
          <w:sz w:val="22"/>
          <w:szCs w:val="22"/>
          <w:highlight w:val="white"/>
        </w:rPr>
        <w:t>họp quy</w:t>
      </w:r>
      <w:r w:rsidRPr="00AB15D8">
        <w:rPr>
          <w:sz w:val="22"/>
          <w:szCs w:val="22"/>
        </w:rPr>
        <w:t> định tại khoản 3 Điều này có thể thay thế bằng việc đăng tải lên trang thông tin điện tử của công ty. Trường hợp này, thông báo mời họp phải ghi rõ nơi, cách thức tải tài liệu.</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bookmarkStart w:id="14" w:name="_heading=h.ic4vx4664c1p" w:colFirst="0" w:colLast="0"/>
      <w:bookmarkEnd w:id="14"/>
      <w:r w:rsidRPr="00AB15D8">
        <w:rPr>
          <w:b/>
          <w:sz w:val="22"/>
          <w:szCs w:val="22"/>
        </w:rPr>
        <w:t>Điều 25. Thực hiện quyền dự họp Đại hội đồng cổ đông</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1. Cổ đông, người đại diện theo ủy quyền của cổ đông là tổ chức có thể trực tiếp tham dự họp, ủy quyền bằng văn bản cho một hoặc một số cá nhân, tổ chức khác dự họp hoặc dự họp thông qua một </w:t>
      </w:r>
      <w:r w:rsidRPr="00AB15D8">
        <w:rPr>
          <w:sz w:val="22"/>
          <w:szCs w:val="22"/>
          <w:highlight w:val="white"/>
        </w:rPr>
        <w:t>trong</w:t>
      </w:r>
      <w:r w:rsidRPr="00AB15D8">
        <w:rPr>
          <w:sz w:val="22"/>
          <w:szCs w:val="22"/>
        </w:rPr>
        <w:t> các hình thức quy định tại khoản 3 Điều này.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2. Việc ủy quyền cho cá nhân, tổ chức đại diện dự họp Đại hội đồng cổ đông phải lập thành văn bản. Văn bản ủy quyền được lập theo quy định của pháp luật về dân sự và phải nêu rõ tên cá nhân, tổ chức được ủy quyền và số lượng cổ phần được ủy quyền. Cá nhân, tổ chức được ủy quyền dự họp Đại hội đồng cổ đông phải xuất trình văn bản ủy quyền khi đăng ký dự họp trước khi vào phòng họp.</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3. Cổ đông được coi là tham dự và biểu quyết tại cuộc họp Đại hội đồng cổ đông trong </w:t>
      </w:r>
      <w:r w:rsidRPr="00AB15D8">
        <w:rPr>
          <w:sz w:val="22"/>
          <w:szCs w:val="22"/>
          <w:highlight w:val="white"/>
        </w:rPr>
        <w:t>trường hợp</w:t>
      </w:r>
      <w:r w:rsidRPr="00AB15D8">
        <w:rPr>
          <w:sz w:val="22"/>
          <w:szCs w:val="22"/>
        </w:rPr>
        <w:t> sau đây: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a) Tham dự và biểu quyết trực tiếp tại cuộc họp;</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b) Ủy quyền cho cá nhân, tổ chức khác tham dự và biểu quyết tại cuộc họp;</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c) Tham dự và biểu quyết thông qua hội nghị trực tuyến, bỏ phiếu điện tử hoặc hình thức điện tử khác;</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d) Gửi phiếu biểu quyết đến cuộc họp thông qua gửi thư, fax, thư điện tử;</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đ) Gửi phiếu biểu quyết bằng phương tiện khác theo quy định trong Điều lệ công ty.</w:t>
      </w:r>
    </w:p>
    <w:p w:rsidR="00ED1433" w:rsidRPr="00AB15D8" w:rsidRDefault="00AA54E5" w:rsidP="00AB15D8">
      <w:pPr>
        <w:pStyle w:val="Heading3"/>
        <w:tabs>
          <w:tab w:val="left" w:pos="389"/>
          <w:tab w:val="left" w:pos="432"/>
          <w:tab w:val="left" w:pos="475"/>
          <w:tab w:val="left" w:pos="504"/>
          <w:tab w:val="left" w:pos="576"/>
          <w:tab w:val="left" w:pos="720"/>
          <w:tab w:val="left" w:pos="1440"/>
        </w:tabs>
        <w:spacing w:line="312" w:lineRule="auto"/>
        <w:ind w:hanging="2"/>
        <w:jc w:val="both"/>
        <w:rPr>
          <w:sz w:val="22"/>
          <w:szCs w:val="22"/>
        </w:rPr>
      </w:pPr>
      <w:bookmarkStart w:id="15" w:name="_heading=h.4p7nfwp6fxuu" w:colFirst="0" w:colLast="0"/>
      <w:bookmarkEnd w:id="15"/>
      <w:r w:rsidRPr="00AB15D8">
        <w:rPr>
          <w:sz w:val="22"/>
          <w:szCs w:val="22"/>
        </w:rPr>
        <w:t>Điều 26. Điều kiện tiến hành họp Đại hội đồng cổ đông</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1. Cuộc họp Đại hội đồng cổ đông được tiến hành khi có số cổ đông dự họp đại diện trên 50% tổng số phiếu biểu quyết.</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2. Trường hợp cuộc họp lần thứ nhất không đủ điều kiện tiến hành theo quy định tại khoản 1 Điều này thì thông báo mời họp lần thứ hai phải được gửi trong thời hạn 30 ngày kể từ ngày dự định họp lần thứ nhất. Cuộc họp Đại hội đồng cổ đông lần thứ hai được tiến hành khi có số cổ đông dự họp đại diện từ 33% tổng số phiếu biểu quyết trở lên.</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highlight w:val="white"/>
        </w:rPr>
        <w:t>3. Trường hợp</w:t>
      </w:r>
      <w:r w:rsidRPr="00AB15D8">
        <w:rPr>
          <w:sz w:val="22"/>
          <w:szCs w:val="22"/>
        </w:rPr>
        <w:t> cuộc họp lần thứ hai không đủ điều kiện tiến hành theo quy định tại khoản 2 Điều này thì thông báo mời họp lần thứ ba phải được gửi trong thời hạn 20 ngày kể từ ngày dự định họp lần thứ hai. Cuộc họp Đại hội đồng cổ đông lần thứ ba được tiến hành không phụ thuộc vào tổng số phiếu biểu quyết của các cổ đông dự họp.</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lastRenderedPageBreak/>
        <w:t>4. Chỉ có Đại hội đồng cổ đông mới có quyền quyết định thay đổi chương trình họp đã được gửi kèm theo thông báo mời họp theo quy định tại Điều 23 Điều lệ.</w:t>
      </w:r>
    </w:p>
    <w:p w:rsidR="00ED1433" w:rsidRPr="00AB15D8" w:rsidRDefault="00AA54E5" w:rsidP="00AB15D8">
      <w:pPr>
        <w:pStyle w:val="Heading3"/>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Điều 27. Thể thức tiến hành họp và biểu quyết tại Đại hội đồng cổ đông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bookmarkStart w:id="16" w:name="_heading=h.bu66ija6ad3e" w:colFirst="0" w:colLast="0"/>
      <w:bookmarkEnd w:id="16"/>
      <w:r w:rsidRPr="00AB15D8">
        <w:rPr>
          <w:sz w:val="22"/>
          <w:szCs w:val="22"/>
        </w:rPr>
        <w:t>Thể thức tiến hành họp và biểu quyết tại cuộc họp Đại hội đồng cổ đông được tiến hành như sau:</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1. Trước khi khai mạc cuộc họp, phải tiến hành đăng ký cổ đông dự họp Đại hội đồng cổ đông;</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2. Việc bầu chủ tọa, thư ký và ban kiểm phiếu được quy định như sau:</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a) Chủ tịch Hội đồng quản trị làm chủ tọa hoặc ủy quyền cho thành viên Hội đồng quản trị khác làm chủ tọa cuộc họp Đại hội đồng cổ đông do Hội đồng quản trị triệu tập; </w:t>
      </w:r>
      <w:r w:rsidRPr="00AB15D8">
        <w:rPr>
          <w:sz w:val="22"/>
          <w:szCs w:val="22"/>
          <w:highlight w:val="white"/>
        </w:rPr>
        <w:t>trường hợp</w:t>
      </w:r>
      <w:r w:rsidRPr="00AB15D8">
        <w:rPr>
          <w:sz w:val="22"/>
          <w:szCs w:val="22"/>
        </w:rPr>
        <w:t> Chủ tịch vắng mặt hoặc tạm thời mất khả năng làm việc thì các thành viên Hội đồng quản trị còn lại bầu một người trong số họ làm chủ tọa cuộc họp theo nguyên tắc đa số; trường hợp không bầu được người làm chủ tọa thì Trưởng Ban kiểm soát điều hành để Đại hội đồng cổ đông bầu chủ tọa cuộc họp và người có số phiếu bầu cao nhất làm chủ tọa cuộc họp;</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b) Trừ trường hợp quy định tại điểm a khoản này, người ký tên triệu tập họp Đại hội đồng cổ đông điều hành để Đại hội đồng cổ đông bầu chủ tọa cuộc họp và người có số phiếu bầu cao nhất làm chủ tọa cuộc họp;</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c) Chủ tọa cử một hoặc một số người làm thư ký cuộc họp;</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d) Đại hội đồng cổ đông bầu một hoặc một số ng</w:t>
      </w:r>
      <w:r w:rsidRPr="00AB15D8">
        <w:rPr>
          <w:sz w:val="22"/>
          <w:szCs w:val="22"/>
          <w:highlight w:val="white"/>
        </w:rPr>
        <w:t>ườ</w:t>
      </w:r>
      <w:r w:rsidRPr="00AB15D8">
        <w:rPr>
          <w:sz w:val="22"/>
          <w:szCs w:val="22"/>
        </w:rPr>
        <w:t>i vào ban kiểm phiếu theo đề nghị của chủ tọa cuộc họp;</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3. Chương trình và nội dung họp phải được Đại hội đồng cổ đông thông qua </w:t>
      </w:r>
      <w:r w:rsidRPr="00AB15D8">
        <w:rPr>
          <w:sz w:val="22"/>
          <w:szCs w:val="22"/>
          <w:highlight w:val="white"/>
        </w:rPr>
        <w:t>trong</w:t>
      </w:r>
      <w:r w:rsidRPr="00AB15D8">
        <w:rPr>
          <w:sz w:val="22"/>
          <w:szCs w:val="22"/>
        </w:rPr>
        <w:t> phiên khai mạc. Chương trình phải xác định </w:t>
      </w:r>
      <w:r w:rsidRPr="00AB15D8">
        <w:rPr>
          <w:sz w:val="22"/>
          <w:szCs w:val="22"/>
          <w:highlight w:val="white"/>
        </w:rPr>
        <w:t>thời gian</w:t>
      </w:r>
      <w:r w:rsidRPr="00AB15D8">
        <w:rPr>
          <w:sz w:val="22"/>
          <w:szCs w:val="22"/>
        </w:rPr>
        <w:t> đối </w:t>
      </w:r>
      <w:r w:rsidRPr="00AB15D8">
        <w:rPr>
          <w:sz w:val="22"/>
          <w:szCs w:val="22"/>
          <w:highlight w:val="white"/>
        </w:rPr>
        <w:t>với</w:t>
      </w:r>
      <w:r w:rsidRPr="00AB15D8">
        <w:rPr>
          <w:sz w:val="22"/>
          <w:szCs w:val="22"/>
        </w:rPr>
        <w:t> từng vấn đề trong nội dung chương trình họp;</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4. Chủ tọa có quyền thực hiện các biện pháp cần thiết và hợp lý để điều hành cuộc họp một cách có trật tự, đúng theo chương trình đã được thông qua và phản ánh được mong muốn của đa số người dự họp;</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5. Đại hội đồng cổ đông thảo luận và biểu quyết theo từng vấn đề trong nội dung chương trình. Việc biểu quyết được tiến hành bằng biểu quyết tán thành, không tán thành và không có ý kiến. Kết quả kiểm phiếu được chủ tọa công bố ngay trước khi bế mạc cuộc họp;</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6. Cổ đông hoặc người được ủy quyền dự họp đến sau khi cuộc họp đã khai mạc vẫn được đăng ký và có quyền tham gia biểu quyết ngay sau khi đăng ký; </w:t>
      </w:r>
      <w:r w:rsidRPr="00AB15D8">
        <w:rPr>
          <w:sz w:val="22"/>
          <w:szCs w:val="22"/>
          <w:highlight w:val="white"/>
        </w:rPr>
        <w:t>trong</w:t>
      </w:r>
      <w:r w:rsidRPr="00AB15D8">
        <w:rPr>
          <w:sz w:val="22"/>
          <w:szCs w:val="22"/>
        </w:rPr>
        <w:t> trường hợp này, hiệu lực của những nội dung đã được biểu quyết trước đó không thay đổi;</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7. Người triệu tập họp hoặc chủ tọa cuộc họp Đại hội đồng cổ đông có quyền sau đây: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a) Yêu cầu tất cả người dự họp chịu sự kiểm tra hoặc các biện pháp an ninh hợp pháp, hợp lý khác;</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b) Yêu cầu cơ quan có thẩm quyền duy trì trật tự cuộc họp; trục xuất những người không tuân thủ quyền điều hành của chủ tọa, cố ý gây rối trật tự, ngăn cản tiến triển bình thường của cuộc họp hoặc không tuân thủ các yêu cầu về kiểm tra an ninh ra khỏi cuộc họp Đại hội đồng cổ đông;</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8. Chủ tọa có quyền hoãn cuộc họp Đại hội đồng cổ đông đã có đủ số người đăng ký dự họp tối đa không quá 03 ngày làm việc kể từ ngày cuộc họp dự định khai mạc và chỉ được hoãn cuộc họp hoặc thay đổi địa điểm họp trong trường hợp sau đây: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a) Địa điểm họp không có đủ chỗ ngồi thuận tiện cho tất cả người dự họp;</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b) Phương tiện thông tin tại địa điểm họp không bảo đảm cho cổ đông dự họp tham gia, thảo luận và biểu quyết;</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c) Có người dự họp cản trở, gây rối trật tự, có nguy cơ làm cho cuộc họp không được tiến hành một cách công bằng và hợp pháp;</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9. Trường hợp chủ tọa hoãn hoặc tạm dừng họp Đại hội đồng cổ đông trái với quy định tại khoản 8 Điều này, Đại hội đồng cổ đông bầu một người khác trong số những người dự họp để thay thế chủ tọa điều </w:t>
      </w:r>
      <w:r w:rsidRPr="00AB15D8">
        <w:rPr>
          <w:sz w:val="22"/>
          <w:szCs w:val="22"/>
        </w:rPr>
        <w:lastRenderedPageBreak/>
        <w:t>hành cuộc họp cho đến lúc kết thúc; tất cả nghị quyết được thông qua tại cuộc họp đó đều có hiệu lực thi hành.</w:t>
      </w:r>
    </w:p>
    <w:p w:rsidR="00ED1433" w:rsidRPr="00AB15D8" w:rsidRDefault="00AA54E5" w:rsidP="00AB15D8">
      <w:pPr>
        <w:pStyle w:val="Heading3"/>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Điều 28. Hình thức thông qua nghị quyết của Đại hội đồng cổ đông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1. Đại hội đồng cổ đông thông qua các quyết định thuộc thẩm quyền bằng hình thức biểu quyết tại cuộc họp hoặc lấy ý kiến bằng văn bản.</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2. Nghị quyết của Đại hội đồng cổ đông về các vấn đề sau đây phải được thông qua bằng hình thức biểu quyết tại cuộc họp Đại hội đồng cổ đông:</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a) Sửa đổi, bổ sung các nội dung của Điều lệ công ty;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b) Định hướng phát triển công ty;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c) Loại cổ phần và tổng số cổ phần của từng loại;</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d) Bầu, miễn nhiệm, bãi nhiệm thành viên Hội đồng quản trị;</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đ) Quyết định đầu tư hoặc bán số tài sản có giá trị bằng hoặc lớn hơn 35% tổng giá trị tài sản được ghi trong báo cáo tài chính gần nhất của công ty.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e) Thông qua báo cáo tài chính hằng năm;</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g) Tổ chức lại, giải thể công ty.</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bookmarkStart w:id="17" w:name="_heading=h.w60kpe6fa5hr" w:colFirst="0" w:colLast="0"/>
      <w:bookmarkEnd w:id="17"/>
      <w:r w:rsidRPr="00AB15D8">
        <w:rPr>
          <w:b/>
          <w:sz w:val="22"/>
          <w:szCs w:val="22"/>
        </w:rPr>
        <w:t xml:space="preserve">Điều 29. Điều kiện để Nghị quyết được thông qua </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1. Nghị quyết về nội dung sau đây được thông qua nếu được số cổ đông đại diện từ 65% tổng số phiếu biểu quyết trở lên của tất cả cổ đông dự họp tán thành, trừ trường hợp quy định tại các khoản 3, 4 và 6 Điều này: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a) Loại cổ phần và tổng số cổ phần của từng loại;</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b) Thay đổi ngành, nghề và lĩnh vực kinh doanh;</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c) Thay đổi cơ cấu tổ chức quản lý công ty;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d) Dự án đầu tư hoặc bán tài sản có giá trị từ 35% tổng giá trị tài sản trở lên được ghi </w:t>
      </w:r>
      <w:r w:rsidRPr="00AB15D8">
        <w:rPr>
          <w:sz w:val="22"/>
          <w:szCs w:val="22"/>
          <w:highlight w:val="white"/>
        </w:rPr>
        <w:t>trong</w:t>
      </w:r>
      <w:r w:rsidRPr="00AB15D8">
        <w:rPr>
          <w:sz w:val="22"/>
          <w:szCs w:val="22"/>
        </w:rPr>
        <w:t> báo cáo tài chính gần nhất của công ty;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đ) Tổ chức lại, giải thể công ty;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2. Các nghị quyết được thông qua khi được số cổ đông sở hữu trên 50% tổng số phiếu biểu quyết của tất cả cổ đông dự họp tán thành, trừ trường hợp quy định tại các khoản 1, 3, 4 và 6 Điều này.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3. Việc biểu quyết bầu thành viên Hội đồng quản trị và Ban kiểm soát phải thực hiện theo phương thức bầu dồn phiếu, theo đó mỗi cổ đông có tổng số phiếu biểu quyết tương ứng với tổng số cổ phần sở hữu nhân với số thành viên được bầu của Hội đồng quản trị hoặc Ban kiểm soát và cổ đông có quyền dồn hết hoặc một phần tổng số phiếu bầu của mình cho một hoặc một số ứng cử viên. Người trúng cử thành viên Hội đồng quản trị hoặc Kiểm soát viên được xác định theo số phiếu bầu tính từ cao xuống thấp, bắt đầu từ ứng cử viên có số phiếu bầu cao nhất cho đến khi đủ số thành viên. Trường hợp có từ 02 ứng cử viên trở lên đạt cùng số phiếu bầu như nhau cho thành viên cuối cùng của Hội đồng quản trị hoặc Ban kiểm soát thì sẽ tiến hành bầu lại trong số các ứng cử viên có số phiếu bầu ngang nhau hoặc lựa chọn theo tiêu chí quy định tại quy chế bầu cử.</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4. Trường hợp thông qua nghị quyết dưới hình thức lấy ý kiến bằng văn bản thì nghị quyết Đại hội đồng cổ đông được thông qua nếu được số cổ đông sở hữu trên 50% tổng số phiếu biểu quyết của tất cả cổ đông có quyền biểu quyết tán thành.</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5. Nghị quyết Đại hội đồng cổ đông phải được thông báo đến cổ đông có quyền dự họp Đại hội đồng cổ đông trong thời hạn 15 ngày kể từ ngày thông qua; trường hợp công ty có trang thông tin điện tử, việc gửi nghị quyết có thể thay thế bằng việc đăng tải lên trang thông tin điện tử của công ty.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6. Nghị quyết Đại hội đồng cổ đông về nội dung làm thay đổi bất lợi quyền và nghĩa vụ của cổ đông sở hữu cổ phần ưu đãi chỉ được thông qua nếu được số cổ đông ưu đãi cùng loại dự họp sở hữu từ 75% </w:t>
      </w:r>
      <w:r w:rsidRPr="00AB15D8">
        <w:rPr>
          <w:sz w:val="22"/>
          <w:szCs w:val="22"/>
        </w:rPr>
        <w:lastRenderedPageBreak/>
        <w:t>tổng số cổ phần ưu đãi loại đó trở lên tán thành hoặc được các cổ đông ưu đãi cùng loại sở hữu từ 75% tổng số cổ phần ưu đãi loại đó trở lên tán thành trong trường hợp thông qua nghị quyết dưới hình thức lấy ý kiến bằng văn bản.</w:t>
      </w:r>
    </w:p>
    <w:p w:rsidR="00ED1433" w:rsidRPr="00AB15D8" w:rsidRDefault="00AA54E5" w:rsidP="00AB15D8">
      <w:pPr>
        <w:pStyle w:val="Heading3"/>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Điều 30. Thẩm quyền và thể thức lấy ý kiến cổ đông bằng văn bản để thông qua nghị quyết của Đại hội đồng cổ đông</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bookmarkStart w:id="18" w:name="_heading=h.kemxlv5gi22i" w:colFirst="0" w:colLast="0"/>
      <w:bookmarkEnd w:id="18"/>
      <w:r w:rsidRPr="00AB15D8">
        <w:rPr>
          <w:sz w:val="22"/>
          <w:szCs w:val="22"/>
        </w:rPr>
        <w:t>Thẩm quyền và thể thức lấy ý kiến cổ đông bằng văn bản để thông qua nghị quyết của Đại hội đồng cổ đông được thực hiện theo quy định sau đây: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1. Hội đồng quản trị có quyền lấy ý kiến cổ đông bằng văn bản để thông qua nghị quyết Đại hội đồng cổ đông khi xét thấy cần thiết vì lợi ích của công ty, trừ trường hợp quy định tại khoản 2 Điều 28 Điều lệ;</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2. Hội đồng quản trị chuẩn bị phiếu lấy ý kiến, dự thảo nghị quyết Đại hội đồng cổ đông, các tài liệu giải trình dự thảo nghị quyết và gửi đến tất cả cổ đông có quyền biểu quyết chậm nhất là 10 ngày trước thời hạn phải gửi lại phiếu lấy ý kiến. Việc lập danh sách cổ đông gửi phiếu lấy ý kiến thực hiện theo quy định tại khoản 1 và khoản 2 Điều 22 Điều lệ. Yêu cầu và cách thức gửi phiếu lấy ý kiến và tài liệu kèm theo thực hiện theo quy định tại Điều 24 Điều lệ;</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3. Phiếu lấy ý kiến phải bao gồm các nội dung chủ yếu sau đây: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a) Tên, địa chỉ trụ sở chính, mã số doanh nghiệp;</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b) Mục đích lấy ý kiến;</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c)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hoặc họ, tên, địa chỉ liên lạc, quốc tịch, số giấy tờ pháp lý của cá nhân đối với đại diện của cổ đông là tổ chức; số lượng cổ phần của từng loại và số phiếu biểu quyết của cổ đông;</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d) Vấn đề cần lấy ý kiến để thông qua;</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đ) Phương án biểu quyết bao gồm tán thành, không tán thành và không có ý kiến;</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e) Thời hạn phải gửi về công ty phiếu lấy ý kiến đã được trả lời;</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g) Họ, tên, chữ ký của Chủ tịch Hội đồng quản trị;</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4. Cổ đông có thể gửi phiếu lấy ý kiến đã trả lời đến công ty bằng hình thức gửi thư, fax hoặc thư điện tử theo quy định sau đây: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a) Trường hợp gửi thư, phiếu lấy ý kiến đã được trả lời phải có chữ ký của cổ đông là cá nhân, của người đại diện theo ủy quyền hoặc người đại diện theo pháp luật của cổ đông là tổ chức. Phiếu lấy ý kiến gửi về công ty phải được đựng trong phong bì dán kín và không ai được quyền mở trước khi kiểm phiếu;</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b) Trường hợp gửi fax hoặc thư điện tử, phiếu lấy ý kiến gửi về công ty phải được giữ bí mật đến thời điểm kiểm phiếu;</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c) Các phiếu lấy ý kiến gửi về công ty sau thời hạn đã xác định tại nội dung phiếu lấy ý kiến hoặc đã bị mở </w:t>
      </w:r>
      <w:r w:rsidRPr="00AB15D8">
        <w:rPr>
          <w:sz w:val="22"/>
          <w:szCs w:val="22"/>
          <w:highlight w:val="white"/>
        </w:rPr>
        <w:t>trong</w:t>
      </w:r>
      <w:r w:rsidRPr="00AB15D8">
        <w:rPr>
          <w:sz w:val="22"/>
          <w:szCs w:val="22"/>
        </w:rPr>
        <w:t> trường hợp gửi thư và bị tiết lộ trong trường hợp gửi fax, thư điện tử là không hợp lệ. Phiếu lấy ý kiến không được gửi về được coi là phiếu không tham gia biểu quyết;</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5. Hội đồng quản trị tổ chức kiểm phiếu và lập biên bản kiểm phiếu dưới sự chứng kiến, giám sát của Ban kiểm soát hoặc của cổ đông không nắm giữ chức vụ quản lý công ty. Biên bản kiểm phiếu phải bao gồm các nội dung chủ yếu sau đây: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a) Tên, địa chỉ trụ sở chính, mã số doanh nghiệp;</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b) Mục đích và các vấn đề cần lấy ý kiến để thông qua nghị quyết;</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c) Số cổ đông với tổng số phiếu biểu quyết đã tham gia biểu quyết, </w:t>
      </w:r>
      <w:r w:rsidRPr="00AB15D8">
        <w:rPr>
          <w:sz w:val="22"/>
          <w:szCs w:val="22"/>
          <w:highlight w:val="white"/>
        </w:rPr>
        <w:t>trong</w:t>
      </w:r>
      <w:r w:rsidRPr="00AB15D8">
        <w:rPr>
          <w:sz w:val="22"/>
          <w:szCs w:val="22"/>
        </w:rPr>
        <w:t> đó phân biệt số phiếu biểu quyết hợp lệ và số phiếu biểu quyết không hợp lệ và phương thức gửi phiếu biểu quyết, kèm theo phụ lục danh sách cổ đông tham gia biểu quyết;</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lastRenderedPageBreak/>
        <w:t>d) Tổng số phiếu tán thành, không tán thành và không có ý kiến đối với từng vấn đề;</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đ) Vấn đề đã được thông qua và tỷ lệ biểu quyết thông qua tương ứng;</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e) Họ, tên, chữ ký của Chủ tịch Hội đồng quản trị, người giám sát kiểm phiếu và người kiểm phiếu.</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Các thành viên Hội đồng quản trị, người kiểm phiếu và người giám sát kiểm phiếu phải liên đới chịu trách nhiệm về tính trung thực, chính xác của biên bản kiểm phiếu; liên đới chịu trách nhiệm về các thiệt hại phát sinh từ các quyết định được thông qua do kiểm phiếu không trung thực, không chính xác;</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6. Biên bản kiểm phiếu và nghị quyết phải được gửi đến các cổ đông </w:t>
      </w:r>
      <w:r w:rsidRPr="00AB15D8">
        <w:rPr>
          <w:sz w:val="22"/>
          <w:szCs w:val="22"/>
          <w:highlight w:val="white"/>
        </w:rPr>
        <w:t>trong</w:t>
      </w:r>
      <w:r w:rsidRPr="00AB15D8">
        <w:rPr>
          <w:sz w:val="22"/>
          <w:szCs w:val="22"/>
        </w:rPr>
        <w:t> thời hạn 15 ngày kể từ ngày kết thúc kiểm phiếu. Trường hợp công ty có trang thông tin điện tử, việc gửi biên bản kiểm phiếu và nghị quyết có thể thay thế bằng việc đăng tải lên trang thông tin điện tử của công ty;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7. Phiếu lấy ý kiến đã được trả lời, biên bản kiểm phiếu, nghị quyết đã được thông qua và tài liệu có liên quan gửi kèm theo phiếu lấy ý kiến được lưu giữ tại trụ sở chính của công ty;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8. Nghị quyết được thông qua theo hình thức lấy ý kiến cổ đông bằng văn bản có giá trị như nghị quyết được thông qua tại cuộc họp Đại hội đồng cổ đông.</w:t>
      </w:r>
    </w:p>
    <w:p w:rsidR="00ED1433" w:rsidRPr="00AB15D8" w:rsidRDefault="00AA54E5" w:rsidP="00AB15D8">
      <w:pPr>
        <w:pStyle w:val="Heading3"/>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Điều 31. Biên bản họp Đại hội đồng cổ đông</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1. Cuộc họp Đại hội đồng cổ đông phải được ghi biên bản và có thể ghi âm hoặc ghi và lưu giữ dưới hình thức điện tử khác. Biên bản phải lập bằng tiếng Việt, có thể lập thêm bằng tiếng nước ngoài và có các nội dung chủ yếu sau đây: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a) Tên, địa chỉ trụ sở chính, mã số doanh nghiệp;</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b) Thời gian và địa điểm họp Đại hội đồng cổ đông;</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c) Chương trình và nội dung cuộc họp;</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d) Họ, tên chủ tọa và thư ký;</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đ) Tóm tắt diễn biến cuộc họp và các ý kiến phát biểu tại Đại hội đồng cổ đông về từng vấn đề trong nội dung chương trình họp;</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e) Số cổ đông và tổng số phiếu biểu quyết của các cổ đông dự họp, phụ lục danh sách đăng ký cổ đông, đại diện cổ đông dự họp với số cổ phần và số phiếu bầu tương ứng;</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g) Tổng số phiếu biểu quyết đối với từng vấn đề biểu quyết, trong đó ghi rõ phương thức biểu quyết, tổng số phiếu hợp lệ, không hợp lệ, tán thành, không tán thành và không có ý kiến; tỷ lệ tương ứng trên tổng số phiếu biểu quyết của cổ đông dự họp;</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h) Các vấn đề đã được thông qua và tỷ lệ phiếu biểu quyết thông qua tương ứng;</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i) Chữ ký của chủ tọa và thư ký.</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Biên bản được lập bằng tiếng Việt và tiếng nước ngoài đều có hiệu lực pháp lý như nhau. Trường hợp có sự khác nhau về nội dung biên bản tiếng Việt và tiếng nước ngoài thì nội dung trong biên bản tiếng Việt có hiệu lực áp dụng.</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2. Biên bản họp Đại hội đồng cổ đông phải làm xong và thông qua trước khi kết thúc cuộc họp.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3. Chủ tọa và thư ký cuộc họp hoặc người khác ký tên trong biên bản họp phải liên đới chịu trách nhiệm về tính trung thực, chính xác của nội dung biên bản.</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Biên bản họp Đại hội đồng cổ đông phải được gửi đến tất cả cổ đông trong thời hạn 15 ngày, kể từ ngày kết thúc cuộc họp; việc gửi biên bản kiểm phiếu có thể thay thế bằng việc đăng tải lên trang thông tin điện tử của công ty.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Biên bản họp Đại hội đồng cổ đông, phụ lục danh sách cổ đông đăng ký dự họp, nghị quyết đã được thông qua và tài liệu có liên quan gửi kèm theo thông báo mời họp phải được lưu giữ tại trụ sở chính của công ty.</w:t>
      </w:r>
    </w:p>
    <w:p w:rsidR="00ED1433" w:rsidRPr="00AB15D8" w:rsidRDefault="00AA54E5" w:rsidP="00AB15D8">
      <w:pPr>
        <w:pStyle w:val="Heading3"/>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lastRenderedPageBreak/>
        <w:t>Điều 32. Yêu cầu hủy bỏ nghị quyết của Đại hội đồng cổ đông</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Trong thời hạn 90 ngày, kể từ ngày nhận được biên bản họp Đại hội đồng cổ đông hoặc biên bản kết quả kiểm phiếu lấy ý kiến Đại hội đồng cổ đông, cổ đông, nhóm cổ đông quy định tại khoản 2 Điều 6 của Điều lệ này có quyền yêu cầu Tòa án hoặc Trọng tài xem xét, hủy bỏ nghị quyết hoặc một phần nội dung nghị quyết của Đại hội đồng cổ đông trong các trường hợp sau đây: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1. Trình tự và thủ tục triệu tập họp và ra quyết định của Đại hội đồng cổ đông không thực hiện đúng theo quy định của Luật doanh nghiệp và Điều lệ công ty, trừ trường hợp quy định tại khoản 2 Điều 33 của Điều lệ này;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bookmarkStart w:id="19" w:name="_heading=h.a6bqte9ovhjx" w:colFirst="0" w:colLast="0"/>
      <w:bookmarkEnd w:id="19"/>
      <w:r w:rsidRPr="00AB15D8">
        <w:rPr>
          <w:sz w:val="22"/>
          <w:szCs w:val="22"/>
        </w:rPr>
        <w:t>2. Nội dung nghị quyết vi phạm pháp luật hoặc Điều lệ công ty.</w:t>
      </w:r>
    </w:p>
    <w:p w:rsidR="00ED1433" w:rsidRPr="00AB15D8" w:rsidRDefault="00AA54E5" w:rsidP="00AB15D8">
      <w:pPr>
        <w:pStyle w:val="Heading3"/>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Điều 33. Hiệu lực các nghị quyết của Đại hội đồng cổ đông</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1. Các nghị quyết của Đại hội đồng cổ đông có hiệu lực kể từ ngày được thông qua hoặc từ thời điểm hiệu lực ghi tại nghị quyết đó.</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2. Các nghị quyết của Đại hội đồng cổ đông được thông qua bằng 100% tổng số cổ phần có quyền biểu quyết là hợp pháp và có hiệu lực ngay cả khi trình tự và thủ tục thông qua nghị quyết đó không được thực hiện đúng như quy định.</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3. Trường hợp có cổ đông, nhóm cổ đông yêu cầu Tòa án hoặc Trọng tài hủy bỏ nghị quyết của Đại hội đồng cổ đông theo quy định tại Điều 32 của Điều lệ này, thì các nghị quyết đó vẫn có hiệu lực thi hành cho đến khi Tòa án, Trọng tài có quyết định khác, trừ trường hợp áp dụng biện pháp khẩn cấp tạm thời theo quyết định của cơ quan có thẩm quyền.</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b/>
          <w:sz w:val="22"/>
          <w:szCs w:val="22"/>
        </w:rPr>
        <w:t xml:space="preserve">Điều 34. Hội đồng quản trị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1. Hội đồng quản trị là cơ quan quản lý công ty, có toàn quyền nhân danh công ty để quyết định, thực hiện các quyền và nghĩa vụ của công ty không thuộc thẩm quyền của Đại hội đồng cổ đông.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2. Hội đồng quản trị có các quyền và nghĩa vụ sau đây: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a) Quyết định chiến lược, kế hoạch phát triển trung hạn và kế hoạch kinh doanh hằng năm của công ty;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b) Kiến nghị loại cổ phần và tổng số cổ phần được quyền chào bán của từng loại;</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c) Quyết định bán cổ phần mới trong phạm vi số cổ phần được quyền chào bán của từng loại; quyết định huy động thêm vốn theo hình thức khác;</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d) Quyết định giá bán cổ phần và trái phiếu của công ty;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đ) Quyết định mua lại cổ phần theo quy định tại điểm a khoản 2 Điều 14 của Điều lệ này;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e) Quyết định phương án đầu tư và dự án đầu tư trong thẩm quyền và giới hạn theo quy định của pháp luật;</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g) Quyết định giải pháp phát triển thị trường, tiếp thị và công nghệ;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h) Thông qua hợp đồng mua, bán, vay, cho vay và hợp đồng khác có giá trị bằng hoặc lớn hơn 35% tổng giá trị tài sản được ghi trong báo cáo tài chính gần nhất của công ty. Quy định này không áp dụng đối với hợp đồng và giao dịch quy định tại điểm d khoản 2 Điều 20, khoản 1 và khoản 3 Điều 43 của Điều lệ này;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i) Bầu, miễn nhiệm, bãi nhiệm Chủ tịch Hội đồng quản trị; bổ nhiệm, miễn nhiệm, ký hợp đồng, chấm dứt hợp đồng đối với Giám đốc, Phó Giám đốc, Kế toán trưởng công ty; quyết định tiền lương và quyền lợi khác của những người quản lý đó; cử người đại diện theo ủy quyền tham gia Hội đồng thành viên hoặc Đại hội đồng cổ đông ở công ty khác, quyết định mức thù lao và quyền lợi khác của những người đó;</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k) Giám sát, chỉ đạo Giám đốc, Phó Giám đốc, Kế toán trưởng trong điều hành công việc kinh doanh hằng ngày của công ty;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lastRenderedPageBreak/>
        <w:t>l) Quyết định cơ cấu tổ chức, quy chế quản lý nội bộ của công ty, quyết định thành lập công ty con, lập chi nhánh, văn phòng đại diện và việc góp vốn, mua cổ phần của doanh nghiệp khác;</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m) Duyệt chương trình, nội dung tài liệu phục vụ họp Đại hội đồng cổ đông, triệu tập họp Đại hội đồng cổ đông hoặc lấy ý kiến để Đại hội đồng cổ đông thông qua quyết định;</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n) Trình báo cáo quyết toán tài chính hằng năm lên Đại hội đồng cổ đông;</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o) Kiến nghị mức cổ tức được trả; quyết định thời hạn và thủ tục trả cổ tức hoặc xử lý lỗ phát sinh trong quá trình kinh doanh;</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p) Kiến nghị việc tổ chức lại, giải thể, yêu cầu phá sản công ty;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3. Hội đồng quản trị thông qua quyết định bằng biểu quyết tại cuộc họp, lấy ý kiến bằng văn bản. Mỗi thành viên Hội đồng quản trị có một phiếu biểu quyết.</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4. Khi thực hiện chức năng, quyền và nghĩa vụ của mình, Hội đồng quản trị tuân thủ đúng quy định của pháp luật, Điều lệ công ty và nghị quyết của Đại hội đồng cổ đông. Trong trường hợp nghị quyết do Hội đồng quản trị thông qua trái với quy định của pháp luật hoặc Điều lệ công ty gây thiệt hại cho công ty thì các thành viên tán thành thông qua nghị quyết đó phải cùng liên đới chịu trách nhiệm cá nhân về nghị quyết đó và phải đền bù thiệt hại cho công ty; thành viên phản đối thông qua nghị quyết nói trên được miễn trừ trách nhiệm. Trường hợp này, cổ đông sở hữu cổ phần của công ty liên tục trong thời hạn ít nhất 01 năm có quyền yêu cầu Hội đồng quản trị đình chỉ thực hiện nghị quyết nói trên.</w:t>
      </w:r>
    </w:p>
    <w:p w:rsidR="00ED1433" w:rsidRPr="00AB15D8" w:rsidRDefault="00AA54E5" w:rsidP="00AB15D8">
      <w:pPr>
        <w:pStyle w:val="Heading3"/>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Điều 35. Nhiệm kỳ và số lượng thành viên Hội đồng quản trị</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1. Hội đồng quản trị có không ít hơn 3 thành viên, không quá 11 thành viên. Số lượng cụ thể sẽ do Đại hội đồng cổ đông quyết định theo từng thời kỳ phù hợp với yêu cầu của hoạt động quản lý công ty. Nhiệm kỳ của thành viên Hội đồng quản trị không quá 05 năm và có thể được bầu lại với số nhiệm kỳ không hạn chế.</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bookmarkStart w:id="20" w:name="_heading=h.apiffpq5ygjb" w:colFirst="0" w:colLast="0"/>
      <w:bookmarkEnd w:id="20"/>
      <w:r w:rsidRPr="00AB15D8">
        <w:rPr>
          <w:sz w:val="22"/>
          <w:szCs w:val="22"/>
        </w:rPr>
        <w:t>2. Trường hợp tất cả thành viên Hội đồng quản trị cùng kết thúc nhiệm kỳ thì các thành viên đó tiếp tục là thành viên Hội đồng quản trị cho đến khi có thành viên mới được bầu thay thế và tiếp quản công việc.</w:t>
      </w:r>
    </w:p>
    <w:p w:rsidR="00ED1433" w:rsidRPr="00AB15D8" w:rsidRDefault="00AA54E5" w:rsidP="00AB15D8">
      <w:pPr>
        <w:pStyle w:val="Heading3"/>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Điều 36. Cơ cấu, tiêu chuẩn và điều kiện làm thành viên Hội đồng quản trị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Thành viên Hội đồng quản trị phải có các tiêu chuẩn và điều kiện sau đây: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a) Có năng lực hành vi dân sự đầy đủ, không thuộc đối tượng không được quản lý doanh nghiệp theo quy định tại khoản 2 Điều 17 của Luật doanh nghiệp;</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b) </w:t>
      </w:r>
      <w:r w:rsidRPr="00AB15D8">
        <w:rPr>
          <w:sz w:val="22"/>
          <w:szCs w:val="22"/>
          <w:highlight w:val="white"/>
        </w:rPr>
        <w:t>Có trình độ chuyên môn, kinh nghiệm trong quản trị kinh doanh hoặc trong lĩnh vực, ngành, nghề kinh doanh của công ty và không nhất thiết phải là cổ đông của công ty, trừ trường hợp Điều lệ công ty có quy định khác;</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bookmarkStart w:id="21" w:name="_heading=h.n0yrxjv8ee9k" w:colFirst="0" w:colLast="0"/>
      <w:bookmarkEnd w:id="21"/>
      <w:r w:rsidRPr="00AB15D8">
        <w:rPr>
          <w:sz w:val="22"/>
          <w:szCs w:val="22"/>
        </w:rPr>
        <w:t xml:space="preserve">c) Thành viên Hội đồng quản trị công ty có thể đồng thời là thành viên Hội đồng quản trị của công ty khác. </w:t>
      </w:r>
    </w:p>
    <w:p w:rsidR="00ED1433" w:rsidRPr="00AB15D8" w:rsidRDefault="00AA54E5" w:rsidP="00AB15D8">
      <w:pPr>
        <w:pStyle w:val="Heading3"/>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Điều 37. Chủ tịch Hội đồng quản trị</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1. Hội đồng quản trị bầu một thành viên của Hội đồng quản trị làm Chủ tịch. Chủ tịch Hội đồng quản trị có thể kiêm Giám đốc công ty.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2. Chủ tịch Hội đồng quản trị có các quyền và nghĩa vụ sau đây: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a) Lập chương trình, kế hoạch hoạt động của Hội đồng quản trị;</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b) Chuẩn bị chương trình, nội dung, tài liệu phục vụ cuộc họp; triệu tập và chủ tọa cuộc họp Hội đồng quản trị;</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c) Tổ chức việc thông qua nghị quyết của Hội đồng quản trị;</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d) Giám sát quá trình tổ chức thực hiện các nghị quyết của Hội đồng quản trị;</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đ) Chủ tọa cuộc họp Đại hội đồng cổ đông, cuộc họp Hội đồng quản trị;</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lastRenderedPageBreak/>
        <w:t xml:space="preserve">4. Trường hợp Chủ tịch Hội đồng quản trị vắng mặt hoặc không thể thực hiện được nhiệm vụ của mình thì ủy quyền bằng văn bản cho một thành viên khác thực hiện các quyền và nghĩa vụ của Chủ tịch Hội đồng quản trị theo nguyên tắc quy định tại Điều lệ công ty. Trường hợp không có người được ủy quyền thì các thành viên còn lại bầu một người trong số các thành viên tạm thời giữ chức Chủ tịch Hội đồng quản trị theo nguyên tắc đa số.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5. Khi xét thấy cần thiết, Chủ tịch Hội đồng quản trị tuyển dụng thư ký công ty để hỗ trợ Hội đồng quản trị và Chủ tịch Hội đồng quản trị thực hiện các nghĩa vụ thuộc thẩm quyền theo quy định của pháp luật và Điều lệ công ty. Thư ký công ty có các quyền và nghĩa vụ sau đây: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a) Hỗ trợ tổ chức triệu tập họp Đại hội đồng cổ đông, Hội đồng quản trị; ghi chép các biên bản họp;</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b) Hỗ trợ thành viên Hội đồng quản trị trong việc thực hiện quyền và nghĩa vụ được giao;</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c) Hỗ trợ Hội đồng quản trị trong áp dụng và thực hiện nguyên tắc quản trị công ty;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d) Hỗ trợ công ty trong xây dựng quan hệ cổ đông và bảo vệ quyền và lợi ích hợp pháp của cổ đông;</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đ) Hỗ trợ công ty trong việc tuân thủ đúng các nghĩa vụ cung cấp thông tin, công khai hóa thông tin và thủ tục hành chính;</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6. Chủ tịch Hội đồng quản trị có thể bị bãi miễn theo quyết định của Hội đồng quản trị.</w:t>
      </w:r>
    </w:p>
    <w:p w:rsidR="00ED1433" w:rsidRPr="00AB15D8" w:rsidRDefault="00AA54E5" w:rsidP="00AB15D8">
      <w:pPr>
        <w:pStyle w:val="Heading3"/>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Điều 38. Cuộc họp Hội đồng quản trị</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1. Chủ tịch Hội đồng quản trị sẽ được bầu trong cuộc họp đầu tiên của nhiệm kỳ Hội đồng quản trị trong thời hạn 07 ngày làm việc, kể từ ngày kết thúc bầu cử Hội đồng quản trị nhiệm kỳ đó. Cuộc họp này do thành viên có số phiếu bầu cao nhất hoặc tỷ lệ phiếu bầu cao nhất triệu tập và chủ trì. Trường hợp có nhiều hơn một thành viên có số phiếu bầu hoặc tỷ lệ phiếu bầu cao nhất và ngang nhau thì các thành viên bầu theo nguyên tắc đa số để chọn 01 người trong số họ triệu tập họp Hội đồng quản trị.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2. Hội đồng quản trị có thể họp định kỳ hoặc bất thường. Hội đồng quản trị họp tại trụ sở chính của công ty hoặc ở nơi khác.</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3. Cuộc họp của Hội đồng quản trị do Chủ tịch Hội đồng quản trị triệu tập khi xét thấy cần thiết, nhưng mỗi quý phải họp ít nhất một lần.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4. Chủ tịch Hội đồng quản trị phải triệu tập họp Hội đồng quản trị khi có một trong các trường hợp sau đây: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a) Có đề nghị của Giám đốc, Ban kiểm soát hoặc ít nhất 05 người quản lý khác;</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b) Có đề nghị của ít nhất 02 thành viên điều hành của Hội đồng quản trị;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 Đề nghị phải được lập thành văn bản, trong đó nêu rõ mục đích, vấn đề cần thảo luận và quyết định thuộc thẩm quyền của Hội đồng quản trị.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5. Chủ tịch Hội đồng quản trị phải triệu tập họp Hội đồng quản trị trong thời hạn 07 ngày làm việc, kể từ ngày nhận được đề nghị quy định tại khoản 4 Điều này. Trường hợp Chủ tịch không triệu tập họp Hội đồng quản trị theo đề nghị thì Chủ tịch phải chịu trách nhiệm về những thiệt hại xảy ra đối với công ty; người đề nghị có quyền thay thế Hội đồng quản trị triệu tập họp Hội đồng quản trị.</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6. Chủ tịch Hội đồng quản trị hoặc người triệu tập họp Hội đồng quản trị phải gửi thông báo mời họp chậm nhất 03 ngày làm việc trước ngày họp. Thông báo mời họp phải xác định cụ thể thời gian và địa điểm họp, chương trình, các vấn đề thảo luận và quyết định. Kèm theo thông báo mời họp phải có tài liệu sử dụng tại cuộc họp và phiếu biểu quyết của thành viên.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Thông báo mời họp được gửi bằng bưu điện, fax, thư điện tử hoặc phương tiện khác, nhưng phải bảo đảm đến được địa chỉ liên lạc của từng thành viên Hội đồng quản trị được đăng ký tại công ty.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7. Cuộc họp Hội đồng quản trị được tiến hành khi có từ ba phần tư tổng số thành viên trở lên dự họp. Trường hợp cuộc họp được triệu tập theo quy định khoản này không đủ số thành viên dự họp theo quy </w:t>
      </w:r>
      <w:r w:rsidRPr="00AB15D8">
        <w:rPr>
          <w:sz w:val="22"/>
          <w:szCs w:val="22"/>
        </w:rPr>
        <w:lastRenderedPageBreak/>
        <w:t>định thì được triệu tập lần thứ hai trong thời hạn 07 ngày, kể từ ngày dự định họp lần thứ nhất. Trường hợp này, cuộc họp được tiến hành nếu có hơn một nửa số thành viên Hội đồng quản trị dự họp.</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8. Thành viên Hội đồng quản trị được coi là tham dự và biểu quyết tại cuộc họp trong trường hợp sau đây: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a) Tham dự và biểu quyết trực tiếp tại cuộc họp;</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b) Ủy quyền cho người khác đến dự họp theo quy định tại khoản 9 Điều này.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c) Tham dự và biểu quyết thông qua hội nghị trực tuyến hoặc hình thức tương tự khác;</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d) Gửi phiếu biểu quyết đến cuộc họp thông qua thư, fax, thư điện tử.</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Trường hợp gửi phiếu biểu quyết đến cuộc họp thông qua thư, phiếu biểu quyết phải đựng trong phong bì kín và phải được chuyển đến Chủ tịch Hội đồng quản trị chậm nhất một giờ trước khi khai mạc. Phiếu biểu quyết chỉ được mở trước sự chứng kiến của tất cả những người dự họp.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Nghị quyết của Hội đồng quản trị được thông qua nếu được đa số thành viên dự họp tán thành; trường hợp số phiếu ngang nhau thì quyết định cuối cùng thuộc về phía có ý kiến của Chủ tịch Hội đồng quản trị.</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bookmarkStart w:id="22" w:name="_heading=h.9bwtz8eewqzd" w:colFirst="0" w:colLast="0"/>
      <w:bookmarkEnd w:id="22"/>
      <w:r w:rsidRPr="00AB15D8">
        <w:rPr>
          <w:sz w:val="22"/>
          <w:szCs w:val="22"/>
        </w:rPr>
        <w:t>9. Thành viên phải tham dự đầy đủ các cuộc họp của Hội đồng quản trị. Thành viên được ủy quyền cho người khác dự họp nếu được đa số thành viên Hội đồng quản trị chấp thuận.</w:t>
      </w:r>
    </w:p>
    <w:p w:rsidR="00ED1433" w:rsidRPr="00AB15D8" w:rsidRDefault="00AA54E5" w:rsidP="00AB15D8">
      <w:pPr>
        <w:pStyle w:val="Heading3"/>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Điều 39. Biên bản họp Hội đồng quản trị</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1. Các cuộc họp của Hội đồng quản trị phải được ghi biên bản và có thể ghi âm, ghi và lưu giữ dưới hình thức điện tử khác. Biên bản phải lập bằng tiếng Việt và có thể lập thêm bằng tiếng nước ngoài, có các nội dung chủ yếu sau đây: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a) Tên, địa chỉ trụ sở chính, mã số doanh nghiệp;</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b) Mục đích, chương trình và nội dung họp;</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c) Thời gian, địa điểm họp;</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d) Họ, tên từng thành viên dự họp hoặc người được ủy quyền dự họp và cách thức dự họp; họ, tên các thành viên không dự họp và lý do;</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đ) Các vấn đề được thảo luận và biểu quyết tại cuộc họp;</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e) Tóm tắt phát biểu ý kiến của từng thành viên dự họp theo trình tự diễn biến của cuộc họp;</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g) Kết quả biểu quyết trong đó ghi rõ những thành viên tán thành, không tán thành và không có ý kiến;</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h) Các vấn đề đã được thông qua;</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i) Họ, tên, chữ ký chủ tọa và người ghi biên bản.</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Chủ tọa và người ghi biên bản phải chịu trách nhiệm về tính trung thực và chính xác của nội dung biên bản họp Hội đồng quản trị.</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2. Biên bản họp Hội đồng quản trị và tài liệu sử dụng trong cuộc họp phải được lưu giữ tại trụ chính của công ty.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bookmarkStart w:id="23" w:name="_heading=h.8kgfkyygggzj" w:colFirst="0" w:colLast="0"/>
      <w:bookmarkEnd w:id="23"/>
      <w:r w:rsidRPr="00AB15D8">
        <w:rPr>
          <w:sz w:val="22"/>
          <w:szCs w:val="22"/>
        </w:rPr>
        <w:t>3. Biên bản lập bằng tiếng Việt và tiếng nước ngoài có hiệu lực ngang nhau. Trường hợp có sự khác nhau về nội dung biên bản tiếng Việt và tiếng nước ngoài thì nội dung trong biên bản tiếng Việt có hiệu lực áp dụng.</w:t>
      </w:r>
    </w:p>
    <w:p w:rsidR="00ED1433" w:rsidRPr="00AB15D8" w:rsidRDefault="00AA54E5" w:rsidP="00AB15D8">
      <w:pPr>
        <w:pStyle w:val="Heading3"/>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Điều 40. Miễn nhiệm, bãi nhiệm và bổ sung thành viên Hội đồng quản trị</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1. Thành viên Hội đồng quản trị bị miễn nhiệm trong các trường hợp sau đây: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a) Không có đủ tiêu chuẩn và điều kiện theo quy định tại Điều 36 của Điều lệ này;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b) Có đơn từ chức;</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2. Thành viên Hội đồng quản trị có thể bị bãi nhiệm theo nghị quyết của Đại hội đồng cổ đông.</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3. Hội đồng quản trị phải triệu tập họp Đại hội đồng cổ đông để bầu bổ sung thành viên Hội đồng quản trị trong trường hợp số thành viên Hội đồng quản trị bị giảm quá một phần ba so với số quy định tại </w:t>
      </w:r>
      <w:r w:rsidRPr="00AB15D8">
        <w:rPr>
          <w:sz w:val="22"/>
          <w:szCs w:val="22"/>
        </w:rPr>
        <w:lastRenderedPageBreak/>
        <w:t>Điều lệ công ty. Trường hợp này, Hội đồng quản trị phải triệu tập họp Đại hội đồng cổ đông trong thời hạn 60 ngày, kể từ ngày số thành viên bị giảm quá một phần ba;</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bookmarkStart w:id="24" w:name="_heading=h.sjfeu4cv2oed" w:colFirst="0" w:colLast="0"/>
      <w:bookmarkEnd w:id="24"/>
      <w:r w:rsidRPr="00AB15D8">
        <w:rPr>
          <w:sz w:val="22"/>
          <w:szCs w:val="22"/>
        </w:rPr>
        <w:t>Trường hợp khác, tại cuộc họp gần nhất, Đại hội đồng cổ đông bầu thành viên mới thay thế thành viên Hội đồng quản trị đã bị miễn nhiệm, bãi nhiệm.</w:t>
      </w:r>
    </w:p>
    <w:p w:rsidR="00ED1433" w:rsidRPr="00AB15D8" w:rsidRDefault="00AA54E5" w:rsidP="00AB15D8">
      <w:pPr>
        <w:pStyle w:val="Heading3"/>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Điều 41. Giám đốc công ty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1. Hội đồng quản trị bổ nhiệm một người trong số họ hoặc thuê người khác làm Giám đốc.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2. Giám đốc là người điều hành công việc kinh doanh hằng ngày của công ty; chịu sự giám sát của Hội đồng quản trị; chịu trách nhiệm trước Hội đồng quản trị và trước pháp luật về việc thực hiện các quyền và nghĩa vụ được giao.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Nhiệm kỳ của Giám đốc không quá 05 năm; có thể được bổ nhiệm lại với số nhiệm kỳ không hạn chế.</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3. Tiêu chuẩn và điều kiện làm Giám đốc.</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a) Có đủ năng lực hành vi dân sự và không thuộc đối tượng không được quản lý doanh nghiệp theo quy định tại khoản 2 Điều 17 của Luật doanh nghiệp.</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b) Có trình độ chuyên môn, kinh nghiệm trong quản trị kinh doanh của công ty.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4. Giám đốc có các quyền và nghĩa vụ sau đây: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a) Quyết định các vấn đề liên quan đến công việc kinh doanh hằng ngày của công ty mà không cần phải có quyết định của Hội đồng quản trị;</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b) Tổ chức thực hiện các nghị quyết của Hội đồng quản trị;</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c) Tổ chức thực hiện kế hoạch kinh doanh và phương án đầu tư của công ty;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d) Kiến nghị phương án cơ cấu tổ chức, quy chế quản lý nội bộ của công ty;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đ) Bổ nhiệm, miễn nhiệm, bãi nhiệm các chức danh quản lý trong công ty, trừ các chức danh thuộc thẩm quyền của Hội đồng quản trị;</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e) Quyết định tiền lương và quyền lợi khác đối với người lao động trong công ty kể cả người quản lý thuộc thẩm quyền bổ nhiệm của Giám đốc;</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g) Tuyển dụng lao động;</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h) Kiến nghị phương án trả cổ tức hoặc xử lý lỗ trong kinh doanh;</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i) Quyền và nghĩa vụ khác theo nghị quyết của Hội đồng quản trị.</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5. Giám đốc hoặc phải điều hành công việc kinh doanh hằng ngày của công ty theo đúng quy định của pháp luật, Điều lệ công ty, hợp đồng lao động ký với công ty và nghị quyết của Hội đồng quản trị. Trường hợp điều hành trái với quy định này mà gây thiệt hại cho công ty thì Giám đốc phải chịu trách nhiệm trước pháp luật và phải bồi thường thiệt hại cho công ty.</w:t>
      </w:r>
    </w:p>
    <w:p w:rsidR="00ED1433" w:rsidRPr="00AB15D8" w:rsidRDefault="00AA54E5" w:rsidP="00AB15D8">
      <w:pPr>
        <w:pStyle w:val="Heading3"/>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Điều 42. Trách nhiệm của người quản lý công ty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1. Thành viên Hội đồng quản trị, Giám đốc và người quản lý khác có trách nhiệm sau đây: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a) Thực hiện các quyền và nghĩa vụ được giao theo đúng quy định của Luật này, pháp luật có liên quan, Điều lệ công ty, nghị quyết của Đại hội đồng cổ đông;</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b) Thực hiện các quyền và nghĩa vụ được giao một cách trung thực, cẩn trọng, tốt nhất nhằm bảo đảm lợi ích hợp pháp tối đa của công ty;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c) Trung thành với lợi ích của công ty và cổ đông; không sử dụng thông tin, bí quyết, cơ hội kinh doanh của công ty, địa vị, chức vụ và sử dụng tài sản của công ty để tư lợi hoặc phục vụ lợi ích của tổ chức, cá nhân khác;</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d) Thông báo kịp thời, đầy đủ, chính xác cho công ty về doanh nghiệp mà họ và người có liên quan của họ làm chủ hoặc có phần vốn góp, cổ phần chi phối; thông báo này được niêm yết tại trụ sở chính và chi nhánh của công ty.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2. Các nghĩa vụ khác theo quy định của Luật doanh nghiệp.</w:t>
      </w:r>
    </w:p>
    <w:p w:rsidR="00ED1433" w:rsidRPr="00AB15D8" w:rsidRDefault="00AA54E5" w:rsidP="00AB15D8">
      <w:pPr>
        <w:pStyle w:val="Heading3"/>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lastRenderedPageBreak/>
        <w:t xml:space="preserve">Điều 43. Chấp thuận hợp đồng, giao dịch giữa công ty với người có liên quan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1. Đại hội đồng cổ đông hoặc Hội đồng quản trị chấp thuận hợp đồng, giao dịch giữa công ty với người có liên quan sau đây: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a) Cổ đông, người đại diện theo ủy quyền của cổ đông là tổ chức sở hữu trên 10% tổng số cổ phần phổ thông của công ty và người có liên quan của họ;</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b) Thành viên Hội đồng quản trị, Giám đốc và người có liên quan của họ;</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c) Doanh nghiệp mà thành viên Hội đồng quản trị, Kiểm soát viên, Giám đốc hoặc Phó Giám đốc và người quản lý khác của công ty phải kê khai theo quy định tại khoản 2 Điều 164 của Luật doanh nghiệp.</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2. Hội đồng quản trị chấp thuận các hợp đồng, giao dịch theo quy định khoản 1 Điều này và có giá trị nhỏ hơn 35% tổng giá trị tài sản của doanh nghiệp ghi trong báo cáo tài chính gần nhất hoặc một tỷ lệ hoặc giá trị khác nhỏ hơn theo quy định tại Điều lệ công ty. Trường hợp này, người đại diện công ty ký hợp đồng, giao dịch phải thông báo cho thành viên Hội đồng quản trị, Kiểm soát viên về các đối tượng có liên quan đối với hợp đồng, giao dịch đó và gửi kèm theo dự thảo hợp đồng hoặc nội dung chủ yếu của giao dịch. Hội đồng quản trị quyết định việc chấp thuận hợp đồng, giao dịch trong thời hạn 15 ngày kể từ ngày nhận được thông báo, trừ trường hợp Điều lệ công ty quy định một thời hạn khác; thành viên Hội đồng quản trị có lợi ích liên quan đến các bên trong hợp đồng, giao dịch không có quyền biểu quyết.</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3. Đại hội đồng cổ đông chấp thuận hợp đồng, giao dịch sau đây: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a) Hợp đồng, giao dịch khác ngoài hợp đồng, giao dịch quy định tại khoản 2 Điều này;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b) Hợp đồng, giao dịch vay, cho vay, bán tài sản có giá trị lớn hơn 10% tổng giá trị tài sản của doanh nghiệp ghi trong báo cáo tài chính gần nhất giữa công ty và cổ đông sở hữu từ 51% tổng số cổ phần có quyền biểu quyết trở lên hoặc người có liên quan của cổ đông đó.</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4. Trường hợp chấp thuận hợp đồng, giao dịch theo quy định tại khoản 3 Điều này, người đại diện công ty ký hợp đồng, giao dịch phải thông báo cho Hội đồng quản trị và Kiểm soát viên về đối tượng có liên quan đối với hợp đồng, giao dịch đó và gửi kèm theo dự thảo hợp đồng hoặc thông báo nội dung chủ yếu của giao dịch. Hội đồng quản trị trình dự thảo hợp đồng, giao dịch hoặc giải trình về nội dung chủ yếu của hợp đồng, giao dịch tại cuộc họp Đại hội đồng cổ đông hoặc lấy ý kiến cổ đông bằng văn bản. Trường hợp này, cổ đông có lợi ích liên quan đến các bên trong hợp đồng, giao dịch không có quyền biểu quyết; hợp đồng, giao dịch được chấp thuận theo quy định tại khoản 1 và khoản 4 Điều 148 của Luật Doanh nghiệp.</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5. Hợp đồng, giao dịch bị vô hiệu theo quyết định của Tòa án và xử lý theo quy định của pháp luật khi được ký kết không đúng với quy định tại Điều này; người ký kết hợp đồng, giao dịch, cổ đông, thành viên Hội đồng quản trị hoặc Giám đốc hoặc phó Giám đốc có liên quan phải liên đới bồi thường thiệt hại phát sinh, hoàn trả cho công ty khoản lợi thu được từ việc thực hiện hợp đồng, giao dịch đó.</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6. Công ty phải công khai hợp đồng, giao dịch có liên quan theo quy định của pháp luật có liên quan. </w:t>
      </w:r>
    </w:p>
    <w:p w:rsidR="00ED1433" w:rsidRPr="00AB15D8" w:rsidRDefault="00AA54E5" w:rsidP="00AB15D8">
      <w:pPr>
        <w:pStyle w:val="Heading3"/>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Điều 44. Quyền khởi kiện đối với thành viên Hội đồng quản trị, Giám đốc</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1. Cổ đông, nhóm cổ đông sở hữu ít nhất 1% số cổ phần phổ thông liên tục trong thời hạn 06 tháng có quyền tự mình hoặc nhân danh công ty khởi kiện trách nhiệm dân sự đối với thành viên Hội đồng quản trị, Giám đốc trong các trường hợp sau đây: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a) Vi phạm nghĩa vụ người quản lý công ty theo quy định tại Điều 42 của Điều lệ này;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b) Không thực hiện đúng các quyền và nghĩa vụ được giao; không thực hiện, thực hiện không đầy đủ, không kịp thời nghị quyết của Hội đồng quản trị;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c) Thực hiện các quyền và nghĩa vụ được giao trái với quy định của pháp luật, Điều lệ công ty hoặc nghị quyết của Đại hội đồng cổ đông;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lastRenderedPageBreak/>
        <w:t xml:space="preserve">d) Sử dụng thông tin, bí quyết, cơ hội kinh doanh của công ty để tư lợi riêng hoặc phục vụ cho lợi ích của tổ chức, cá nhân khác;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đ) Sử dụng địa vị, chức vụ và sử dụng tài sản của công ty để tư lợi riêng hoặc phục vụ lợi ích của tổ chức, cá nhân khác;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e) Các trường hợp khác theo quy định của pháp luật</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2. Trình tự, thủ tục khởi kiện thực hiện tương ứng theo quy định của pháp luật về tố tụng dân sự. Chi phí khởi kiện trong trường hợp cổ đông, nhóm cổ đông khởi kiện nhân danh công ty sẽ tính vào chi phí của công ty, trừ trường hợp thành viên khởi kiện bị bác yêu cầu khởi kiện.</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b/>
          <w:sz w:val="22"/>
          <w:szCs w:val="22"/>
        </w:rPr>
        <w:t xml:space="preserve">Điều 45. Ban kiểm soát </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1. Ban kiểm soát có từ 03 đến 05 thành viên, nhiệm kỳ của Kiểm soát viên không quá 05 năm và Kiểm soát viên có thể được bầu lại với số nhiệm kỳ không hạn chế.</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2. Các Kiểm soát viên bầu một người trong số họ làm Trưởng Ban kiểm soát theo nguyên tắc đa số. Ban kiểm soát phải có hơn một nửa số thành viên thường trú ở Việt Nam. Trưởng Ban kiểm soát phải là kế toán viên hoặc kiểm toán viên chuyên nghiệp và phải làm việc chuyên trách tại công ty, trừ trường hợp Điều lệ công ty quy định tiêu chuẩn khác cao hơn.</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3. Trường hợp Kiểm soát viên có cùng thời điểm kết thúc nhiệm kỳ mà Kiểm soát viên nhiệm kỳ mới chưa được bầu thì Kiểm soát viên đã hết nhiệm kỳ vẫn tiếp tục thực hiện quyền và nghĩa vụ cho đến khi Kiểm soát viên nhiệm kỳ mới được bầu và nhận nhiệm vụ. </w:t>
      </w:r>
    </w:p>
    <w:p w:rsidR="004F49CE" w:rsidRPr="00AB15D8" w:rsidRDefault="004F49CE"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center"/>
        <w:rPr>
          <w:sz w:val="22"/>
          <w:szCs w:val="22"/>
        </w:rPr>
      </w:pPr>
      <w:r w:rsidRPr="00AB15D8">
        <w:rPr>
          <w:b/>
          <w:sz w:val="22"/>
          <w:szCs w:val="22"/>
        </w:rPr>
        <w:t>CHƯƠNG III.</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center"/>
        <w:rPr>
          <w:sz w:val="22"/>
          <w:szCs w:val="22"/>
        </w:rPr>
      </w:pPr>
      <w:bookmarkStart w:id="25" w:name="_heading=h.cattwsqjhlk3" w:colFirst="0" w:colLast="0"/>
      <w:bookmarkEnd w:id="25"/>
      <w:r w:rsidRPr="00AB15D8">
        <w:rPr>
          <w:b/>
          <w:sz w:val="22"/>
          <w:szCs w:val="22"/>
        </w:rPr>
        <w:t>CĂN CỨ, PHƯƠNG PHÁP XÁC ĐỊNH THÙ LAO, TIỀN LƯƠNG VÀ THƯỞNG CHO NGƯỜI QUẢN LÝ</w:t>
      </w:r>
    </w:p>
    <w:p w:rsidR="00ED1433" w:rsidRPr="00AB15D8" w:rsidRDefault="00AA54E5" w:rsidP="00AB15D8">
      <w:pPr>
        <w:pStyle w:val="Heading3"/>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Điều 46. Thù lao, tiền lương và lợi ích khác của thành viên Hội đồng quản trị, Giám đốc</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1. Công ty có quyền trả thù lao cho thành viên Hội đồng quản trị, trả lương cho Giám đốc và người quản lý khác theo kết quả và hiệu quả kinh doanh.</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2. Thù lao, tiền lương và quyền lợi khác của thành viên Hội đồng quản trị, Giám đốc được trả theo quy định sau đây: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a) Thành viên Hội đồng quản trị được hưởng thù lao công việc và tiền thưởng. Thù lao công việc được tính theo số ngày công cần thiết hoàn thành nhiệm vụ của thành viên Hội đồng quản trị và mức thù lao mỗi ngày. Hội đồng quản trị dự tính mức thù lao cho từng thành viên theo nguyên tắc nhất trí. Tổng mức thù lao của Hội đồng quản trị do Đại hội đồng cổ đông quyết định tại cuộc họp thường niên;</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b) Thành viên Hội đồng quản trị có quyền được thanh toán các chi phí ăn, ở, đi lại và chi phí hợp lý khác mà họ chi trả khi thực hiện nhiệm vụ được giao;</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c) Giám đốc được trả lương và tiền thưởng. Tiền lương của Giám đốc do Hội đồng quản trị quyết định.</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bookmarkStart w:id="26" w:name="_heading=h.4f1ou9ktyc3r" w:colFirst="0" w:colLast="0"/>
      <w:bookmarkEnd w:id="26"/>
      <w:r w:rsidRPr="00AB15D8">
        <w:rPr>
          <w:sz w:val="22"/>
          <w:szCs w:val="22"/>
        </w:rPr>
        <w:t>3. Thù lao của thành viên Hội đồng quản trị và tiền lương của Giám đốc và người quản lý khác được tính vào chi phí kinh doanh của công ty theo quy định của pháp luật về thuế thu nhập doanh nghiệp và phải được thể hiện thành mục riêng trong báo cáo tài chính hằng năm của công ty, phải báo cáo Đại hội đồng cổ đông tại cuộc họp thường niên.</w:t>
      </w:r>
    </w:p>
    <w:p w:rsidR="00ED1433" w:rsidRPr="00AB15D8" w:rsidRDefault="00AA54E5" w:rsidP="00AB15D8">
      <w:pPr>
        <w:pStyle w:val="Heading3"/>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Điều 47. Công khai các lợi ích liên quan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Việc công khai hóa lợi ích và người có liên quan của công ty thực hiện theo quy định sau đây: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1. Công ty phải tập hợp và cập nhật danh sách những người có liên quan của công ty theo quy định tại khoản 23 Điều 4 của Luật doanh nghiệp và các giao dịch tương ứng của họ với công ty;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2. Thành viên Hội đồng quản trị, Giám đốc và người quản lý khác của công ty phải kê khai các lợi ích liên quan của họ với công ty, bao gồm:</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lastRenderedPageBreak/>
        <w:t>a) Tên, mã số doanh nghiệp, địa chỉ trụ sở chính, ngành, nghề kinh doanh của doanh nghiệp mà họ có sở hữu phần vốn góp hoặc cổ phần; tỷ lệ và thời điểm sở hữu phần vốn góp hoặc cổ phần đó;</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b) Tên, mã số doanh nghiệp, địa chỉ trụ sở chính, ngành, nghề kinh doanh của doanh nghiệp mà những người có liên quan của họ cùng sở hữu hoặc sở hữu riêng phần vốn góp hoặc cổ phần trên 10% vốn điều lệ;</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3. Việc kê khai quy định tại khoản 2 Điều này phải được thực hiện trong thời hạn 07 ngày làm việc, kể từ ngày phát sinh lợi ích liên quan; việc sửa đổi, bổ sung phải được thông báo với công ty trong thời hạn 07 ngày làm việc, kể từ ngày có sửa đổi, bổ sung tương ứng;</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4. Việc công khai, xem xét, trích lục, sao chép Danh sách người có liên quan và lợi ích có liên quan được kê khai quy định tại khoản 1 và khoản 2 Điều này được thực hiện như sau:</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a) Công ty phải thông báo Danh sách người có liên quan và lợi ích có liên quan cho Đại hội đồng cổ đông tại cuộc họp thường niên;</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b) Danh sách người có liên quan và lợi ích có liên quan được lưu giữ tại trụ sở chính của Công ty; trường hợp cần thiết có thể lưu giữ một phần hoặc toàn bộ nội dung Danh sách nói trên tại các chi nhánh của công ty;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c) Cổ đông, đại diện theo ủy quyền của cổ đông, thành viên Hội đồng quản trị, Giám đốc và người quản lý khác có quyền xem xét, trích lục và sao một phần hoặc toàn bộ nội dung kê khai trong giờ làm việc;</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d) Công ty phải tạo điều kiện để những người quy định tại điểm c khoản này tiếp cận, xem, trích lục và sao chép danh sách những người có liên quan của công ty và những nội dung khác một cách nhanh nhất, thuận lợi nhất; không được ngăn cản, gây khó khăn đối với họ trong thực hiện quyền này. Trình tự, thủ tục xem xét, trích lục và sao chép nội dung kê khai người có liên quan và lợi ích có liên quan được thực hiện theo quy định tại Điều lệ công ty.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5. Thành viên Hội đồng quản trị, Giám đốc nhân danh cá nhân hoặc nhân danh người khác để thực hiện công việc dưới mọi hình thức trong phạm vi công việc kinh doanh của công ty đều phải giải trình bản chất, nội dung của công việc đó trước Hội đồng quản trị, chỉ được thực hiện khi được đa số thành viên còn lại của Hội đồng quản trị chấp thuận; nếu thực hiện mà không khai báo hoặc không được sự chấp thuận của Hội đồng quản trị thì tất cả thu nhập có được từ hoạt động đó thuộc về công ty.</w:t>
      </w:r>
    </w:p>
    <w:p w:rsidR="004F49CE" w:rsidRPr="00AB15D8" w:rsidRDefault="004F49CE"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center"/>
        <w:rPr>
          <w:sz w:val="22"/>
          <w:szCs w:val="22"/>
        </w:rPr>
      </w:pPr>
      <w:r w:rsidRPr="00AB15D8">
        <w:rPr>
          <w:b/>
          <w:sz w:val="22"/>
          <w:szCs w:val="22"/>
        </w:rPr>
        <w:t>CHƯƠNG IV</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center"/>
        <w:rPr>
          <w:sz w:val="22"/>
          <w:szCs w:val="22"/>
        </w:rPr>
      </w:pPr>
      <w:r w:rsidRPr="00AB15D8">
        <w:rPr>
          <w:b/>
          <w:sz w:val="22"/>
          <w:szCs w:val="22"/>
        </w:rPr>
        <w:t>CHẾ ĐỘ TÀI CHÍNH – KẾ TOÁN</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center"/>
        <w:rPr>
          <w:sz w:val="22"/>
          <w:szCs w:val="22"/>
        </w:rPr>
      </w:pPr>
      <w:r w:rsidRPr="00AB15D8">
        <w:rPr>
          <w:b/>
          <w:sz w:val="22"/>
          <w:szCs w:val="22"/>
        </w:rPr>
        <w:t>PHÂN CHIA LỢI NHUẬN VÀ XỬ LÝ LỖ TRONG KINH DOANH</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 w:val="left" w:pos="1500"/>
        </w:tabs>
        <w:spacing w:line="312" w:lineRule="auto"/>
        <w:ind w:hanging="2"/>
        <w:jc w:val="both"/>
        <w:rPr>
          <w:sz w:val="22"/>
          <w:szCs w:val="22"/>
        </w:rPr>
      </w:pPr>
      <w:r w:rsidRPr="00AB15D8">
        <w:rPr>
          <w:b/>
          <w:sz w:val="22"/>
          <w:szCs w:val="22"/>
        </w:rPr>
        <w:tab/>
        <w:t>Điều 48. Chế độ hạch toán kế toán – tài chính</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1. Công ty hoạt động trên nguyên tắc tự quản về tài chính, tự cân đối các khoản thu, chi có trách nhiệm bảo toàn và làm sinh lợi các nguồn vốn của Công ty. </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2. Năm tài chính của Công ty bắt đầu từ ngày 01 tháng 01 và kết thúc vào cuối ngày 31 tháng 12 hàng năm, riêng năm tài chính đầu tiên bắt đầu từ ngày Công ty được cấp Giấy chứng nhận đăng ký doanh nghiệp và kết thúc vào ngày 31 tháng 12 của năm đó. Trong thời hạn 90 ngày kể từ ngày kết thúc năm tài chính, công ty phải gửi báo cáo tài chính hàng năm đã được Đại hội đồng cổ đông thông qua đến cơ quan thuế và cơ quan đăng ký kinh doanh. Tóm tắt nội dung báo cáo tài chính hàng năm phải được thông báo đến tất cả cổ đông.</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3. Công ty thực hiện hạch toán kế toán theo đúng quy định của Luật về Kế toán và pháp luật có liên quan.</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4. Tại thời điểm kết thúc năm tài chính, Hội đồng quản trị phải chuẩn bị các báo cáo và tài liệu sau đây: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a) Báo cáo kết quả kinh doanh của công ty;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lastRenderedPageBreak/>
        <w:t>b) Báo cáo tài chính;</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c) Báo cáo đánh giá công tác quản lý, điều hành công ty.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5. Các báo cáo và tài liệu quy định tại khoản 4 Điều này phải có ở trụ sở chính của Công ty chậm nhất 15 ngày trước ngày khai mạc cuộc họp thường niên của Đại hội đồng cổ đông.</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Cổ đông sở hữu cổ phần của công ty liên tục ít nhất 01 năm có quyền tự mình hoặc cùng với luật sư hoặc kế toán và kiểm toán viên có chứng chỉ hành nghề trực tiếp xem xét các báo cáo quy định tại Điều này trong thời gian hợp lý.</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b/>
          <w:sz w:val="22"/>
          <w:szCs w:val="22"/>
        </w:rPr>
        <w:t>Điều 49. Lợi nhuận, phân phối lợi nhuận và trích lập quỹ.</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1. Theo các quy định về chế độ tài chính do Nhà nước ban hành với các công ty cổ phần, lợi nhuận của Công ty gồm:</w:t>
      </w:r>
    </w:p>
    <w:p w:rsidR="00ED1433" w:rsidRPr="00AB15D8" w:rsidRDefault="004F49CE"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firstLine="0"/>
        <w:jc w:val="both"/>
        <w:rPr>
          <w:sz w:val="22"/>
          <w:szCs w:val="22"/>
        </w:rPr>
      </w:pPr>
      <w:r w:rsidRPr="00AB15D8">
        <w:rPr>
          <w:sz w:val="22"/>
          <w:szCs w:val="22"/>
          <w:lang w:val="vi-VN"/>
        </w:rPr>
        <w:t xml:space="preserve">a) </w:t>
      </w:r>
      <w:r w:rsidR="00AA54E5" w:rsidRPr="00AB15D8">
        <w:rPr>
          <w:sz w:val="22"/>
          <w:szCs w:val="22"/>
        </w:rPr>
        <w:t xml:space="preserve">Lợi nhuận chung = Tổng thu nhập </w:t>
      </w:r>
      <w:r w:rsidRPr="00AB15D8">
        <w:rPr>
          <w:sz w:val="22"/>
          <w:szCs w:val="22"/>
          <w:lang w:val="vi-VN"/>
        </w:rPr>
        <w:t>-</w:t>
      </w:r>
      <w:r w:rsidR="00AA54E5" w:rsidRPr="00AB15D8">
        <w:rPr>
          <w:sz w:val="22"/>
          <w:szCs w:val="22"/>
        </w:rPr>
        <w:t xml:space="preserve"> Tổng chi phí;</w:t>
      </w:r>
    </w:p>
    <w:p w:rsidR="00ED1433" w:rsidRPr="00AB15D8" w:rsidRDefault="004F49CE"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firstLine="0"/>
        <w:jc w:val="both"/>
        <w:rPr>
          <w:sz w:val="22"/>
          <w:szCs w:val="22"/>
        </w:rPr>
      </w:pPr>
      <w:r w:rsidRPr="00AB15D8">
        <w:rPr>
          <w:sz w:val="22"/>
          <w:szCs w:val="22"/>
          <w:lang w:val="vi-VN"/>
        </w:rPr>
        <w:t xml:space="preserve">b) </w:t>
      </w:r>
      <w:r w:rsidR="00AA54E5" w:rsidRPr="00AB15D8">
        <w:rPr>
          <w:sz w:val="22"/>
          <w:szCs w:val="22"/>
        </w:rPr>
        <w:t xml:space="preserve">Lợi nhuận ròng = Lợi nhuận chung </w:t>
      </w:r>
      <w:r w:rsidRPr="00AB15D8">
        <w:rPr>
          <w:sz w:val="22"/>
          <w:szCs w:val="22"/>
          <w:lang w:val="vi-VN"/>
        </w:rPr>
        <w:t>-</w:t>
      </w:r>
      <w:r w:rsidR="00AA54E5" w:rsidRPr="00AB15D8">
        <w:rPr>
          <w:sz w:val="22"/>
          <w:szCs w:val="22"/>
        </w:rPr>
        <w:t xml:space="preserve"> Thuế;</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right="44" w:hanging="2"/>
        <w:jc w:val="both"/>
        <w:rPr>
          <w:sz w:val="22"/>
          <w:szCs w:val="22"/>
        </w:rPr>
      </w:pPr>
      <w:r w:rsidRPr="00AB15D8">
        <w:rPr>
          <w:sz w:val="22"/>
          <w:szCs w:val="22"/>
        </w:rPr>
        <w:t xml:space="preserve">2. Hết năm tài chính và khi kinh doanh có lãi, trước khi chia cổ tức cho các cổ đông Công ty phải trích lập từ lợi nhuận ròng để lập các quỹ theo quy định của pháp luật và Điều lệ Công ty như sau.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right="44" w:hanging="2"/>
        <w:jc w:val="both"/>
        <w:rPr>
          <w:sz w:val="22"/>
          <w:szCs w:val="22"/>
        </w:rPr>
      </w:pPr>
      <w:r w:rsidRPr="00AB15D8">
        <w:rPr>
          <w:sz w:val="22"/>
          <w:szCs w:val="22"/>
        </w:rPr>
        <w:t>a)  Quỹ dự trữ bắt buộc: Ít nhất bằng 5% lợi nhuận ròng để bổ sung vốn điều lệ và để dự trữ tài chính cho năm sau, được trích cho đến khi quỹ dự trữ bằng 10% vốn điều lệ của Công ty.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right="44" w:hanging="2"/>
        <w:jc w:val="both"/>
        <w:rPr>
          <w:sz w:val="22"/>
          <w:szCs w:val="22"/>
        </w:rPr>
      </w:pPr>
      <w:r w:rsidRPr="00AB15D8">
        <w:rPr>
          <w:sz w:val="22"/>
          <w:szCs w:val="22"/>
        </w:rPr>
        <w:t xml:space="preserve">b)  Quỹ đầu tư phát triển;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right="44" w:hanging="2"/>
        <w:jc w:val="both"/>
        <w:rPr>
          <w:sz w:val="22"/>
          <w:szCs w:val="22"/>
        </w:rPr>
      </w:pPr>
      <w:r w:rsidRPr="00AB15D8">
        <w:rPr>
          <w:sz w:val="22"/>
          <w:szCs w:val="22"/>
        </w:rPr>
        <w:t>c)  Quỹ khen thưởng;</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right="44" w:hanging="2"/>
        <w:jc w:val="both"/>
        <w:rPr>
          <w:sz w:val="22"/>
          <w:szCs w:val="22"/>
        </w:rPr>
      </w:pPr>
      <w:r w:rsidRPr="00AB15D8">
        <w:rPr>
          <w:sz w:val="22"/>
          <w:szCs w:val="22"/>
        </w:rPr>
        <w:t>d)  Quỹ phúc lợi;</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right="44" w:hanging="2"/>
        <w:jc w:val="both"/>
        <w:rPr>
          <w:sz w:val="22"/>
          <w:szCs w:val="22"/>
        </w:rPr>
      </w:pPr>
      <w:r w:rsidRPr="00AB15D8">
        <w:rPr>
          <w:sz w:val="22"/>
          <w:szCs w:val="22"/>
        </w:rPr>
        <w:t>c)  Các quỹ không hình thành từ lợi nhuận:</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right="44" w:hanging="2"/>
        <w:jc w:val="both"/>
        <w:rPr>
          <w:sz w:val="22"/>
          <w:szCs w:val="22"/>
        </w:rPr>
      </w:pPr>
      <w:r w:rsidRPr="00AB15D8">
        <w:rPr>
          <w:sz w:val="22"/>
          <w:szCs w:val="22"/>
        </w:rPr>
        <w:t>+ Quỹ bảo hành sản phẩm;</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right="44" w:hanging="2"/>
        <w:jc w:val="both"/>
        <w:rPr>
          <w:sz w:val="22"/>
          <w:szCs w:val="22"/>
        </w:rPr>
      </w:pPr>
      <w:r w:rsidRPr="00AB15D8">
        <w:rPr>
          <w:sz w:val="22"/>
          <w:szCs w:val="22"/>
        </w:rPr>
        <w:t>+ Quỹ khấu hao tài sản cố định;</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right="44" w:hanging="2"/>
        <w:jc w:val="both"/>
        <w:rPr>
          <w:sz w:val="22"/>
          <w:szCs w:val="22"/>
        </w:rPr>
      </w:pPr>
      <w:r w:rsidRPr="00AB15D8">
        <w:rPr>
          <w:sz w:val="22"/>
          <w:szCs w:val="22"/>
        </w:rPr>
        <w:t xml:space="preserve">+ Quỹ khấu hao sửa chữa lớn tài sản.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right="44" w:hanging="2"/>
        <w:jc w:val="both"/>
        <w:rPr>
          <w:sz w:val="22"/>
          <w:szCs w:val="22"/>
        </w:rPr>
      </w:pPr>
      <w:r w:rsidRPr="00AB15D8">
        <w:rPr>
          <w:sz w:val="22"/>
          <w:szCs w:val="22"/>
        </w:rPr>
        <w:t>3. Tỷ lệ (%) trích lập các quỹ nêu trên do Hội đồng quản trị Công ty đề nghị tùy theo kết quả hoạt động của từng năm, tuân thủ đúng các quy định của pháp luật và phải phải trình Đại hội đồng cổ đông quyết định.</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right="44" w:hanging="2"/>
        <w:jc w:val="both"/>
        <w:rPr>
          <w:sz w:val="22"/>
          <w:szCs w:val="22"/>
        </w:rPr>
      </w:pPr>
      <w:r w:rsidRPr="00AB15D8">
        <w:rPr>
          <w:sz w:val="22"/>
          <w:szCs w:val="22"/>
        </w:rPr>
        <w:t>4. Hội đồng quản trị có trách nhiệm xây dựng quy chế phân phối lợi nhuận và sử dụng các quỹ để trình Đại hội đồng cổ đông quyết định cho từng năm.</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b/>
          <w:sz w:val="22"/>
          <w:szCs w:val="22"/>
        </w:rPr>
        <w:t>Điều 50. Xử lý lỗ trong kinh doanh</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Trường hợp kinh doanh thua lỗ, Đại hội đồng cổ đông có thể quyết định giải quyết kịp thời các giải pháp:</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Trích từ quỹ dự trữ bù lỗ;</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Chuyển một phần lỗ sang năm sau, đồng thời Đại hội đồng cổ đông phải quyết định cho biện pháp để khắc phục.</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center"/>
        <w:rPr>
          <w:sz w:val="22"/>
          <w:szCs w:val="22"/>
        </w:rPr>
      </w:pPr>
      <w:r w:rsidRPr="00AB15D8">
        <w:rPr>
          <w:b/>
          <w:sz w:val="22"/>
          <w:szCs w:val="22"/>
        </w:rPr>
        <w:t>CHƯƠNG V</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center"/>
        <w:rPr>
          <w:sz w:val="22"/>
          <w:szCs w:val="22"/>
        </w:rPr>
      </w:pPr>
      <w:r w:rsidRPr="00AB15D8">
        <w:rPr>
          <w:b/>
          <w:sz w:val="22"/>
          <w:szCs w:val="22"/>
        </w:rPr>
        <w:t>GIẢI THỂ, PHÁ SẢN VÀ GIẢI QUYẾT TRANH CHẤP, THANH LÝ TÀI SẢN</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b/>
          <w:sz w:val="22"/>
          <w:szCs w:val="22"/>
        </w:rPr>
        <w:t>Điều 51. Các trường hợp và điều kiện giải thể Công ty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1. Công ty bị giải thể trong các trường hợp sau đây: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a) Theo nghị quyết của Đại hội đồng cổ đông;</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b) Công ty không còn đủ số lượng thành viên tối thiểu theo quy định của Luật doanh nghiệp trong thời hạn 06 tháng liên tục mà không làm thủ tục chuyển đổi loại hình doanh nghiệp;</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c) Bị thu hồi Giấy chứng nhận </w:t>
      </w:r>
      <w:r w:rsidRPr="00AB15D8">
        <w:rPr>
          <w:sz w:val="22"/>
          <w:szCs w:val="22"/>
          <w:highlight w:val="white"/>
        </w:rPr>
        <w:t>đăng ký</w:t>
      </w:r>
      <w:r w:rsidRPr="00AB15D8">
        <w:rPr>
          <w:sz w:val="22"/>
          <w:szCs w:val="22"/>
        </w:rPr>
        <w:t> doanh nghiệp.</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bookmarkStart w:id="27" w:name="_heading=h.ppyxy267ooqn" w:colFirst="0" w:colLast="0"/>
      <w:bookmarkEnd w:id="27"/>
      <w:r w:rsidRPr="00AB15D8">
        <w:rPr>
          <w:sz w:val="22"/>
          <w:szCs w:val="22"/>
        </w:rPr>
        <w:t xml:space="preserve">2. Công ty chỉ được giải thể khi bảo đảm thanh toán hết các khoản nợ và nghĩa vụ tài sản khác và Công ty không trong quá trình giải quyết tranh chấp tại Tòa án hoặc cơ quan trọng tài. Người quản lý có liên </w:t>
      </w:r>
      <w:r w:rsidRPr="00AB15D8">
        <w:rPr>
          <w:sz w:val="22"/>
          <w:szCs w:val="22"/>
        </w:rPr>
        <w:lastRenderedPageBreak/>
        <w:t>quan và Công ty quy định tại điểm c khoản 1 Điều này cùng liên đới chịu trách nhiệm về các khoản nợ của Công ty.</w:t>
      </w:r>
    </w:p>
    <w:p w:rsidR="00ED1433" w:rsidRPr="00AB15D8" w:rsidRDefault="00AA54E5" w:rsidP="00AB15D8">
      <w:pPr>
        <w:pStyle w:val="Heading3"/>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Điều 52. Trình tự, thủ tục giải thể Công ty và các hoạt động bị cấm kể từ khi có quyết định giải thể, thanh lý tài sản</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I. Việc giải thể doanh nghiệp trong trường hợp quy định tại các điểm a, b khoản 1 Điều 51 Điều lệ được thực hiện theo quy định sau đây: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1. Thông qua nghị quyết, quyết định giải thể doanh nghiệp. Nghị quyết, quyết định giải thể doanh nghiệp phải bao gồm các nội dung chủ yếu sau đây: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a) Tên, địa chỉ trụ sở chính của doanh nghiệp;</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b) Lý do giải thể;</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c) Thời hạn, thủ tục thanh lý hợp đồng và thanh toán các khoản nợ của doanh nghiệp;</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d) Phương án xử lý các nghĩa vụ phát sinh từ hợp đồng lao động;</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đ) Họ, tên, chữ ký của Chủ tịch Hội đồng quản trị;</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2. Hội đồng quản trị trực tiếp tổ chức thanh lý tài sản doanh nghiệp;</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3. Trong thời hạn 07 ngày làm việc kể từ ngày thông qua, nghị quyết, quyết định giải thể và biên bản họp phải được gửi đến Cơ quan đăng ký kinh doanh, cơ quan thuế, người lao động trong doanh nghiệp. Nghị quyết, quyết định giải thể phải được đăng trên Cổng thông tin quốc gia về đăng ký doanh nghiệp và được niêm yết công khai tại trụ sở chính, chi nhánh, văn phòng đại diện của doanh nghiệp.</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Trường hợp doanh nghiệp còn nghĩa vụ tài chính chưa thanh toán thì phải gửi kèm theo nghị quyết,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4. Cơ quan đăng ký kinh doanh phải thông báo tình trạng doanh nghiệp đang làm thủ tục giải thể trên Cổng thông tin quốc gia về đăng ký doanh nghiệp ngay sau khi nhận được nghị quyết, quyết định giải thể của doanh nghiệp. Kèm theo thông báo phải đăng tải nghị quyết, quyết định giải thể và phương án giải quyết nợ (nếu có);</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5. Các khoản nợ của doanh nghiệp được thanh toán theo thứ tự ưu tiên sau đây: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w:t>
      </w:r>
      <w:r w:rsidRPr="00AB15D8">
        <w:rPr>
          <w:sz w:val="22"/>
          <w:szCs w:val="22"/>
          <w:highlight w:val="white"/>
        </w:rPr>
        <w:t>kết</w:t>
      </w:r>
      <w:r w:rsidRPr="00AB15D8">
        <w:rPr>
          <w:sz w:val="22"/>
          <w:szCs w:val="22"/>
        </w:rPr>
        <w:t>;</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b) Nợ thuế;</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c) Các khoản nợ khác;</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6. Sau khi đã thanh toán chi phí giải thể doanh nghiệp và các khoản nợ, phần còn lại chia cho cổ đông công ty theo tỷ lệ sở hữu phần cổ phần;</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7. Người đại diện theo pháp luật của doanh nghiệp gửi hồ sơ giải thể doanh nghiệp cho Cơ quan đăng ký kinh doanh trong thời hạn 05 ngày làm việc kể từ ngày thanh toán hết các khoản nợ của doanh nghiệp;</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II. Việc giải thể doanh nghiệp trong trường hợp bị thu hồi Giấy chứng nhận đăng ký doanh nghiệp hoặc theo quyết định của Tòa án được thực hiện theo trình tự, thủ tục sau đây: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1. Trong thời hạn 10 ngày kể từ ngày nhận được quyết định thu hồi Giấy chứng nhận đăng ký doanh nghiệp hoặc quyết định của Tòa án có hiệu lực pháp luật, doanh nghiệp phải triệu tập họp để quyết định giải thể. Nghị quyết giải thể và bản sao quyết định thu hồi Giấy chứng nhận đăng ký doanh nghiệp hoặc quyết định của Tòa án có hiệu lực pháp luật phải được gửi đến Cơ quan đăng ký kinh doanh, cơ quan thuế, người lao động trong doanh nghiệp và phải được niêm yết công khai tại trụ sở chính, chi nhánh, văn phòng đại diện của doanh nghiệp. Đối với trường hợp pháp luật yêu cầu phải đăng báo thì nghị </w:t>
      </w:r>
      <w:r w:rsidRPr="00AB15D8">
        <w:rPr>
          <w:sz w:val="22"/>
          <w:szCs w:val="22"/>
        </w:rPr>
        <w:lastRenderedPageBreak/>
        <w:t>quyết, quyết định giải thể doanh nghiệp phải được đăng ít nhất trên 01 tờ báo in hoặc báo điện tử </w:t>
      </w:r>
      <w:r w:rsidRPr="00AB15D8">
        <w:rPr>
          <w:sz w:val="22"/>
          <w:szCs w:val="22"/>
          <w:highlight w:val="white"/>
        </w:rPr>
        <w:t>trong</w:t>
      </w:r>
      <w:r w:rsidRPr="00AB15D8">
        <w:rPr>
          <w:sz w:val="22"/>
          <w:szCs w:val="22"/>
        </w:rPr>
        <w:t> 03 số liên tiếp.</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Trường hợp doanh nghiệp còn nghĩa vụ tài chính chưa thanh toán thì phải đồng thời gửi kèm theo nghị quyết, quyết định giải thể của doanh nghiệp, phương án giải quyết nợ đến các chủ nợ, người có quyền lợi và nghĩa vụ có liên quan. Thông báo phải có tên, địa chỉ của chủ nợ; số nợ, thời hạn, địa điểm và phương thức thanh toán số nợ đó; cách thức và thời hạn giải quyết khiếu nại của chủ nợ;</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2. Các khoản nợ của doanh nghiệp được thanh toán theo thứ tự ưu tiên sau đây: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w:t>
      </w:r>
      <w:r w:rsidRPr="00AB15D8">
        <w:rPr>
          <w:sz w:val="22"/>
          <w:szCs w:val="22"/>
          <w:highlight w:val="white"/>
        </w:rPr>
        <w:t>kết</w:t>
      </w:r>
      <w:r w:rsidRPr="00AB15D8">
        <w:rPr>
          <w:sz w:val="22"/>
          <w:szCs w:val="22"/>
        </w:rPr>
        <w:t>;</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b) Nợ thuế;</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c) Các khoản nợ khác;</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3. Người đại diện theo pháp luật của doanh nghiệp gửi hồ sơ giải thể doanh nghiệp cho Cơ quan đăng ký kinh doanh </w:t>
      </w:r>
      <w:r w:rsidRPr="00AB15D8">
        <w:rPr>
          <w:sz w:val="22"/>
          <w:szCs w:val="22"/>
          <w:highlight w:val="white"/>
        </w:rPr>
        <w:t>trong thời hạn</w:t>
      </w:r>
      <w:r w:rsidRPr="00AB15D8">
        <w:rPr>
          <w:sz w:val="22"/>
          <w:szCs w:val="22"/>
        </w:rPr>
        <w:t> 05 ngày làm việc kể từ ngày thanh toán hết các khoản nợ của doanh nghiệp;</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b/>
          <w:sz w:val="22"/>
          <w:szCs w:val="22"/>
        </w:rPr>
        <w:t>Điều 53. Phá sản Công ty.</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Việc phá sản được thực hiện theo quy định của pháp luật về phá sản.</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b/>
          <w:sz w:val="22"/>
          <w:szCs w:val="22"/>
        </w:rPr>
        <w:t>Điều 54. Giải quyết tranh chấp nội bộ</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1. Tranh chấp về quyền lợi của người lao động với người sử dụng lao động được giải quyết theo các Quy chế quản lý nội bộ công ty, Thỏa ước lao động tập thể và Nội quy lao động của Công ty.</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Tùy từng nội dung tranh chấp, mà người có thẩm quyền giải quyết theo thứ tự: Trưởng các đơn vị trực thuộc, Giám đốc Công ty, Hội đồng quản trị.</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2. Tranh chấp nội bộ giữa Hội đồng quản trị do Đại hội đồng cổ đông giải quyết.</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3. Tranh chấp giữa các cổ đông trong Công ty; giữa cổ đông và Công ty; giữa cổ đông với Hội đồng quản trị, Giám đốc phải thông qua thương lượng hòa giải. </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4. Trường hợp Công ty không tự giải quyết được, tranh chấp nội bộ sẽ được giải quyết tại cơ quan có thẩm quyền theo quy định của pháp luật.</w:t>
      </w:r>
    </w:p>
    <w:p w:rsidR="004F49CE" w:rsidRPr="00AB15D8" w:rsidRDefault="004F49CE"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center"/>
        <w:rPr>
          <w:sz w:val="22"/>
          <w:szCs w:val="22"/>
        </w:rPr>
      </w:pPr>
      <w:r w:rsidRPr="00AB15D8">
        <w:rPr>
          <w:b/>
          <w:sz w:val="22"/>
          <w:szCs w:val="22"/>
        </w:rPr>
        <w:t>CHƯƠNG VI</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center"/>
        <w:rPr>
          <w:sz w:val="22"/>
          <w:szCs w:val="22"/>
        </w:rPr>
      </w:pPr>
      <w:r w:rsidRPr="00AB15D8">
        <w:rPr>
          <w:b/>
          <w:sz w:val="22"/>
          <w:szCs w:val="22"/>
        </w:rPr>
        <w:t>CÁC QUY ĐỊNH KHÁC</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b/>
          <w:sz w:val="22"/>
          <w:szCs w:val="22"/>
        </w:rPr>
        <w:t>Điều 55. Tuyển dụng lao động</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 xml:space="preserve">1. Hội đồng quản trị Công ty ấn định mức lương tối đa, tổng số nhân viên và quỹ lương của Công ty. Giám đốc Công ty có quyền tuyển dụng lao động hoặc chấm dứt hợp đồng lao động theo yêu cầu sản xuất, kinh doanh của Công ty trên cơ sở định mức đó. </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2. Giám đốc Công ty có trách nhiệm tuân thủ các quy định của pháp luật về lao động và quy chế tuyển dụng, sử dụng lao động của Công ty. Giám đốc có quyền đề ra nội quy lao động và thông qua ý kiến của Hội đồng quản trị Công ty trước khi ban hành.</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b/>
          <w:sz w:val="22"/>
          <w:szCs w:val="22"/>
        </w:rPr>
        <w:t>Điều 56. Dấu của Công ty</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1. Dấu bao gồm dấu được làm tại cơ sở khắc dấu hoặc dấu dưới hình thức chữ ký số theo quy định của pháp luật về giao dịch điện tử.</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2. Doanh nghiệp có quyền quyết định loại dấu, số lượng, hình thức và nội dung dấu của doanh nghiệp, chi nhánh, văn phòng đại diện và đơn vị khác của doanh nghiệp.</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3. Người đại diện theo pháp luật của Công ty chịu trách nhiệm quản lý và lưu giữ dấu theo quy chế của Công ty.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lastRenderedPageBreak/>
        <w:t>4. Dấu được sử dụng trong các trường hợp theo quy định của pháp luật hoặc các bên giao dịch có thỏa thuận về việc sử dụng dấu.</w:t>
      </w:r>
    </w:p>
    <w:p w:rsidR="00ED1433" w:rsidRPr="00AB15D8" w:rsidRDefault="00AA54E5" w:rsidP="00AB15D8">
      <w:pPr>
        <w:pBdr>
          <w:top w:val="nil"/>
          <w:left w:val="nil"/>
          <w:bottom w:val="nil"/>
          <w:right w:val="nil"/>
          <w:between w:val="nil"/>
        </w:pBdr>
        <w:shd w:val="clear" w:color="auto" w:fill="FFFFFF"/>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b/>
          <w:sz w:val="22"/>
          <w:szCs w:val="22"/>
        </w:rPr>
        <w:t>Điều 57. Thể thức sửa đổi, bổ sung Điều lệ Công ty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right="43" w:hanging="2"/>
        <w:jc w:val="both"/>
        <w:rPr>
          <w:sz w:val="22"/>
          <w:szCs w:val="22"/>
        </w:rPr>
      </w:pPr>
      <w:r w:rsidRPr="00AB15D8">
        <w:rPr>
          <w:sz w:val="22"/>
          <w:szCs w:val="22"/>
        </w:rPr>
        <w:t>1. Việc sửa đổi, bổ sung Điều lệ do Đại hội đồng cổ đông quyết định. Khi muốn bổ sung, sửa đổi Điều lệ này, Hội đồng quản trị sẽ đề nghị những mục hay vấn đề cần thay đổi hoặc cần bổ sung và trình Đại hội đồng cổ đông thông qua.</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2. Trong trường hợp có những quy định của pháp luật liên quan đến hoạt động của Công ty chưa được đề cập trong bản Điều lệ này hoặc trong trường hợp có những quy định mới của pháp luật khác với những điều khoản trong Điều lệ này, thì những quy định của pháp luật đó đương nhiên được áp dụng và điều chỉnh hoạt động của Công ty.</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right="44" w:hanging="2"/>
        <w:jc w:val="both"/>
        <w:rPr>
          <w:sz w:val="22"/>
          <w:szCs w:val="22"/>
        </w:rPr>
      </w:pPr>
      <w:r w:rsidRPr="00AB15D8">
        <w:rPr>
          <w:sz w:val="22"/>
          <w:szCs w:val="22"/>
        </w:rPr>
        <w:t xml:space="preserve">3. Điều lệ được sửa đổi, bổ sung phải có họ tên và chữ ký của các cổ đông công ty và Người đại diện theo pháp luật </w:t>
      </w:r>
    </w:p>
    <w:p w:rsidR="00ED1433" w:rsidRPr="00AB15D8" w:rsidRDefault="00AA54E5" w:rsidP="00AB15D8">
      <w:pPr>
        <w:tabs>
          <w:tab w:val="left" w:pos="389"/>
          <w:tab w:val="left" w:pos="432"/>
          <w:tab w:val="left" w:pos="475"/>
          <w:tab w:val="left" w:pos="504"/>
          <w:tab w:val="left" w:pos="576"/>
          <w:tab w:val="left" w:pos="720"/>
          <w:tab w:val="left" w:pos="1440"/>
        </w:tabs>
        <w:spacing w:line="312" w:lineRule="auto"/>
        <w:ind w:right="43" w:hanging="2"/>
        <w:jc w:val="both"/>
        <w:rPr>
          <w:sz w:val="22"/>
          <w:szCs w:val="22"/>
        </w:rPr>
      </w:pPr>
      <w:r w:rsidRPr="00AB15D8">
        <w:rPr>
          <w:b/>
          <w:sz w:val="22"/>
          <w:szCs w:val="22"/>
        </w:rPr>
        <w:t>Điều 58. Điều khoản cuối cùng</w:t>
      </w:r>
    </w:p>
    <w:p w:rsidR="00ED1433" w:rsidRPr="00AB15D8" w:rsidRDefault="00AA54E5"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r w:rsidRPr="00AB15D8">
        <w:rPr>
          <w:sz w:val="22"/>
          <w:szCs w:val="22"/>
        </w:rPr>
        <w:t>Bản điều lệ này gồm 6 chương 58 điều được các cổ đông sáng lập thông qua ngày ... tháng ... năm …… có hiệu lực kể từ ngày Công ty được cấp Giấy chứng nhận Đăng ký doanh nghiệp.</w:t>
      </w:r>
    </w:p>
    <w:p w:rsidR="004F49CE" w:rsidRPr="00AB15D8" w:rsidRDefault="004F49CE" w:rsidP="00AB15D8">
      <w:pPr>
        <w:pBdr>
          <w:top w:val="nil"/>
          <w:left w:val="nil"/>
          <w:bottom w:val="nil"/>
          <w:right w:val="nil"/>
          <w:between w:val="nil"/>
        </w:pBdr>
        <w:tabs>
          <w:tab w:val="left" w:pos="389"/>
          <w:tab w:val="left" w:pos="432"/>
          <w:tab w:val="left" w:pos="475"/>
          <w:tab w:val="left" w:pos="504"/>
          <w:tab w:val="left" w:pos="576"/>
          <w:tab w:val="left" w:pos="720"/>
          <w:tab w:val="left" w:pos="1440"/>
        </w:tabs>
        <w:spacing w:line="312" w:lineRule="auto"/>
        <w:ind w:hanging="2"/>
        <w:jc w:val="both"/>
        <w:rPr>
          <w:sz w:val="22"/>
          <w:szCs w:val="22"/>
        </w:rPr>
      </w:pPr>
    </w:p>
    <w:p w:rsidR="00ED1433" w:rsidRPr="00AB15D8" w:rsidRDefault="00AA54E5" w:rsidP="00AB15D8">
      <w:pPr>
        <w:spacing w:line="312" w:lineRule="auto"/>
        <w:jc w:val="center"/>
        <w:rPr>
          <w:b/>
          <w:sz w:val="22"/>
          <w:szCs w:val="22"/>
        </w:rPr>
      </w:pPr>
      <w:r w:rsidRPr="00AB15D8">
        <w:rPr>
          <w:b/>
          <w:sz w:val="22"/>
          <w:szCs w:val="22"/>
        </w:rPr>
        <w:t>CHỮ KÝ CỦA CỔ ĐÔNG SÁNG LẬP</w:t>
      </w:r>
    </w:p>
    <w:p w:rsidR="00ED1433" w:rsidRPr="00AB15D8" w:rsidRDefault="00ED1433" w:rsidP="00AB15D8">
      <w:pPr>
        <w:widowControl w:val="0"/>
        <w:spacing w:line="312" w:lineRule="auto"/>
        <w:jc w:val="center"/>
        <w:rPr>
          <w:b/>
          <w:sz w:val="22"/>
          <w:szCs w:val="22"/>
        </w:rPr>
      </w:pPr>
    </w:p>
    <w:p w:rsidR="00ED1433" w:rsidRPr="00AB15D8" w:rsidRDefault="00ED1433" w:rsidP="00AB15D8">
      <w:pPr>
        <w:widowControl w:val="0"/>
        <w:spacing w:line="312" w:lineRule="auto"/>
        <w:jc w:val="center"/>
        <w:rPr>
          <w:b/>
          <w:sz w:val="22"/>
          <w:szCs w:val="22"/>
        </w:rPr>
      </w:pPr>
    </w:p>
    <w:p w:rsidR="00ED1433" w:rsidRPr="00AB15D8" w:rsidRDefault="00ED1433" w:rsidP="00AB15D8">
      <w:pPr>
        <w:widowControl w:val="0"/>
        <w:spacing w:line="312" w:lineRule="auto"/>
        <w:jc w:val="center"/>
        <w:rPr>
          <w:b/>
          <w:sz w:val="22"/>
          <w:szCs w:val="22"/>
        </w:rPr>
      </w:pPr>
    </w:p>
    <w:p w:rsidR="00ED1433" w:rsidRPr="00AB15D8" w:rsidRDefault="00ED1433" w:rsidP="00AB15D8">
      <w:pPr>
        <w:widowControl w:val="0"/>
        <w:spacing w:line="312" w:lineRule="auto"/>
        <w:ind w:firstLine="0"/>
        <w:rPr>
          <w:b/>
          <w:sz w:val="22"/>
          <w:szCs w:val="22"/>
        </w:rPr>
      </w:pPr>
    </w:p>
    <w:tbl>
      <w:tblPr>
        <w:tblStyle w:val="ae"/>
        <w:tblW w:w="8810" w:type="dxa"/>
        <w:tblLayout w:type="fixed"/>
        <w:tblLook w:val="0400" w:firstRow="0" w:lastRow="0" w:firstColumn="0" w:lastColumn="0" w:noHBand="0" w:noVBand="1"/>
      </w:tblPr>
      <w:tblGrid>
        <w:gridCol w:w="4405"/>
        <w:gridCol w:w="4405"/>
      </w:tblGrid>
      <w:tr w:rsidR="00ED1433" w:rsidRPr="00AB15D8" w:rsidTr="00AB15D8">
        <w:trPr>
          <w:trHeight w:val="1539"/>
        </w:trPr>
        <w:tc>
          <w:tcPr>
            <w:tcW w:w="4405" w:type="dxa"/>
          </w:tcPr>
          <w:p w:rsidR="00ED1433" w:rsidRPr="00AB15D8" w:rsidRDefault="00AA54E5" w:rsidP="00AB15D8">
            <w:pPr>
              <w:widowControl w:val="0"/>
              <w:spacing w:line="312" w:lineRule="auto"/>
              <w:ind w:hanging="2"/>
              <w:jc w:val="center"/>
              <w:rPr>
                <w:b/>
                <w:sz w:val="22"/>
                <w:szCs w:val="22"/>
              </w:rPr>
            </w:pPr>
            <w:r w:rsidRPr="00AB15D8">
              <w:rPr>
                <w:b/>
                <w:sz w:val="22"/>
                <w:szCs w:val="22"/>
              </w:rPr>
              <w:t>ĐINH VĂN THẮNG</w:t>
            </w:r>
          </w:p>
          <w:p w:rsidR="004F49CE" w:rsidRPr="00AB15D8" w:rsidRDefault="004F49CE" w:rsidP="00AB15D8">
            <w:pPr>
              <w:widowControl w:val="0"/>
              <w:spacing w:line="312" w:lineRule="auto"/>
              <w:ind w:hanging="2"/>
              <w:jc w:val="center"/>
              <w:rPr>
                <w:b/>
                <w:sz w:val="22"/>
                <w:szCs w:val="22"/>
              </w:rPr>
            </w:pPr>
          </w:p>
          <w:p w:rsidR="004F49CE" w:rsidRPr="00AB15D8" w:rsidRDefault="004F49CE" w:rsidP="00AB15D8">
            <w:pPr>
              <w:widowControl w:val="0"/>
              <w:spacing w:line="312" w:lineRule="auto"/>
              <w:ind w:hanging="2"/>
              <w:jc w:val="center"/>
              <w:rPr>
                <w:b/>
                <w:sz w:val="22"/>
                <w:szCs w:val="22"/>
              </w:rPr>
            </w:pPr>
          </w:p>
          <w:p w:rsidR="004F49CE" w:rsidRPr="00AB15D8" w:rsidRDefault="004F49CE" w:rsidP="00AB15D8">
            <w:pPr>
              <w:widowControl w:val="0"/>
              <w:spacing w:line="312" w:lineRule="auto"/>
              <w:ind w:firstLine="0"/>
              <w:rPr>
                <w:b/>
                <w:sz w:val="22"/>
                <w:szCs w:val="22"/>
              </w:rPr>
            </w:pPr>
          </w:p>
          <w:p w:rsidR="004F49CE" w:rsidRPr="00AB15D8" w:rsidRDefault="004F49CE" w:rsidP="00AB15D8">
            <w:pPr>
              <w:widowControl w:val="0"/>
              <w:spacing w:line="312" w:lineRule="auto"/>
              <w:ind w:hanging="2"/>
              <w:jc w:val="center"/>
              <w:rPr>
                <w:b/>
                <w:sz w:val="22"/>
                <w:szCs w:val="22"/>
              </w:rPr>
            </w:pPr>
          </w:p>
        </w:tc>
        <w:tc>
          <w:tcPr>
            <w:tcW w:w="4405" w:type="dxa"/>
          </w:tcPr>
          <w:p w:rsidR="00ED1433" w:rsidRPr="00AB15D8" w:rsidRDefault="00AA54E5" w:rsidP="00AB15D8">
            <w:pPr>
              <w:widowControl w:val="0"/>
              <w:spacing w:line="312" w:lineRule="auto"/>
              <w:ind w:hanging="2"/>
              <w:jc w:val="center"/>
              <w:rPr>
                <w:b/>
                <w:sz w:val="22"/>
                <w:szCs w:val="22"/>
              </w:rPr>
            </w:pPr>
            <w:r w:rsidRPr="00AB15D8">
              <w:rPr>
                <w:b/>
                <w:sz w:val="22"/>
                <w:szCs w:val="22"/>
              </w:rPr>
              <w:t>ĐINH VĂN BẰNG</w:t>
            </w:r>
          </w:p>
          <w:p w:rsidR="00ED1433" w:rsidRPr="00AB15D8" w:rsidRDefault="00ED1433" w:rsidP="00AB15D8">
            <w:pPr>
              <w:widowControl w:val="0"/>
              <w:spacing w:line="312" w:lineRule="auto"/>
              <w:ind w:hanging="2"/>
              <w:jc w:val="center"/>
              <w:rPr>
                <w:b/>
                <w:sz w:val="22"/>
                <w:szCs w:val="22"/>
              </w:rPr>
            </w:pPr>
          </w:p>
          <w:p w:rsidR="00ED1433" w:rsidRPr="00AB15D8" w:rsidRDefault="00ED1433" w:rsidP="00AB15D8">
            <w:pPr>
              <w:widowControl w:val="0"/>
              <w:spacing w:line="312" w:lineRule="auto"/>
              <w:ind w:hanging="2"/>
              <w:jc w:val="center"/>
              <w:rPr>
                <w:b/>
                <w:sz w:val="22"/>
                <w:szCs w:val="22"/>
              </w:rPr>
            </w:pPr>
          </w:p>
          <w:p w:rsidR="00ED1433" w:rsidRPr="00AB15D8" w:rsidRDefault="00ED1433" w:rsidP="00AB15D8">
            <w:pPr>
              <w:widowControl w:val="0"/>
              <w:spacing w:line="312" w:lineRule="auto"/>
              <w:ind w:hanging="2"/>
              <w:jc w:val="center"/>
              <w:rPr>
                <w:b/>
                <w:sz w:val="22"/>
                <w:szCs w:val="22"/>
              </w:rPr>
            </w:pPr>
          </w:p>
        </w:tc>
      </w:tr>
      <w:tr w:rsidR="00ED1433" w:rsidRPr="00AB15D8" w:rsidTr="00AB15D8">
        <w:trPr>
          <w:trHeight w:val="54"/>
        </w:trPr>
        <w:tc>
          <w:tcPr>
            <w:tcW w:w="4405" w:type="dxa"/>
          </w:tcPr>
          <w:p w:rsidR="004F49CE" w:rsidRPr="00AB15D8" w:rsidRDefault="00AA54E5" w:rsidP="00AB15D8">
            <w:pPr>
              <w:widowControl w:val="0"/>
              <w:spacing w:line="312" w:lineRule="auto"/>
              <w:ind w:hanging="2"/>
              <w:jc w:val="center"/>
              <w:rPr>
                <w:b/>
                <w:sz w:val="22"/>
                <w:szCs w:val="22"/>
              </w:rPr>
            </w:pPr>
            <w:bookmarkStart w:id="28" w:name="_heading=h.lt02nw322q7c" w:colFirst="0" w:colLast="0"/>
            <w:bookmarkEnd w:id="28"/>
            <w:r w:rsidRPr="00AB15D8">
              <w:rPr>
                <w:b/>
                <w:sz w:val="22"/>
                <w:szCs w:val="22"/>
              </w:rPr>
              <w:t>ĐINH VĂN CHIẾN</w:t>
            </w:r>
          </w:p>
        </w:tc>
        <w:tc>
          <w:tcPr>
            <w:tcW w:w="4405" w:type="dxa"/>
          </w:tcPr>
          <w:p w:rsidR="00ED1433" w:rsidRPr="00AB15D8" w:rsidRDefault="00AA54E5" w:rsidP="00AB15D8">
            <w:pPr>
              <w:widowControl w:val="0"/>
              <w:spacing w:line="312" w:lineRule="auto"/>
              <w:ind w:hanging="2"/>
              <w:jc w:val="center"/>
              <w:rPr>
                <w:b/>
                <w:sz w:val="22"/>
                <w:szCs w:val="22"/>
              </w:rPr>
            </w:pPr>
            <w:r w:rsidRPr="00AB15D8">
              <w:rPr>
                <w:b/>
                <w:sz w:val="22"/>
                <w:szCs w:val="22"/>
              </w:rPr>
              <w:t>ĐINH VĂN HỮU</w:t>
            </w:r>
          </w:p>
        </w:tc>
      </w:tr>
    </w:tbl>
    <w:p w:rsidR="00AB15D8" w:rsidRDefault="00AB15D8" w:rsidP="00AB15D8">
      <w:pPr>
        <w:widowControl w:val="0"/>
        <w:spacing w:line="312" w:lineRule="auto"/>
        <w:jc w:val="center"/>
        <w:rPr>
          <w:b/>
          <w:sz w:val="22"/>
          <w:szCs w:val="22"/>
        </w:rPr>
      </w:pPr>
    </w:p>
    <w:p w:rsidR="00ED1433" w:rsidRPr="00AB15D8" w:rsidRDefault="00AA54E5" w:rsidP="00AB15D8">
      <w:pPr>
        <w:widowControl w:val="0"/>
        <w:spacing w:line="312" w:lineRule="auto"/>
        <w:jc w:val="center"/>
        <w:rPr>
          <w:b/>
          <w:sz w:val="22"/>
          <w:szCs w:val="22"/>
        </w:rPr>
      </w:pPr>
      <w:r w:rsidRPr="00AB15D8">
        <w:rPr>
          <w:b/>
          <w:sz w:val="22"/>
          <w:szCs w:val="22"/>
        </w:rPr>
        <w:t>NGƯỜI ĐẠI DIỆN THEO PHÁP LUẬT CỦA CÔNG TY</w:t>
      </w:r>
    </w:p>
    <w:p w:rsidR="00ED1433" w:rsidRPr="00AB15D8" w:rsidRDefault="00ED1433" w:rsidP="00AB15D8">
      <w:pPr>
        <w:widowControl w:val="0"/>
        <w:spacing w:line="312" w:lineRule="auto"/>
        <w:jc w:val="center"/>
        <w:rPr>
          <w:b/>
          <w:sz w:val="22"/>
          <w:szCs w:val="22"/>
        </w:rPr>
      </w:pPr>
    </w:p>
    <w:p w:rsidR="00ED1433" w:rsidRPr="00AB15D8" w:rsidRDefault="00ED1433" w:rsidP="00AB15D8">
      <w:pPr>
        <w:widowControl w:val="0"/>
        <w:spacing w:line="312" w:lineRule="auto"/>
        <w:ind w:firstLine="0"/>
        <w:rPr>
          <w:b/>
          <w:sz w:val="22"/>
          <w:szCs w:val="22"/>
        </w:rPr>
      </w:pPr>
    </w:p>
    <w:p w:rsidR="00AB15D8" w:rsidRPr="00AB15D8" w:rsidRDefault="00AB15D8" w:rsidP="00AB15D8">
      <w:pPr>
        <w:widowControl w:val="0"/>
        <w:spacing w:line="312" w:lineRule="auto"/>
        <w:ind w:firstLine="0"/>
        <w:rPr>
          <w:b/>
          <w:sz w:val="22"/>
          <w:szCs w:val="22"/>
        </w:rPr>
      </w:pPr>
    </w:p>
    <w:p w:rsidR="00ED1433" w:rsidRPr="00AB15D8" w:rsidRDefault="00ED1433" w:rsidP="00AB15D8">
      <w:pPr>
        <w:widowControl w:val="0"/>
        <w:spacing w:line="312" w:lineRule="auto"/>
        <w:ind w:left="2160" w:firstLine="720"/>
        <w:jc w:val="center"/>
        <w:rPr>
          <w:b/>
          <w:sz w:val="22"/>
          <w:szCs w:val="22"/>
        </w:rPr>
      </w:pPr>
    </w:p>
    <w:p w:rsidR="00ED1433" w:rsidRPr="00AB15D8" w:rsidRDefault="00AA54E5" w:rsidP="00AB15D8">
      <w:pPr>
        <w:widowControl w:val="0"/>
        <w:tabs>
          <w:tab w:val="center" w:pos="2070"/>
          <w:tab w:val="center" w:pos="8010"/>
          <w:tab w:val="center" w:pos="9360"/>
        </w:tabs>
        <w:spacing w:line="312" w:lineRule="auto"/>
        <w:jc w:val="center"/>
        <w:rPr>
          <w:b/>
          <w:sz w:val="22"/>
          <w:szCs w:val="22"/>
        </w:rPr>
      </w:pPr>
      <w:bookmarkStart w:id="29" w:name="_heading=h.px3lkndgtck3" w:colFirst="0" w:colLast="0"/>
      <w:bookmarkEnd w:id="29"/>
      <w:r w:rsidRPr="00AB15D8">
        <w:rPr>
          <w:b/>
          <w:sz w:val="22"/>
          <w:szCs w:val="22"/>
        </w:rPr>
        <w:t>ĐINH VĂN THẮNG</w:t>
      </w:r>
    </w:p>
    <w:p w:rsidR="00ED1433" w:rsidRPr="00AB15D8" w:rsidRDefault="00ED1433" w:rsidP="00AB15D8">
      <w:pPr>
        <w:tabs>
          <w:tab w:val="left" w:pos="389"/>
          <w:tab w:val="left" w:pos="432"/>
          <w:tab w:val="left" w:pos="475"/>
          <w:tab w:val="left" w:pos="504"/>
          <w:tab w:val="left" w:pos="576"/>
          <w:tab w:val="left" w:pos="720"/>
          <w:tab w:val="left" w:pos="1440"/>
        </w:tabs>
        <w:spacing w:line="312" w:lineRule="auto"/>
        <w:ind w:hanging="2"/>
        <w:jc w:val="center"/>
        <w:rPr>
          <w:sz w:val="22"/>
          <w:szCs w:val="22"/>
        </w:rPr>
      </w:pPr>
    </w:p>
    <w:p w:rsidR="00ED1433" w:rsidRPr="00AB15D8" w:rsidRDefault="00ED1433"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p>
    <w:p w:rsidR="00ED1433" w:rsidRPr="00AB15D8" w:rsidRDefault="00ED1433" w:rsidP="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p>
    <w:p w:rsidR="00AB15D8" w:rsidRPr="00AB15D8" w:rsidRDefault="00AB15D8">
      <w:pPr>
        <w:tabs>
          <w:tab w:val="left" w:pos="389"/>
          <w:tab w:val="left" w:pos="432"/>
          <w:tab w:val="left" w:pos="475"/>
          <w:tab w:val="left" w:pos="504"/>
          <w:tab w:val="left" w:pos="576"/>
          <w:tab w:val="left" w:pos="720"/>
          <w:tab w:val="left" w:pos="1440"/>
        </w:tabs>
        <w:spacing w:line="312" w:lineRule="auto"/>
        <w:ind w:hanging="2"/>
        <w:jc w:val="both"/>
        <w:rPr>
          <w:sz w:val="22"/>
          <w:szCs w:val="22"/>
        </w:rPr>
      </w:pPr>
    </w:p>
    <w:sectPr w:rsidR="00AB15D8" w:rsidRPr="00AB15D8" w:rsidSect="004F49CE">
      <w:headerReference w:type="even" r:id="rId9"/>
      <w:headerReference w:type="default" r:id="rId10"/>
      <w:footerReference w:type="even" r:id="rId11"/>
      <w:footerReference w:type="default" r:id="rId12"/>
      <w:headerReference w:type="first" r:id="rId13"/>
      <w:footerReference w:type="first" r:id="rId14"/>
      <w:pgSz w:w="11907" w:h="16840"/>
      <w:pgMar w:top="851" w:right="1418" w:bottom="851" w:left="1418" w:header="720" w:footer="0"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4429A" w:rsidRDefault="00E4429A">
      <w:r>
        <w:separator/>
      </w:r>
    </w:p>
  </w:endnote>
  <w:endnote w:type="continuationSeparator" w:id="0">
    <w:p w:rsidR="00E4429A" w:rsidRDefault="00E442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72A2" w:rsidRDefault="008E72A2">
    <w:pPr>
      <w:pBdr>
        <w:top w:val="nil"/>
        <w:left w:val="nil"/>
        <w:bottom w:val="nil"/>
        <w:right w:val="nil"/>
        <w:between w:val="nil"/>
      </w:pBdr>
      <w:tabs>
        <w:tab w:val="center" w:pos="4320"/>
        <w:tab w:val="right" w:pos="8640"/>
      </w:tabs>
      <w:ind w:left="1" w:hanging="3"/>
      <w:jc w:val="center"/>
      <w:rPr>
        <w:color w:val="000000"/>
        <w:sz w:val="27"/>
        <w:szCs w:val="27"/>
      </w:rPr>
    </w:pPr>
    <w:r>
      <w:rPr>
        <w:color w:val="000000"/>
        <w:sz w:val="27"/>
        <w:szCs w:val="27"/>
      </w:rPr>
      <w:fldChar w:fldCharType="begin"/>
    </w:r>
    <w:r>
      <w:rPr>
        <w:color w:val="000000"/>
        <w:sz w:val="27"/>
        <w:szCs w:val="27"/>
      </w:rPr>
      <w:instrText>PAGE</w:instrText>
    </w:r>
    <w:r>
      <w:rPr>
        <w:color w:val="000000"/>
        <w:sz w:val="27"/>
        <w:szCs w:val="27"/>
      </w:rPr>
      <w:fldChar w:fldCharType="end"/>
    </w:r>
  </w:p>
  <w:p w:rsidR="008E72A2" w:rsidRDefault="008E72A2">
    <w:pPr>
      <w:pBdr>
        <w:top w:val="nil"/>
        <w:left w:val="nil"/>
        <w:bottom w:val="nil"/>
        <w:right w:val="nil"/>
        <w:between w:val="nil"/>
      </w:pBdr>
      <w:tabs>
        <w:tab w:val="center" w:pos="4320"/>
        <w:tab w:val="right" w:pos="8640"/>
      </w:tabs>
      <w:ind w:left="1" w:hanging="3"/>
      <w:rPr>
        <w:color w:val="000000"/>
        <w:sz w:val="27"/>
        <w:szCs w:val="27"/>
      </w:rPr>
    </w:pPr>
  </w:p>
  <w:p w:rsidR="008E72A2" w:rsidRDefault="008E72A2">
    <w:pPr>
      <w:ind w:hanging="2"/>
      <w:rPr>
        <w:sz w:val="23"/>
        <w:szCs w:val="23"/>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72A2" w:rsidRDefault="008E72A2">
    <w:pPr>
      <w:pBdr>
        <w:top w:val="nil"/>
        <w:left w:val="nil"/>
        <w:bottom w:val="nil"/>
        <w:right w:val="nil"/>
        <w:between w:val="nil"/>
      </w:pBdr>
      <w:tabs>
        <w:tab w:val="center" w:pos="4320"/>
        <w:tab w:val="right" w:pos="8640"/>
      </w:tabs>
      <w:ind w:left="1" w:hanging="3"/>
      <w:jc w:val="center"/>
      <w:rPr>
        <w:color w:val="000000"/>
        <w:sz w:val="27"/>
        <w:szCs w:val="27"/>
      </w:rPr>
    </w:pPr>
  </w:p>
  <w:p w:rsidR="008E72A2" w:rsidRDefault="008E72A2">
    <w:pPr>
      <w:pBdr>
        <w:top w:val="nil"/>
        <w:left w:val="nil"/>
        <w:bottom w:val="nil"/>
        <w:right w:val="nil"/>
        <w:between w:val="nil"/>
      </w:pBdr>
      <w:tabs>
        <w:tab w:val="center" w:pos="4320"/>
        <w:tab w:val="right" w:pos="8640"/>
      </w:tabs>
      <w:ind w:left="1" w:hanging="3"/>
      <w:rPr>
        <w:color w:val="000000"/>
        <w:sz w:val="27"/>
        <w:szCs w:val="27"/>
      </w:rPr>
    </w:pPr>
  </w:p>
  <w:p w:rsidR="008E72A2" w:rsidRDefault="008E72A2">
    <w:pPr>
      <w:ind w:hanging="2"/>
      <w:rPr>
        <w:sz w:val="23"/>
        <w:szCs w:val="23"/>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72A2" w:rsidRDefault="008E72A2">
    <w:pPr>
      <w:pBdr>
        <w:top w:val="nil"/>
        <w:left w:val="nil"/>
        <w:bottom w:val="nil"/>
        <w:right w:val="nil"/>
        <w:between w:val="nil"/>
      </w:pBdr>
      <w:tabs>
        <w:tab w:val="center" w:pos="4320"/>
        <w:tab w:val="right" w:pos="8640"/>
      </w:tabs>
      <w:ind w:left="1" w:hanging="3"/>
      <w:rPr>
        <w:color w:val="000000"/>
        <w:sz w:val="28"/>
        <w:szCs w:val="2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4429A" w:rsidRDefault="00E4429A">
      <w:r>
        <w:separator/>
      </w:r>
    </w:p>
  </w:footnote>
  <w:footnote w:type="continuationSeparator" w:id="0">
    <w:p w:rsidR="00E4429A" w:rsidRDefault="00E4429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72A2" w:rsidRDefault="008E72A2">
    <w:pPr>
      <w:pBdr>
        <w:top w:val="nil"/>
        <w:left w:val="nil"/>
        <w:bottom w:val="nil"/>
        <w:right w:val="nil"/>
        <w:between w:val="nil"/>
      </w:pBdr>
      <w:tabs>
        <w:tab w:val="center" w:pos="4320"/>
        <w:tab w:val="right" w:pos="8640"/>
      </w:tabs>
      <w:ind w:left="1" w:hanging="3"/>
      <w:rPr>
        <w:color w:val="000000"/>
        <w:sz w:val="28"/>
        <w:szCs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72A2" w:rsidRDefault="008E72A2">
    <w:pPr>
      <w:pBdr>
        <w:top w:val="nil"/>
        <w:left w:val="nil"/>
        <w:bottom w:val="nil"/>
        <w:right w:val="nil"/>
        <w:between w:val="nil"/>
      </w:pBdr>
      <w:tabs>
        <w:tab w:val="center" w:pos="4320"/>
        <w:tab w:val="right" w:pos="8640"/>
      </w:tabs>
      <w:ind w:left="1" w:hanging="3"/>
      <w:rPr>
        <w:color w:val="000000"/>
        <w:sz w:val="27"/>
        <w:szCs w:val="27"/>
      </w:rPr>
    </w:pPr>
  </w:p>
  <w:p w:rsidR="008E72A2" w:rsidRDefault="008E72A2">
    <w:pPr>
      <w:ind w:hanging="2"/>
      <w:rPr>
        <w:sz w:val="23"/>
        <w:szCs w:val="23"/>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72A2" w:rsidRDefault="008E72A2">
    <w:pPr>
      <w:pBdr>
        <w:top w:val="nil"/>
        <w:left w:val="nil"/>
        <w:bottom w:val="nil"/>
        <w:right w:val="nil"/>
        <w:between w:val="nil"/>
      </w:pBdr>
      <w:tabs>
        <w:tab w:val="center" w:pos="4320"/>
        <w:tab w:val="right" w:pos="8640"/>
      </w:tabs>
      <w:ind w:left="1" w:hanging="3"/>
      <w:rPr>
        <w:color w:val="000000"/>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F7749F"/>
    <w:multiLevelType w:val="multilevel"/>
    <w:tmpl w:val="AA6A4FF6"/>
    <w:lvl w:ilvl="0">
      <w:start w:val="1"/>
      <w:numFmt w:val="decimal"/>
      <w:lvlText w:val="%1."/>
      <w:lvlJc w:val="left"/>
      <w:pPr>
        <w:ind w:left="735" w:hanging="360"/>
      </w:pPr>
      <w:rPr>
        <w:vertAlign w:val="baseline"/>
      </w:rPr>
    </w:lvl>
    <w:lvl w:ilvl="1">
      <w:start w:val="1"/>
      <w:numFmt w:val="lowerLetter"/>
      <w:lvlText w:val="%2."/>
      <w:lvlJc w:val="left"/>
      <w:pPr>
        <w:ind w:left="1455" w:hanging="360"/>
      </w:pPr>
      <w:rPr>
        <w:vertAlign w:val="baseline"/>
      </w:rPr>
    </w:lvl>
    <w:lvl w:ilvl="2">
      <w:start w:val="1"/>
      <w:numFmt w:val="lowerRoman"/>
      <w:lvlText w:val="%3."/>
      <w:lvlJc w:val="right"/>
      <w:pPr>
        <w:ind w:left="2175" w:hanging="180"/>
      </w:pPr>
      <w:rPr>
        <w:vertAlign w:val="baseline"/>
      </w:rPr>
    </w:lvl>
    <w:lvl w:ilvl="3">
      <w:start w:val="1"/>
      <w:numFmt w:val="decimal"/>
      <w:lvlText w:val="%4."/>
      <w:lvlJc w:val="left"/>
      <w:pPr>
        <w:ind w:left="2895" w:hanging="360"/>
      </w:pPr>
      <w:rPr>
        <w:vertAlign w:val="baseline"/>
      </w:rPr>
    </w:lvl>
    <w:lvl w:ilvl="4">
      <w:start w:val="1"/>
      <w:numFmt w:val="lowerLetter"/>
      <w:lvlText w:val="%5."/>
      <w:lvlJc w:val="left"/>
      <w:pPr>
        <w:ind w:left="3615" w:hanging="360"/>
      </w:pPr>
      <w:rPr>
        <w:vertAlign w:val="baseline"/>
      </w:rPr>
    </w:lvl>
    <w:lvl w:ilvl="5">
      <w:start w:val="1"/>
      <w:numFmt w:val="lowerRoman"/>
      <w:lvlText w:val="%6."/>
      <w:lvlJc w:val="right"/>
      <w:pPr>
        <w:ind w:left="4335" w:hanging="180"/>
      </w:pPr>
      <w:rPr>
        <w:vertAlign w:val="baseline"/>
      </w:rPr>
    </w:lvl>
    <w:lvl w:ilvl="6">
      <w:start w:val="1"/>
      <w:numFmt w:val="decimal"/>
      <w:lvlText w:val="%7."/>
      <w:lvlJc w:val="left"/>
      <w:pPr>
        <w:ind w:left="5055" w:hanging="360"/>
      </w:pPr>
      <w:rPr>
        <w:vertAlign w:val="baseline"/>
      </w:rPr>
    </w:lvl>
    <w:lvl w:ilvl="7">
      <w:start w:val="1"/>
      <w:numFmt w:val="lowerLetter"/>
      <w:lvlText w:val="%8."/>
      <w:lvlJc w:val="left"/>
      <w:pPr>
        <w:ind w:left="5775" w:hanging="360"/>
      </w:pPr>
      <w:rPr>
        <w:vertAlign w:val="baseline"/>
      </w:rPr>
    </w:lvl>
    <w:lvl w:ilvl="8">
      <w:start w:val="1"/>
      <w:numFmt w:val="lowerRoman"/>
      <w:lvlText w:val="%9."/>
      <w:lvlJc w:val="right"/>
      <w:pPr>
        <w:ind w:left="6495" w:hanging="180"/>
      </w:pPr>
      <w:rPr>
        <w:vertAlign w:val="baseline"/>
      </w:rPr>
    </w:lvl>
  </w:abstractNum>
  <w:abstractNum w:abstractNumId="1">
    <w:nsid w:val="14D90884"/>
    <w:multiLevelType w:val="multilevel"/>
    <w:tmpl w:val="BA4EBE6A"/>
    <w:lvl w:ilvl="0">
      <w:start w:val="1"/>
      <w:numFmt w:val="bullet"/>
      <w:lvlText w:val="●"/>
      <w:lvlJc w:val="left"/>
      <w:pPr>
        <w:ind w:left="1095" w:hanging="360"/>
      </w:pPr>
      <w:rPr>
        <w:rFonts w:ascii="Noto Sans Symbols" w:eastAsia="Noto Sans Symbols" w:hAnsi="Noto Sans Symbols" w:cs="Noto Sans Symbols"/>
        <w:vertAlign w:val="baseline"/>
      </w:rPr>
    </w:lvl>
    <w:lvl w:ilvl="1">
      <w:start w:val="1"/>
      <w:numFmt w:val="bullet"/>
      <w:lvlText w:val="o"/>
      <w:lvlJc w:val="left"/>
      <w:pPr>
        <w:ind w:left="1815" w:hanging="360"/>
      </w:pPr>
      <w:rPr>
        <w:rFonts w:ascii="Courier New" w:eastAsia="Courier New" w:hAnsi="Courier New" w:cs="Courier New"/>
        <w:vertAlign w:val="baseline"/>
      </w:rPr>
    </w:lvl>
    <w:lvl w:ilvl="2">
      <w:start w:val="1"/>
      <w:numFmt w:val="bullet"/>
      <w:lvlText w:val="▪"/>
      <w:lvlJc w:val="left"/>
      <w:pPr>
        <w:ind w:left="2535" w:hanging="360"/>
      </w:pPr>
      <w:rPr>
        <w:rFonts w:ascii="Noto Sans Symbols" w:eastAsia="Noto Sans Symbols" w:hAnsi="Noto Sans Symbols" w:cs="Noto Sans Symbols"/>
        <w:vertAlign w:val="baseline"/>
      </w:rPr>
    </w:lvl>
    <w:lvl w:ilvl="3">
      <w:start w:val="1"/>
      <w:numFmt w:val="bullet"/>
      <w:lvlText w:val="●"/>
      <w:lvlJc w:val="left"/>
      <w:pPr>
        <w:ind w:left="3255" w:hanging="360"/>
      </w:pPr>
      <w:rPr>
        <w:rFonts w:ascii="Noto Sans Symbols" w:eastAsia="Noto Sans Symbols" w:hAnsi="Noto Sans Symbols" w:cs="Noto Sans Symbols"/>
        <w:vertAlign w:val="baseline"/>
      </w:rPr>
    </w:lvl>
    <w:lvl w:ilvl="4">
      <w:start w:val="1"/>
      <w:numFmt w:val="bullet"/>
      <w:lvlText w:val="o"/>
      <w:lvlJc w:val="left"/>
      <w:pPr>
        <w:ind w:left="3975" w:hanging="360"/>
      </w:pPr>
      <w:rPr>
        <w:rFonts w:ascii="Courier New" w:eastAsia="Courier New" w:hAnsi="Courier New" w:cs="Courier New"/>
        <w:vertAlign w:val="baseline"/>
      </w:rPr>
    </w:lvl>
    <w:lvl w:ilvl="5">
      <w:start w:val="1"/>
      <w:numFmt w:val="bullet"/>
      <w:lvlText w:val="▪"/>
      <w:lvlJc w:val="left"/>
      <w:pPr>
        <w:ind w:left="4695" w:hanging="360"/>
      </w:pPr>
      <w:rPr>
        <w:rFonts w:ascii="Noto Sans Symbols" w:eastAsia="Noto Sans Symbols" w:hAnsi="Noto Sans Symbols" w:cs="Noto Sans Symbols"/>
        <w:vertAlign w:val="baseline"/>
      </w:rPr>
    </w:lvl>
    <w:lvl w:ilvl="6">
      <w:start w:val="1"/>
      <w:numFmt w:val="bullet"/>
      <w:lvlText w:val="●"/>
      <w:lvlJc w:val="left"/>
      <w:pPr>
        <w:ind w:left="5415" w:hanging="360"/>
      </w:pPr>
      <w:rPr>
        <w:rFonts w:ascii="Noto Sans Symbols" w:eastAsia="Noto Sans Symbols" w:hAnsi="Noto Sans Symbols" w:cs="Noto Sans Symbols"/>
        <w:vertAlign w:val="baseline"/>
      </w:rPr>
    </w:lvl>
    <w:lvl w:ilvl="7">
      <w:start w:val="1"/>
      <w:numFmt w:val="bullet"/>
      <w:lvlText w:val="o"/>
      <w:lvlJc w:val="left"/>
      <w:pPr>
        <w:ind w:left="6135" w:hanging="360"/>
      </w:pPr>
      <w:rPr>
        <w:rFonts w:ascii="Courier New" w:eastAsia="Courier New" w:hAnsi="Courier New" w:cs="Courier New"/>
        <w:vertAlign w:val="baseline"/>
      </w:rPr>
    </w:lvl>
    <w:lvl w:ilvl="8">
      <w:start w:val="1"/>
      <w:numFmt w:val="bullet"/>
      <w:lvlText w:val="▪"/>
      <w:lvlJc w:val="left"/>
      <w:pPr>
        <w:ind w:left="6855" w:hanging="360"/>
      </w:pPr>
      <w:rPr>
        <w:rFonts w:ascii="Noto Sans Symbols" w:eastAsia="Noto Sans Symbols" w:hAnsi="Noto Sans Symbols" w:cs="Noto Sans Symbols"/>
        <w:vertAlign w:val="baseline"/>
      </w:rPr>
    </w:lvl>
  </w:abstractNum>
  <w:abstractNum w:abstractNumId="2">
    <w:nsid w:val="444F5688"/>
    <w:multiLevelType w:val="hybridMultilevel"/>
    <w:tmpl w:val="E150722E"/>
    <w:lvl w:ilvl="0" w:tplc="F822FA62">
      <w:start w:val="1"/>
      <w:numFmt w:val="decimal"/>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508C5548"/>
    <w:multiLevelType w:val="multilevel"/>
    <w:tmpl w:val="E42C017A"/>
    <w:lvl w:ilvl="0">
      <w:start w:val="1"/>
      <w:numFmt w:val="lowerLetter"/>
      <w:lvlText w:val="%1)"/>
      <w:lvlJc w:val="left"/>
      <w:pPr>
        <w:ind w:left="734" w:hanging="357"/>
      </w:pPr>
      <w:rPr>
        <w:vertAlign w:val="baseline"/>
      </w:rPr>
    </w:lvl>
    <w:lvl w:ilvl="1">
      <w:start w:val="1"/>
      <w:numFmt w:val="lowerLetter"/>
      <w:lvlText w:val="%2."/>
      <w:lvlJc w:val="left"/>
      <w:pPr>
        <w:ind w:left="1454" w:hanging="360"/>
      </w:pPr>
      <w:rPr>
        <w:vertAlign w:val="baseline"/>
      </w:rPr>
    </w:lvl>
    <w:lvl w:ilvl="2">
      <w:start w:val="1"/>
      <w:numFmt w:val="lowerRoman"/>
      <w:lvlText w:val="%3."/>
      <w:lvlJc w:val="right"/>
      <w:pPr>
        <w:ind w:left="2174" w:hanging="180"/>
      </w:pPr>
      <w:rPr>
        <w:vertAlign w:val="baseline"/>
      </w:rPr>
    </w:lvl>
    <w:lvl w:ilvl="3">
      <w:start w:val="1"/>
      <w:numFmt w:val="decimal"/>
      <w:lvlText w:val="%4."/>
      <w:lvlJc w:val="left"/>
      <w:pPr>
        <w:ind w:left="2894" w:hanging="360"/>
      </w:pPr>
      <w:rPr>
        <w:vertAlign w:val="baseline"/>
      </w:rPr>
    </w:lvl>
    <w:lvl w:ilvl="4">
      <w:start w:val="1"/>
      <w:numFmt w:val="lowerLetter"/>
      <w:lvlText w:val="%5."/>
      <w:lvlJc w:val="left"/>
      <w:pPr>
        <w:ind w:left="3614" w:hanging="360"/>
      </w:pPr>
      <w:rPr>
        <w:vertAlign w:val="baseline"/>
      </w:rPr>
    </w:lvl>
    <w:lvl w:ilvl="5">
      <w:start w:val="1"/>
      <w:numFmt w:val="lowerRoman"/>
      <w:lvlText w:val="%6."/>
      <w:lvlJc w:val="right"/>
      <w:pPr>
        <w:ind w:left="4334" w:hanging="180"/>
      </w:pPr>
      <w:rPr>
        <w:vertAlign w:val="baseline"/>
      </w:rPr>
    </w:lvl>
    <w:lvl w:ilvl="6">
      <w:start w:val="1"/>
      <w:numFmt w:val="decimal"/>
      <w:lvlText w:val="%7."/>
      <w:lvlJc w:val="left"/>
      <w:pPr>
        <w:ind w:left="5054" w:hanging="360"/>
      </w:pPr>
      <w:rPr>
        <w:vertAlign w:val="baseline"/>
      </w:rPr>
    </w:lvl>
    <w:lvl w:ilvl="7">
      <w:start w:val="1"/>
      <w:numFmt w:val="lowerLetter"/>
      <w:lvlText w:val="%8."/>
      <w:lvlJc w:val="left"/>
      <w:pPr>
        <w:ind w:left="5774" w:hanging="360"/>
      </w:pPr>
      <w:rPr>
        <w:vertAlign w:val="baseline"/>
      </w:rPr>
    </w:lvl>
    <w:lvl w:ilvl="8">
      <w:start w:val="1"/>
      <w:numFmt w:val="lowerRoman"/>
      <w:lvlText w:val="%9."/>
      <w:lvlJc w:val="right"/>
      <w:pPr>
        <w:ind w:left="6494" w:hanging="180"/>
      </w:pPr>
      <w:rPr>
        <w:vertAlign w:val="baseline"/>
      </w:rPr>
    </w:lvl>
  </w:abstractNum>
  <w:num w:numId="1">
    <w:abstractNumId w:val="3"/>
  </w:num>
  <w:num w:numId="2">
    <w:abstractNumId w:val="0"/>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1433"/>
    <w:rsid w:val="002C0B3B"/>
    <w:rsid w:val="004F49CE"/>
    <w:rsid w:val="007C7057"/>
    <w:rsid w:val="008E72A2"/>
    <w:rsid w:val="00AA54E5"/>
    <w:rsid w:val="00AB15D8"/>
    <w:rsid w:val="00DD6CBD"/>
    <w:rsid w:val="00E4429A"/>
    <w:rsid w:val="00ED1433"/>
    <w:rsid w:val="00F94E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099FFE9-8033-4EFB-9366-769CBA70B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 w:eastAsia="ja-JP" w:bidi="ar-SA"/>
      </w:rPr>
    </w:rPrDefault>
    <w:pPrDefault>
      <w:pPr>
        <w:ind w:hanging="1"/>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ind w:left="3600"/>
      <w:jc w:val="center"/>
      <w:outlineLvl w:val="0"/>
    </w:pPr>
    <w:rPr>
      <w:b/>
      <w:i/>
    </w:rPr>
  </w:style>
  <w:style w:type="paragraph" w:styleId="Heading2">
    <w:name w:val="heading 2"/>
    <w:basedOn w:val="Normal"/>
    <w:next w:val="Normal"/>
    <w:pPr>
      <w:keepNext/>
      <w:jc w:val="center"/>
      <w:outlineLvl w:val="1"/>
    </w:pPr>
    <w:rPr>
      <w:rFonts w:ascii="Arial" w:eastAsia="Arial" w:hAnsi="Arial" w:cs="Arial"/>
      <w:b/>
      <w:sz w:val="20"/>
      <w:szCs w:val="20"/>
    </w:rPr>
  </w:style>
  <w:style w:type="paragraph" w:styleId="Heading3">
    <w:name w:val="heading 3"/>
    <w:basedOn w:val="Normal"/>
    <w:next w:val="Normal"/>
    <w:pPr>
      <w:keepNext/>
      <w:jc w:val="center"/>
      <w:outlineLvl w:val="2"/>
    </w:pPr>
    <w:rPr>
      <w:b/>
      <w:sz w:val="32"/>
      <w:szCs w:val="32"/>
    </w:rPr>
  </w:style>
  <w:style w:type="paragraph" w:styleId="Heading4">
    <w:name w:val="heading 4"/>
    <w:basedOn w:val="Normal"/>
    <w:next w:val="Normal"/>
    <w:pPr>
      <w:keepNext/>
      <w:ind w:left="7200"/>
      <w:jc w:val="center"/>
      <w:outlineLvl w:val="3"/>
    </w:pPr>
    <w:rPr>
      <w:b/>
      <w:sz w:val="26"/>
      <w:szCs w:val="26"/>
    </w:rPr>
  </w:style>
  <w:style w:type="paragraph" w:styleId="Heading5">
    <w:name w:val="heading 5"/>
    <w:basedOn w:val="Normal"/>
    <w:next w:val="Normal"/>
    <w:pPr>
      <w:keepNext/>
      <w:ind w:left="720"/>
      <w:jc w:val="both"/>
      <w:outlineLvl w:val="4"/>
    </w:pPr>
    <w:rPr>
      <w:b/>
      <w:sz w:val="26"/>
      <w:szCs w:val="26"/>
    </w:rPr>
  </w:style>
  <w:style w:type="paragraph" w:styleId="Heading6">
    <w:name w:val="heading 6"/>
    <w:basedOn w:val="Normal"/>
    <w:next w:val="Normal"/>
    <w:pPr>
      <w:keepNext/>
      <w:jc w:val="center"/>
      <w:outlineLvl w:val="5"/>
    </w:pPr>
    <w:rPr>
      <w:b/>
      <w:sz w:val="26"/>
      <w:szCs w:val="26"/>
    </w:rPr>
  </w:style>
  <w:style w:type="paragraph" w:styleId="Heading7">
    <w:name w:val="heading 7"/>
    <w:basedOn w:val="Normal"/>
    <w:next w:val="Normal"/>
    <w:pPr>
      <w:keepNext/>
      <w:spacing w:before="120" w:after="120"/>
      <w:jc w:val="both"/>
      <w:outlineLvl w:val="6"/>
    </w:pPr>
    <w:rPr>
      <w:i/>
      <w:iCs/>
      <w:sz w:val="28"/>
      <w:szCs w:val="20"/>
    </w:rPr>
  </w:style>
  <w:style w:type="paragraph" w:styleId="Heading8">
    <w:name w:val="heading 8"/>
    <w:basedOn w:val="Normal"/>
    <w:next w:val="Normal"/>
    <w:pPr>
      <w:keepNext/>
      <w:spacing w:before="120" w:after="120"/>
      <w:jc w:val="both"/>
      <w:outlineLvl w:val="7"/>
    </w:pPr>
    <w:rPr>
      <w:rFonts w:ascii="Arial" w:hAnsi="Arial" w:cs="Arial"/>
      <w:bCs/>
      <w:i/>
      <w:iCs/>
      <w:sz w:val="26"/>
      <w:szCs w:val="26"/>
    </w:rPr>
  </w:style>
  <w:style w:type="paragraph" w:styleId="Heading9">
    <w:name w:val="heading 9"/>
    <w:basedOn w:val="Normal"/>
    <w:next w:val="Normal"/>
    <w:pPr>
      <w:keepNext/>
      <w:spacing w:after="120"/>
      <w:jc w:val="center"/>
      <w:outlineLvl w:val="8"/>
    </w:pPr>
    <w:rPr>
      <w:rFonts w:ascii=".VnTimeH" w:hAnsi=".VnTimeH"/>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jc w:val="center"/>
    </w:pPr>
    <w:rPr>
      <w:b/>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paragraph" w:styleId="BodyTextIndent2">
    <w:name w:val="Body Text Indent 2"/>
    <w:basedOn w:val="Normal"/>
    <w:pPr>
      <w:ind w:left="720" w:hanging="720"/>
      <w:jc w:val="both"/>
    </w:pPr>
    <w:rPr>
      <w:rFonts w:ascii=".VnTime" w:hAnsi=".VnTime"/>
      <w:sz w:val="28"/>
      <w:szCs w:val="20"/>
    </w:rPr>
  </w:style>
  <w:style w:type="paragraph" w:styleId="BodyTextIndent3">
    <w:name w:val="Body Text Indent 3"/>
    <w:basedOn w:val="Normal"/>
    <w:pPr>
      <w:ind w:left="720"/>
      <w:jc w:val="both"/>
    </w:pPr>
    <w:rPr>
      <w:rFonts w:ascii=".VnTime" w:hAnsi=".VnTime"/>
      <w:b/>
      <w:i/>
      <w:sz w:val="26"/>
      <w:szCs w:val="20"/>
    </w:rPr>
  </w:style>
  <w:style w:type="paragraph" w:styleId="BodyTextIndent">
    <w:name w:val="Body Text Indent"/>
    <w:basedOn w:val="Normal"/>
    <w:pPr>
      <w:ind w:firstLine="720"/>
      <w:jc w:val="both"/>
    </w:pPr>
    <w:rPr>
      <w:rFonts w:ascii=".VnTime" w:hAnsi=".VnTime"/>
      <w:b/>
      <w:sz w:val="26"/>
      <w:szCs w:val="20"/>
    </w:rPr>
  </w:style>
  <w:style w:type="paragraph" w:styleId="BodyText">
    <w:name w:val="Body Text"/>
    <w:basedOn w:val="Normal"/>
    <w:pPr>
      <w:jc w:val="both"/>
    </w:pPr>
    <w:rPr>
      <w:rFonts w:ascii=".VnTime" w:hAnsi=".VnTime"/>
      <w:sz w:val="26"/>
      <w:szCs w:val="20"/>
    </w:rPr>
  </w:style>
  <w:style w:type="paragraph" w:styleId="BodyText2">
    <w:name w:val="Body Text 2"/>
    <w:basedOn w:val="Normal"/>
    <w:pPr>
      <w:jc w:val="both"/>
    </w:pPr>
    <w:rPr>
      <w:rFonts w:ascii=".VnTime" w:hAnsi=".VnTime"/>
      <w:sz w:val="28"/>
      <w:szCs w:val="20"/>
    </w:rPr>
  </w:style>
  <w:style w:type="character" w:customStyle="1" w:styleId="normal1">
    <w:name w:val="normal1"/>
    <w:rPr>
      <w:rFonts w:ascii="Arial" w:hAnsi="Arial" w:cs="Arial" w:hint="default"/>
      <w:w w:val="100"/>
      <w:position w:val="-1"/>
      <w:sz w:val="18"/>
      <w:szCs w:val="18"/>
      <w:effect w:val="none"/>
      <w:vertAlign w:val="baseline"/>
      <w:cs w:val="0"/>
      <w:em w:val="none"/>
    </w:rPr>
  </w:style>
  <w:style w:type="paragraph" w:styleId="BodyText3">
    <w:name w:val="Body Text 3"/>
    <w:basedOn w:val="Normal"/>
    <w:pPr>
      <w:jc w:val="center"/>
    </w:pPr>
    <w:rPr>
      <w:rFonts w:ascii="Arial" w:hAnsi="Arial" w:cs="Arial"/>
      <w:b/>
      <w:sz w:val="20"/>
      <w:szCs w:val="20"/>
    </w:rPr>
  </w:style>
  <w:style w:type="paragraph" w:styleId="NormalWeb">
    <w:name w:val="Normal (Web)"/>
    <w:basedOn w:val="Normal"/>
    <w:uiPriority w:val="99"/>
    <w:pPr>
      <w:spacing w:before="100" w:beforeAutospacing="1" w:after="100" w:afterAutospacing="1"/>
    </w:pPr>
  </w:style>
  <w:style w:type="paragraph" w:styleId="Footer">
    <w:name w:val="footer"/>
    <w:basedOn w:val="Normal"/>
    <w:pPr>
      <w:tabs>
        <w:tab w:val="center" w:pos="4320"/>
        <w:tab w:val="right" w:pos="8640"/>
      </w:tabs>
    </w:pPr>
    <w:rPr>
      <w:rFonts w:ascii=".VnTime" w:hAnsi=".VnTime"/>
      <w:sz w:val="28"/>
      <w:szCs w:val="20"/>
    </w:rPr>
  </w:style>
  <w:style w:type="character" w:styleId="PageNumber">
    <w:name w:val="page number"/>
    <w:basedOn w:val="DefaultParagraphFont"/>
    <w:rPr>
      <w:w w:val="100"/>
      <w:position w:val="-1"/>
      <w:effect w:val="none"/>
      <w:vertAlign w:val="baseline"/>
      <w:cs w:val="0"/>
      <w:em w:val="none"/>
    </w:rPr>
  </w:style>
  <w:style w:type="paragraph" w:customStyle="1" w:styleId="giua">
    <w:name w:val="giua"/>
    <w:basedOn w:val="Normal"/>
    <w:pPr>
      <w:spacing w:before="100" w:beforeAutospacing="1" w:after="100" w:afterAutospacing="1"/>
    </w:pPr>
    <w:rPr>
      <w:color w:val="000000"/>
    </w:rPr>
  </w:style>
  <w:style w:type="character" w:customStyle="1" w:styleId="NormalWebChar">
    <w:name w:val="Normal (Web) Char"/>
    <w:rPr>
      <w:w w:val="100"/>
      <w:position w:val="-1"/>
      <w:sz w:val="24"/>
      <w:szCs w:val="24"/>
      <w:effect w:val="none"/>
      <w:vertAlign w:val="baseline"/>
      <w:cs w:val="0"/>
      <w:em w:val="none"/>
      <w:lang w:val="en-US" w:eastAsia="en-US" w:bidi="ar-SA"/>
    </w:rPr>
  </w:style>
  <w:style w:type="character" w:styleId="Hyperlink">
    <w:name w:val="Hyperlink"/>
    <w:rPr>
      <w:color w:val="0000FF"/>
      <w:w w:val="100"/>
      <w:position w:val="-1"/>
      <w:u w:val="single"/>
      <w:effect w:val="none"/>
      <w:vertAlign w:val="baseline"/>
      <w:cs w:val="0"/>
      <w:em w:val="none"/>
    </w:rPr>
  </w:style>
  <w:style w:type="character" w:styleId="FollowedHyperlink">
    <w:name w:val="FollowedHyperlink"/>
    <w:rPr>
      <w:color w:val="800080"/>
      <w:w w:val="100"/>
      <w:position w:val="-1"/>
      <w:u w:val="single"/>
      <w:effect w:val="none"/>
      <w:vertAlign w:val="baseline"/>
      <w:cs w:val="0"/>
      <w:em w:val="none"/>
    </w:rPr>
  </w:style>
  <w:style w:type="table" w:styleId="TableGrid">
    <w:name w:val="Table Grid"/>
    <w:basedOn w:val="TableNormal"/>
    <w:uiPriority w:val="39"/>
    <w:qFormat/>
    <w:pPr>
      <w:suppressAutoHyphens/>
      <w:spacing w:line="1" w:lineRule="atLeast"/>
      <w:ind w:leftChars="-1" w:left="-1" w:hangingChars="1"/>
      <w:textDirection w:val="btLr"/>
      <w:textAlignment w:val="top"/>
      <w:outlineLvl w:val="0"/>
    </w:pPr>
    <w:rPr>
      <w:position w:val="-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pPr>
      <w:widowControl w:val="0"/>
      <w:suppressAutoHyphens/>
      <w:autoSpaceDE w:val="0"/>
      <w:autoSpaceDN w:val="0"/>
      <w:adjustRightInd w:val="0"/>
      <w:spacing w:line="1" w:lineRule="atLeast"/>
      <w:ind w:leftChars="-1" w:left="-1" w:right="72" w:hangingChars="1"/>
      <w:jc w:val="both"/>
      <w:textDirection w:val="btLr"/>
      <w:textAlignment w:val="top"/>
      <w:outlineLvl w:val="0"/>
    </w:pPr>
    <w:rPr>
      <w:color w:val="000000"/>
      <w:position w:val="-1"/>
      <w:sz w:val="26"/>
      <w:szCs w:val="26"/>
      <w:lang w:val="en-US"/>
    </w:rPr>
  </w:style>
  <w:style w:type="character" w:customStyle="1" w:styleId="hps">
    <w:name w:val="hps"/>
    <w:basedOn w:val="DefaultParagraphFont"/>
    <w:rPr>
      <w:w w:val="100"/>
      <w:position w:val="-1"/>
      <w:effect w:val="none"/>
      <w:vertAlign w:val="baseline"/>
      <w:cs w:val="0"/>
      <w:em w:val="none"/>
    </w:rPr>
  </w:style>
  <w:style w:type="paragraph" w:customStyle="1" w:styleId="CharCharCharChar">
    <w:name w:val="Char Char Char Char"/>
    <w:next w:val="Normal"/>
    <w:pPr>
      <w:suppressAutoHyphens/>
      <w:spacing w:after="160" w:line="240" w:lineRule="atLeast"/>
      <w:ind w:leftChars="-1" w:left="-1" w:hangingChars="1"/>
      <w:jc w:val="both"/>
      <w:textDirection w:val="btLr"/>
      <w:textAlignment w:val="top"/>
      <w:outlineLvl w:val="0"/>
    </w:pPr>
    <w:rPr>
      <w:position w:val="-1"/>
      <w:sz w:val="28"/>
      <w:szCs w:val="22"/>
      <w:lang w:val="en-US"/>
    </w:rPr>
  </w:style>
  <w:style w:type="paragraph" w:customStyle="1" w:styleId="CM40">
    <w:name w:val="CM40"/>
    <w:basedOn w:val="Normal"/>
    <w:next w:val="BodyText"/>
    <w:pPr>
      <w:widowControl w:val="0"/>
      <w:autoSpaceDE w:val="0"/>
      <w:autoSpaceDN w:val="0"/>
      <w:adjustRightInd w:val="0"/>
    </w:pPr>
    <w:rPr>
      <w:sz w:val="22"/>
      <w:szCs w:val="22"/>
    </w:rPr>
  </w:style>
  <w:style w:type="paragraph" w:customStyle="1" w:styleId="normal-p">
    <w:name w:val="normal-p"/>
    <w:basedOn w:val="Normal"/>
    <w:rPr>
      <w:sz w:val="20"/>
      <w:szCs w:val="20"/>
    </w:rPr>
  </w:style>
  <w:style w:type="paragraph" w:customStyle="1" w:styleId="CharCharCharCharCharCharCharCharChar1Char">
    <w:name w:val="Char Char Char Char Char Char Char Char Char1 Char"/>
    <w:basedOn w:val="Normal"/>
    <w:next w:val="Normal"/>
    <w:pPr>
      <w:spacing w:before="120" w:after="120" w:line="312" w:lineRule="auto"/>
    </w:pPr>
    <w:rPr>
      <w:sz w:val="28"/>
      <w:szCs w:val="22"/>
    </w:rPr>
  </w:style>
  <w:style w:type="paragraph" w:customStyle="1" w:styleId="CharCharCharCharCharCharCharCharChar1Char0">
    <w:name w:val="Char Char Char Char Char Char Char Char Char1 Char"/>
    <w:basedOn w:val="Normal"/>
    <w:next w:val="Normal"/>
    <w:pPr>
      <w:spacing w:before="120" w:after="120" w:line="312" w:lineRule="auto"/>
    </w:pPr>
    <w:rPr>
      <w:sz w:val="28"/>
      <w:szCs w:val="22"/>
    </w:rPr>
  </w:style>
  <w:style w:type="paragraph" w:customStyle="1" w:styleId="ZchnZchn">
    <w:name w:val="Zchn Zchn"/>
    <w:basedOn w:val="Normal"/>
    <w:pPr>
      <w:spacing w:after="160" w:line="240" w:lineRule="atLeast"/>
    </w:pPr>
    <w:rPr>
      <w:rFonts w:ascii="Verdana" w:hAnsi="Verdana"/>
      <w:sz w:val="20"/>
      <w:szCs w:val="20"/>
    </w:rPr>
  </w:style>
  <w:style w:type="paragraph" w:customStyle="1" w:styleId="Giua0">
    <w:name w:val="Giua"/>
    <w:basedOn w:val="Normal"/>
    <w:pPr>
      <w:spacing w:after="120"/>
      <w:jc w:val="center"/>
    </w:pPr>
    <w:rPr>
      <w:rFonts w:ascii=".VnTime" w:hAnsi=".VnTime"/>
      <w:color w:val="0000FF"/>
      <w:szCs w:val="20"/>
    </w:rPr>
  </w:style>
  <w:style w:type="paragraph" w:customStyle="1" w:styleId="CharCharCharCharCharChar">
    <w:name w:val="Char Char Char Char Char Char"/>
    <w:basedOn w:val="Normal"/>
    <w:pPr>
      <w:spacing w:after="160" w:line="240" w:lineRule="atLeast"/>
    </w:pPr>
    <w:rPr>
      <w:rFonts w:ascii="Verdana" w:hAnsi="Verdana"/>
      <w:sz w:val="20"/>
      <w:szCs w:val="20"/>
    </w:rPr>
  </w:style>
  <w:style w:type="character" w:styleId="Strong">
    <w:name w:val="Strong"/>
    <w:rPr>
      <w:b/>
      <w:bCs/>
      <w:w w:val="100"/>
      <w:position w:val="-1"/>
      <w:effect w:val="none"/>
      <w:vertAlign w:val="baseline"/>
      <w:cs w:val="0"/>
      <w:em w:val="none"/>
    </w:rPr>
  </w:style>
  <w:style w:type="paragraph" w:customStyle="1" w:styleId="ZchnZchn0">
    <w:name w:val="Zchn Zchn"/>
    <w:basedOn w:val="Normal"/>
    <w:pPr>
      <w:spacing w:after="160" w:line="240" w:lineRule="atLeast"/>
    </w:pPr>
    <w:rPr>
      <w:rFonts w:ascii="Verdana" w:hAnsi="Verdana"/>
      <w:sz w:val="20"/>
      <w:szCs w:val="20"/>
    </w:rPr>
  </w:style>
  <w:style w:type="paragraph" w:styleId="Header">
    <w:name w:val="header"/>
    <w:basedOn w:val="Normal"/>
    <w:pPr>
      <w:tabs>
        <w:tab w:val="center" w:pos="4320"/>
        <w:tab w:val="right" w:pos="8640"/>
      </w:tabs>
    </w:pPr>
    <w:rPr>
      <w:rFonts w:ascii=".VnTime" w:hAnsi=".VnTime"/>
      <w:sz w:val="28"/>
      <w:szCs w:val="20"/>
    </w:rPr>
  </w:style>
  <w:style w:type="paragraph" w:styleId="BalloonText">
    <w:name w:val="Balloon Text"/>
    <w:basedOn w:val="Normal"/>
    <w:pPr>
      <w:ind w:firstLine="567"/>
      <w:jc w:val="both"/>
    </w:pPr>
    <w:rPr>
      <w:rFonts w:ascii="Tahoma" w:eastAsia="Calibri" w:hAnsi="Tahoma"/>
      <w:color w:val="0000FF"/>
      <w:sz w:val="16"/>
      <w:szCs w:val="16"/>
    </w:rPr>
  </w:style>
  <w:style w:type="character" w:customStyle="1" w:styleId="BalloonTextChar">
    <w:name w:val="Balloon Text Char"/>
    <w:rPr>
      <w:rFonts w:ascii="Tahoma" w:eastAsia="Calibri" w:hAnsi="Tahoma"/>
      <w:color w:val="0000FF"/>
      <w:w w:val="100"/>
      <w:position w:val="-1"/>
      <w:sz w:val="16"/>
      <w:szCs w:val="16"/>
      <w:effect w:val="none"/>
      <w:vertAlign w:val="baseline"/>
      <w:cs w:val="0"/>
      <w:em w:val="none"/>
      <w:lang w:bidi="ar-SA"/>
    </w:rPr>
  </w:style>
  <w:style w:type="paragraph" w:styleId="FootnoteText">
    <w:name w:val="footnote text"/>
    <w:basedOn w:val="Normal"/>
    <w:qFormat/>
    <w:pPr>
      <w:spacing w:after="120" w:line="312" w:lineRule="auto"/>
      <w:jc w:val="both"/>
    </w:pPr>
    <w:rPr>
      <w:sz w:val="20"/>
      <w:szCs w:val="20"/>
    </w:rPr>
  </w:style>
  <w:style w:type="character" w:customStyle="1" w:styleId="FootnoteTextChar">
    <w:name w:val="Footnote Text Char"/>
    <w:rPr>
      <w:w w:val="100"/>
      <w:position w:val="-1"/>
      <w:effect w:val="none"/>
      <w:vertAlign w:val="baseline"/>
      <w:cs w:val="0"/>
      <w:em w:val="none"/>
      <w:lang w:val="en-US" w:eastAsia="en-US" w:bidi="ar-SA"/>
    </w:rPr>
  </w:style>
  <w:style w:type="paragraph" w:customStyle="1" w:styleId="CharCharCharCharCharChar0">
    <w:name w:val="Char Char Char Char Char Char"/>
    <w:basedOn w:val="Normal"/>
    <w:pPr>
      <w:spacing w:after="160" w:line="240" w:lineRule="atLeast"/>
    </w:pPr>
    <w:rPr>
      <w:rFonts w:ascii="Verdana" w:hAnsi="Verdana"/>
      <w:sz w:val="20"/>
      <w:szCs w:val="20"/>
    </w:rPr>
  </w:style>
  <w:style w:type="paragraph" w:customStyle="1" w:styleId="msonormalcxsplast">
    <w:name w:val="msonormalcxsplast"/>
    <w:basedOn w:val="Normal"/>
    <w:pPr>
      <w:spacing w:before="100" w:beforeAutospacing="1" w:after="100" w:afterAutospacing="1"/>
    </w:pPr>
  </w:style>
  <w:style w:type="paragraph" w:customStyle="1" w:styleId="msonormalcxspmiddle">
    <w:name w:val="msonormalcxspmiddle"/>
    <w:basedOn w:val="Normal"/>
    <w:pPr>
      <w:spacing w:before="100" w:beforeAutospacing="1" w:after="100" w:afterAutospacing="1"/>
    </w:pPr>
  </w:style>
  <w:style w:type="character" w:customStyle="1" w:styleId="apple-converted-space">
    <w:name w:val="apple-converted-space"/>
    <w:basedOn w:val="DefaultParagraphFont"/>
    <w:rPr>
      <w:w w:val="100"/>
      <w:position w:val="-1"/>
      <w:effect w:val="none"/>
      <w:vertAlign w:val="baseline"/>
      <w:cs w:val="0"/>
      <w:em w:val="none"/>
    </w:rPr>
  </w:style>
  <w:style w:type="paragraph" w:styleId="ListParagraph">
    <w:name w:val="List Paragraph"/>
    <w:basedOn w:val="Normal"/>
    <w:qFormat/>
    <w:pPr>
      <w:ind w:left="720"/>
    </w:pPr>
  </w:style>
  <w:style w:type="character" w:customStyle="1" w:styleId="BodyTextIndentChar">
    <w:name w:val="Body Text Indent Char"/>
    <w:rPr>
      <w:rFonts w:ascii=".VnTime" w:hAnsi=".VnTime"/>
      <w:b/>
      <w:w w:val="100"/>
      <w:position w:val="-1"/>
      <w:sz w:val="26"/>
      <w:effect w:val="none"/>
      <w:vertAlign w:val="baseline"/>
      <w:cs w:val="0"/>
      <w:em w:val="none"/>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rPr>
      <w:sz w:val="20"/>
      <w:szCs w:val="20"/>
    </w:rPr>
  </w:style>
  <w:style w:type="character" w:customStyle="1" w:styleId="CommentTextChar">
    <w:name w:val="Comment Text Char"/>
    <w:basedOn w:val="DefaultParagraphFont"/>
    <w:rPr>
      <w:w w:val="100"/>
      <w:position w:val="-1"/>
      <w:effect w:val="none"/>
      <w:vertAlign w:val="baseline"/>
      <w:cs w:val="0"/>
      <w:em w:val="none"/>
    </w:rPr>
  </w:style>
  <w:style w:type="paragraph" w:styleId="CommentSubject">
    <w:name w:val="annotation subject"/>
    <w:basedOn w:val="CommentText"/>
    <w:next w:val="CommentText"/>
    <w:rPr>
      <w:b/>
      <w:bCs/>
    </w:rPr>
  </w:style>
  <w:style w:type="character" w:customStyle="1" w:styleId="CommentSubjectChar">
    <w:name w:val="Comment Subject Char"/>
    <w:rPr>
      <w:b/>
      <w:bCs/>
      <w:w w:val="100"/>
      <w:position w:val="-1"/>
      <w:effect w:val="none"/>
      <w:vertAlign w:val="baseline"/>
      <w:cs w:val="0"/>
      <w:em w:val="none"/>
    </w:rPr>
  </w:style>
  <w:style w:type="paragraph" w:styleId="NoSpacing">
    <w:name w:val="No Spacing"/>
    <w:pPr>
      <w:suppressAutoHyphens/>
      <w:spacing w:line="1" w:lineRule="atLeast"/>
      <w:ind w:leftChars="-1" w:left="-1" w:hangingChars="1"/>
      <w:textDirection w:val="btLr"/>
      <w:textAlignment w:val="top"/>
      <w:outlineLvl w:val="0"/>
    </w:pPr>
    <w:rPr>
      <w:rFonts w:ascii="Arial" w:hAnsi="Arial" w:cs="Arial"/>
      <w:position w:val="-1"/>
      <w:lang w:val="en-US"/>
    </w:rPr>
  </w:style>
  <w:style w:type="character" w:customStyle="1" w:styleId="ListParagraphChar">
    <w:name w:val="List Paragraph Char"/>
    <w:rPr>
      <w:w w:val="100"/>
      <w:position w:val="-1"/>
      <w:sz w:val="24"/>
      <w:szCs w:val="24"/>
      <w:effect w:val="none"/>
      <w:vertAlign w:val="baseline"/>
      <w:cs w:val="0"/>
      <w:em w:val="none"/>
    </w:rPr>
  </w:style>
  <w:style w:type="character" w:customStyle="1" w:styleId="cpChagiiquyt1">
    <w:name w:val="Đề cập Chưa giải quyết1"/>
    <w:qFormat/>
    <w:rPr>
      <w:color w:val="605E5C"/>
      <w:w w:val="100"/>
      <w:position w:val="-1"/>
      <w:effect w:val="none"/>
      <w:shd w:val="clear" w:color="auto" w:fill="E1DFDD"/>
      <w:vertAlign w:val="baseline"/>
      <w:cs w:val="0"/>
      <w:em w:val="none"/>
    </w:rPr>
  </w:style>
  <w:style w:type="paragraph" w:customStyle="1" w:styleId="TableParagraph">
    <w:name w:val="Table Paragraph"/>
    <w:basedOn w:val="Normal"/>
    <w:pPr>
      <w:widowControl w:val="0"/>
      <w:autoSpaceDE w:val="0"/>
      <w:autoSpaceDN w:val="0"/>
    </w:pPr>
    <w:rPr>
      <w:sz w:val="22"/>
      <w:szCs w:val="22"/>
    </w:rPr>
  </w:style>
  <w:style w:type="table" w:customStyle="1" w:styleId="a">
    <w:basedOn w:val="TableNormal"/>
    <w:tblPr>
      <w:tblStyleRowBandSize w:val="1"/>
      <w:tblStyleColBandSize w:val="1"/>
      <w:tblInd w:w="0" w:type="dxa"/>
      <w:tblCellMar>
        <w:top w:w="0" w:type="dxa"/>
        <w:left w:w="0" w:type="dxa"/>
        <w:bottom w:w="0" w:type="dxa"/>
        <w:right w:w="0" w:type="dxa"/>
      </w:tblCellMar>
    </w:tblPr>
  </w:style>
  <w:style w:type="table" w:customStyle="1" w:styleId="a0">
    <w:basedOn w:val="TableNormal"/>
    <w:tblPr>
      <w:tblStyleRowBandSize w:val="1"/>
      <w:tblStyleColBandSize w:val="1"/>
      <w:tblInd w:w="0" w:type="dxa"/>
      <w:tblCellMar>
        <w:top w:w="0" w:type="dxa"/>
        <w:left w:w="29" w:type="dxa"/>
        <w:bottom w:w="0" w:type="dxa"/>
        <w:right w:w="29"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08" w:type="dxa"/>
        <w:bottom w:w="0" w:type="dxa"/>
        <w:right w:w="108"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0" w:type="dxa"/>
        <w:left w:w="29" w:type="dxa"/>
        <w:bottom w:w="0" w:type="dxa"/>
        <w:right w:w="29" w:type="dxa"/>
      </w:tblCellMar>
    </w:tblPr>
  </w:style>
  <w:style w:type="table" w:customStyle="1" w:styleId="a5">
    <w:basedOn w:val="TableNormal"/>
    <w:tblPr>
      <w:tblStyleRowBandSize w:val="1"/>
      <w:tblStyleColBandSize w:val="1"/>
      <w:tblInd w:w="0" w:type="dxa"/>
      <w:tblCellMar>
        <w:top w:w="0" w:type="dxa"/>
        <w:left w:w="108" w:type="dxa"/>
        <w:bottom w:w="0" w:type="dxa"/>
        <w:right w:w="108" w:type="dxa"/>
      </w:tblCellMar>
    </w:tblPr>
  </w:style>
  <w:style w:type="table" w:customStyle="1" w:styleId="a6">
    <w:basedOn w:val="TableNormal"/>
    <w:tblPr>
      <w:tblStyleRowBandSize w:val="1"/>
      <w:tblStyleColBandSize w:val="1"/>
      <w:tblInd w:w="0" w:type="dxa"/>
      <w:tblCellMar>
        <w:top w:w="0" w:type="dxa"/>
        <w:left w:w="108" w:type="dxa"/>
        <w:bottom w:w="0" w:type="dxa"/>
        <w:right w:w="108" w:type="dxa"/>
      </w:tblCellMar>
    </w:tblPr>
  </w:style>
  <w:style w:type="table" w:customStyle="1" w:styleId="a7">
    <w:basedOn w:val="TableNormal"/>
    <w:tblPr>
      <w:tblStyleRowBandSize w:val="1"/>
      <w:tblStyleColBandSize w:val="1"/>
      <w:tblInd w:w="0" w:type="dxa"/>
      <w:tblCellMar>
        <w:top w:w="0" w:type="dxa"/>
        <w:left w:w="115" w:type="dxa"/>
        <w:bottom w:w="0" w:type="dxa"/>
        <w:right w:w="115" w:type="dxa"/>
      </w:tblCellMar>
    </w:tblPr>
  </w:style>
  <w:style w:type="table" w:customStyle="1" w:styleId="a8">
    <w:basedOn w:val="TableNormal"/>
    <w:tblPr>
      <w:tblStyleRowBandSize w:val="1"/>
      <w:tblStyleColBandSize w:val="1"/>
      <w:tblInd w:w="0" w:type="dxa"/>
      <w:tblCellMar>
        <w:top w:w="0" w:type="dxa"/>
        <w:left w:w="29" w:type="dxa"/>
        <w:bottom w:w="0" w:type="dxa"/>
        <w:right w:w="29" w:type="dxa"/>
      </w:tblCellMar>
    </w:tblPr>
  </w:style>
  <w:style w:type="table" w:customStyle="1" w:styleId="a9">
    <w:basedOn w:val="TableNormal"/>
    <w:tblPr>
      <w:tblStyleRowBandSize w:val="1"/>
      <w:tblStyleColBandSize w:val="1"/>
      <w:tblInd w:w="0" w:type="dxa"/>
      <w:tblCellMar>
        <w:top w:w="0" w:type="dxa"/>
        <w:left w:w="108" w:type="dxa"/>
        <w:bottom w:w="0" w:type="dxa"/>
        <w:right w:w="108" w:type="dxa"/>
      </w:tblCellMar>
    </w:tblPr>
  </w:style>
  <w:style w:type="table" w:customStyle="1" w:styleId="aa">
    <w:basedOn w:val="TableNormal"/>
    <w:tblPr>
      <w:tblStyleRowBandSize w:val="1"/>
      <w:tblStyleColBandSize w:val="1"/>
      <w:tblInd w:w="0" w:type="dxa"/>
      <w:tblCellMar>
        <w:top w:w="0" w:type="dxa"/>
        <w:left w:w="108" w:type="dxa"/>
        <w:bottom w:w="0" w:type="dxa"/>
        <w:right w:w="108" w:type="dxa"/>
      </w:tblCellMar>
    </w:tblPr>
  </w:style>
  <w:style w:type="paragraph" w:styleId="Subtitle">
    <w:name w:val="Subtitle"/>
    <w:basedOn w:val="Normal"/>
    <w:next w:val="Normal"/>
    <w:pPr>
      <w:spacing w:line="288" w:lineRule="auto"/>
      <w:jc w:val="center"/>
    </w:pPr>
    <w:rPr>
      <w:b/>
      <w:sz w:val="28"/>
      <w:szCs w:val="28"/>
    </w:rPr>
  </w:style>
  <w:style w:type="table" w:customStyle="1" w:styleId="ab">
    <w:basedOn w:val="TableNormal"/>
    <w:tblPr>
      <w:tblStyleRowBandSize w:val="1"/>
      <w:tblStyleColBandSize w:val="1"/>
      <w:tblInd w:w="0" w:type="dxa"/>
      <w:tblCellMar>
        <w:top w:w="0" w:type="dxa"/>
        <w:left w:w="115" w:type="dxa"/>
        <w:bottom w:w="0" w:type="dxa"/>
        <w:right w:w="115" w:type="dxa"/>
      </w:tblCellMar>
    </w:tblPr>
  </w:style>
  <w:style w:type="table" w:customStyle="1" w:styleId="ac">
    <w:basedOn w:val="TableNormal"/>
    <w:tblPr>
      <w:tblStyleRowBandSize w:val="1"/>
      <w:tblStyleColBandSize w:val="1"/>
      <w:tblInd w:w="0" w:type="dxa"/>
      <w:tblCellMar>
        <w:top w:w="0" w:type="dxa"/>
        <w:left w:w="29" w:type="dxa"/>
        <w:bottom w:w="0" w:type="dxa"/>
        <w:right w:w="29" w:type="dxa"/>
      </w:tblCellMar>
    </w:tblPr>
  </w:style>
  <w:style w:type="table" w:customStyle="1" w:styleId="ad">
    <w:basedOn w:val="TableNormal"/>
    <w:tblPr>
      <w:tblStyleRowBandSize w:val="1"/>
      <w:tblStyleColBandSize w:val="1"/>
      <w:tblInd w:w="0" w:type="dxa"/>
      <w:tblCellMar>
        <w:top w:w="0" w:type="dxa"/>
        <w:left w:w="108" w:type="dxa"/>
        <w:bottom w:w="0" w:type="dxa"/>
        <w:right w:w="108" w:type="dxa"/>
      </w:tblCellMar>
    </w:tblPr>
  </w:style>
  <w:style w:type="table" w:customStyle="1" w:styleId="ae">
    <w:basedOn w:val="TableNormal"/>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91108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egLeGliIbt7FjEDC//eSfbIXXw==">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Pages>
  <Words>13694</Words>
  <Characters>78062</Characters>
  <Application>Microsoft Office Word</Application>
  <DocSecurity>0</DocSecurity>
  <Lines>650</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dc:description/>
  <cp:lastModifiedBy>Admin</cp:lastModifiedBy>
  <cp:revision>7</cp:revision>
  <dcterms:created xsi:type="dcterms:W3CDTF">2025-07-04T03:21:00Z</dcterms:created>
  <dcterms:modified xsi:type="dcterms:W3CDTF">2026-02-14T14:21:00Z</dcterms:modified>
  <dc:identifier/>
  <dc:language/>
</cp:coreProperties>
</file>