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Arial" w:hAnsi="Arial"/>
          <w:b/>
          <w:i/>
          <w:color w:val="000000"/>
          <w:sz w:val="26"/>
        </w:rPr>
        <w:t>1.4.3 Non-UI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r>
              <w:rPr>
                <w:b/>
              </w:rPr>
              <w:t>#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r>
              <w:rPr>
                <w:b/>
              </w:rPr>
              <w:t>System Function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CEAE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Project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Automatic project activation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Checks planning projects when the server starts and daily; activates projects that have reached their start date.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Project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Automatic project completion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Updates a project’s status when all of its phases are completed.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Phase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Automatic phase status update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Recalculates phase progress and status when the server starts and daily, based on tasks, dates, and the preceding phase.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Phase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Phase progress calculation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Calculates the completion percentage of a phase from its tasks.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Automatic contract expiration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Checks active contracts when the server starts and daily; ends contracts past their expiration date and records the status change.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PDF generation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Generates a PDF document from contract content for viewing or download.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workflow processing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Applies the configured approval and signing steps for a contract type to a specific contract.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Digital Signature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PAdES signing preparation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Prepares a contract PDF and signing session for a digital signature.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Digital Signature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PAdES signing completion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Applies the completed digital signature to the contract PDF.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Digital Signature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Signature verification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Verifies signatures and checks the integrity of signed contract documents.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Digital Signature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User key generation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Generates and stores key information used for digital signing.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Notification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signing email notification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Sends confirmation and signature request emails after a contract signing transaction is committed.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Authentication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JWT generation and validation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Generates authentication tokens and validates them for protected API requests.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Authentication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OTP storage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Stores, retrieves, and deletes one-time passwords in Redis during account verification or password recovery.</w:t>
            </w:r>
          </w:p>
        </w:tc>
      </w:tr>
      <w:tr>
        <w:tc>
          <w:tcPr>
            <w:tcW w:type="dxa" w:w="5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File Management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Cloud file storage</w:t>
            </w:r>
          </w:p>
        </w:tc>
        <w:tc>
          <w:tcPr>
            <w:tcW w:type="dxa" w:w="46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Uploads and manages files used by contracts and electronic signatures.</w:t>
            </w:r>
          </w:p>
        </w:tc>
      </w:tr>
    </w:tbl>
    <w:sectPr w:rsidR="00FC693F" w:rsidRPr="0006063C" w:rsidSect="00034616">
      <w:pgSz w:w="12240" w:h="15840"/>
      <w:pgMar w:top="979" w:right="835" w:bottom="97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