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1: Project Definition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Project Overview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state the high-level overview of the project, including the background information such as problem domain, project origin, and related data sets or input data.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Problem Statement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define the problem to be solved.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Metrics</w:t>
      </w:r>
      <w:r w:rsidDel="00000000" w:rsidR="00000000" w:rsidRPr="00000000">
        <w:rPr>
          <w:b w:val="1"/>
          <w:color w:val="0b0b0b"/>
          <w:rtl w:val="0"/>
        </w:rPr>
        <w:t xml:space="preserve">: </w:t>
      </w:r>
      <w:r w:rsidDel="00000000" w:rsidR="00000000" w:rsidRPr="00000000">
        <w:rPr>
          <w:color w:val="0b0b0b"/>
          <w:rtl w:val="0"/>
        </w:rPr>
        <w:t xml:space="preserve">define the metrics to measure the results and justifications to use the metrics. For example, if you use time-series data sets, what metrics will be appropriate to measure the results.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2: Analysis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H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data sets, including the features, data distributions, and descriptive statistics. Identify any abnormalities or specific characteristics inherent in the data sets.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Data Visualization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build data visualization based on the data exploration in the previous step.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3: Methodology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Data Preprocessing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steps taken to preprocess the data and address any abnormalities in the data sets. If data preprocessing is not needed, please explain why.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Implementation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discuss the process using the models, algorithms, and techniques applied to solve the problem. Any complications during the implementation should be mentioned.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Refinement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describe the process to refine the algorithms and techniques, such as using cross-validation or changing the parameter settings. 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4: Results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Model Evaluation and Validation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discuss the models and parameters used in the methodology. If no model is used, students can discuss the methodology using data visualizations and other means.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Justification</w:t>
      </w:r>
      <w:r w:rsidDel="00000000" w:rsidR="00000000" w:rsidRPr="00000000">
        <w:rPr>
          <w:color w:val="0b0b0b"/>
          <w:rtl w:val="0"/>
        </w:rPr>
        <w:t xml:space="preserve">: discuss the final results in detail and explain why some models, parameters, or techniques perform better over others. Show and compare the results in tabular forms or charts.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shd w:fill="fafafa" w:val="clear"/>
        <w:ind w:left="720" w:hanging="360"/>
      </w:pPr>
      <w:r w:rsidDel="00000000" w:rsidR="00000000" w:rsidRPr="00000000">
        <w:rPr>
          <w:b w:val="1"/>
          <w:color w:val="0b0b0b"/>
          <w:rtl w:val="0"/>
        </w:rPr>
        <w:t xml:space="preserve">Section 5: Conclusion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Reflection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summarize the end-to-end problem solution and discuss one or two particular aspects that you find interesting or difficult to implement.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0b0b0b" w:space="0" w:sz="0" w:val="none"/>
          <w:left w:color="0b0b0b" w:space="0" w:sz="0" w:val="none"/>
          <w:bottom w:color="0b0b0b" w:space="0" w:sz="0" w:val="none"/>
          <w:right w:color="0b0b0b" w:space="0" w:sz="0" w:val="none"/>
          <w:between w:color="0b0b0b" w:space="0" w:sz="0" w:val="none"/>
        </w:pBdr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0b0b0b"/>
          <w:rtl w:val="0"/>
        </w:rPr>
        <w:t xml:space="preserve">Improvement</w:t>
      </w:r>
      <w:r w:rsidDel="00000000" w:rsidR="00000000" w:rsidRPr="00000000">
        <w:rPr>
          <w:b w:val="1"/>
          <w:color w:val="0b0b0b"/>
          <w:rtl w:val="0"/>
        </w:rPr>
        <w:t xml:space="preserve">:</w:t>
      </w:r>
      <w:r w:rsidDel="00000000" w:rsidR="00000000" w:rsidRPr="00000000">
        <w:rPr>
          <w:color w:val="0b0b0b"/>
          <w:rtl w:val="0"/>
        </w:rPr>
        <w:t xml:space="preserve"> provide suggestions for the next research to improve the experiment.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Submit: Mỗi cá nhân sẽ làm 1 bài riêng (Không làm nhóm)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Jupyter Notebook: </w:t>
      </w:r>
      <w:r w:rsidDel="00000000" w:rsidR="00000000" w:rsidRPr="00000000">
        <w:rPr>
          <w:b w:val="1"/>
          <w:rtl w:val="0"/>
        </w:rPr>
        <w:t xml:space="preserve">Python + SQL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by </w:t>
      </w:r>
      <w:r w:rsidDel="00000000" w:rsidR="00000000" w:rsidRPr="00000000">
        <w:rPr>
          <w:b w:val="1"/>
          <w:rtl w:val="0"/>
        </w:rPr>
        <w:t xml:space="preserve">Flask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bài Final lên link bên dưới trước 0h ngày 26/7/2024: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https://drive.google.com/drive/u/0/folders/1-_khEH9ISVk7m09txNU27P26YBplceQr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báo cáo dự kiến:</w:t>
      </w:r>
      <w:r w:rsidDel="00000000" w:rsidR="00000000" w:rsidRPr="00000000">
        <w:rPr>
          <w:rtl w:val="0"/>
        </w:rPr>
        <w:t xml:space="preserve"> 27-29/7/2024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Tài liệu tham khảo: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https://github.com/nguyenduchuyvn/Udacity-Data-Scientist-Nanodegree/blob/main/MyCapstoneProject/Sarcasm_Detection.ipynb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b0b0b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b0b0b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guyenduchuyvn/Udacity-Data-Scientist-Nanodegree/blob/main/MyCapstoneProject/Sarcasm_Detection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