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1A365D"/>
          <w:sz w:val="48"/>
        </w:rPr>
        <w:t>ĐỀ CƯƠNG CHI TIẾT PHÁT TRIỂN DỰ ÁN</w:t>
        <w:br/>
        <w:t>"NORTHSTAR FINANCE LAB"</w:t>
      </w:r>
    </w:p>
    <w:p>
      <w:pPr>
        <w:spacing w:after="480"/>
        <w:jc w:val="center"/>
      </w:pPr>
      <w:r>
        <w:rPr>
          <w:rFonts w:ascii="Calibri" w:hAnsi="Calibri"/>
          <w:i/>
          <w:color w:val="718096"/>
          <w:sz w:val="26"/>
        </w:rPr>
        <w:t>Nền tảng AI hỗ trợ học tập, thực hành và mô phỏng thị trường tài chính cho học sinh sinh viên</w:t>
      </w:r>
    </w:p>
    <w:p>
      <w:pPr>
        <w:spacing w:after="720"/>
        <w:jc w:val="center"/>
      </w:pPr>
      <w:r>
        <w:rPr>
          <w:rFonts w:ascii="Calibri" w:hAnsi="Calibri"/>
          <w:color w:val="4A5568"/>
          <w:sz w:val="20"/>
        </w:rPr>
        <w:t>Định hướng: Education-first | Explainability-first | Risk-first | Research-safe</w:t>
        <w:br/>
        <w:t>Dựa trên cấu trúc mã nguồn hiện tại của Risk Dashboard</w:t>
        <w:br/>
        <w:t>Thời gian lập hồ sơ: Tháng 7, 2026</w:t>
      </w:r>
    </w:p>
    <w:p>
      <w:r>
        <w:br w:type="page"/>
      </w:r>
    </w:p>
    <w:p>
      <w:pPr>
        <w:keepNext/>
        <w:spacing w:before="240" w:after="120"/>
        <w:pBdr>
          <w:bottom w:val="single" w:sz="12" w:space="4" w:color="D69E2E"/>
        </w:pBdr>
      </w:pPr>
      <w:r>
        <w:rPr>
          <w:rFonts w:ascii="Calibri" w:hAnsi="Calibri"/>
          <w:b/>
          <w:color w:val="1A365D"/>
          <w:sz w:val="36"/>
        </w:rPr>
        <w:t>1. Tóm tắt điều hành (Executive Summary)</w:t>
      </w:r>
    </w:p>
    <w:p>
      <w:r>
        <w:t>Northstar Finance Lab là nền tảng công nghệ tài chính ứng dụng trí tuệ nhân tạo (AI) chuyên sâu, được định hướng chuyển đổi và phát triển từ hệ thống phân tích rủi ro định lượng hiện tại (Risk Dashboard). Mục tiêu cốt lõi của dự án là xây dựng một không gian phòng thực hành (Lab) tài chính ảo an toàn, trực quan và có chiều sâu dành riêng cho học sinh, sinh viên các khối ngành Kinh tế, Tài chính - Ngân hàng, Quản trị Kinh doanh.</w:t>
      </w:r>
    </w:p>
    <w:p>
      <w:r>
        <w:t>Khác với các ứng dụng giao dịch thương mại hoặc các công cụ cung cấp tín hiệu mua bán thông thường, Northstar Finance Lab kiên định với mô hình giáo dục phi thương mại, tập trung tối đa vào bốn nguyên tắc thiết kế:</w:t>
      </w:r>
    </w:p>
    <w:tbl>
      <w:tblPr>
        <w:tblW w:type="auto" w:w="0"/>
        <w:jc w:val="center"/>
        <w:tblLook w:firstColumn="1" w:firstRow="1" w:lastColumn="0" w:lastRow="0" w:noHBand="0" w:noVBand="1" w:val="04A0"/>
      </w:tblPr>
      <w:tblGrid>
        <w:gridCol w:w="9360"/>
      </w:tblGrid>
      <w:tr>
        <w:tc>
          <w:tcPr>
            <w:tcW w:type="dxa" w:w="9360"/>
            <w:shd w:val="clear" w:color="auto" w:fill="F7FAFC"/>
            <w:tcBorders>
              <w:left w:val="single" w:sz="36" w:space="0" w:color="1A365D"/>
              <w:top w:val="nil"/>
              <w:bottom w:val="nil"/>
              <w:right w:val="nil"/>
            </w:tcBorders>
          </w:tcPr>
          <w:p>
            <w:pPr>
              <w:spacing w:before="120" w:after="120" w:line="276" w:lineRule="auto"/>
              <w:ind w:left="120"/>
            </w:pPr>
            <w:r>
              <w:rPr>
                <w:rFonts w:ascii="Calibri" w:hAnsi="Calibri"/>
                <w:b/>
                <w:color w:val="1A365D"/>
                <w:sz w:val="21"/>
              </w:rPr>
              <w:t>Bốn Nguyên tắc Cốt lõi của dự án Northstar Finance Lab</w:t>
              <w:br/>
            </w:r>
            <w:r>
              <w:rPr>
                <w:rFonts w:ascii="Calibri" w:hAnsi="Calibri"/>
                <w:i/>
                <w:color w:val="2D3748"/>
                <w:sz w:val="20"/>
              </w:rPr>
              <w:t>1. Education-first: Đặt trải nghiệm học tập và thực hành của học viên làm trung tâm.</w:t>
              <w:br/>
              <w:t>2. Explainability-first: Mọi chỉ số toán học và khuyến nghị của AI đều phải đi kèm lời diễn giải khoa học.</w:t>
              <w:br/>
              <w:t>3. Risk-first: Nhấn mạnh quản trị rủi ro, cảnh báo các bẫy tâm lý và thống kê thay vì tối đa hóa lợi nhuận ảo.</w:t>
              <w:br/>
              <w:t>4. Research-safe: Thiết lập các rào cản kỹ thuật an toàn (Guardrails) để bảo vệ môi trường nghiên cứu học thuật.</w:t>
            </w:r>
          </w:p>
        </w:tc>
      </w:tr>
    </w:tbl>
    <w:p>
      <w:pPr>
        <w:spacing w:before="0" w:after="120"/>
      </w:pPr>
    </w:p>
    <w:p>
      <w:r>
        <w:t>Nền tảng sẽ đóng vai trò là cầu nối vững chắc giúp học viên chuyển hóa trực quan các lý thuyết kinh tế vĩ mô, tài chính doanh nghiệp và quản lý danh mục đầu tư đã học trên giảng đường vào các tình huống thực tế của thị trường Việt Nam.</w:t>
      </w:r>
    </w:p>
    <w:p>
      <w:pPr>
        <w:keepNext/>
        <w:spacing w:before="240" w:after="120"/>
        <w:pBdr>
          <w:bottom w:val="single" w:sz="12" w:space="4" w:color="D69E2E"/>
        </w:pBdr>
      </w:pPr>
      <w:r>
        <w:rPr>
          <w:rFonts w:ascii="Calibri" w:hAnsi="Calibri"/>
          <w:b/>
          <w:color w:val="1A365D"/>
          <w:sz w:val="36"/>
        </w:rPr>
        <w:t>2. Bối cảnh và vấn đề cần giải quyết</w:t>
      </w:r>
    </w:p>
    <w:p>
      <w:r>
        <w:t>Trong đào tạo kinh tế và tài chính hiện nay tại Việt Nam, sự ngắt kết nối giữa lý thuyết giảng đường và thực tế thị trường vẫn là một thách thức lớn đối với cả giảng viên và sinh viên:</w:t>
      </w:r>
    </w:p>
    <w:p>
      <w:pPr>
        <w:pStyle w:val="ListBullet"/>
        <w:spacing w:before="40" w:after="80" w:line="276" w:lineRule="auto"/>
        <w:ind w:left="400"/>
      </w:pPr>
      <w:r>
        <w:rPr>
          <w:rFonts w:ascii="Calibri" w:hAnsi="Calibri"/>
          <w:b/>
          <w:color w:val="2D3748"/>
          <w:sz w:val="22"/>
        </w:rPr>
        <w:t xml:space="preserve">Thiếu môi trường thực hành định lượng: </w:t>
      </w:r>
      <w:r>
        <w:rPr>
          <w:rFonts w:ascii="Calibri" w:hAnsi="Calibri"/>
          <w:color w:val="2D3748"/>
          <w:sz w:val="22"/>
        </w:rPr>
        <w:t>Sinh viên học rất nhiều mô hình lý thuyết phức tạp như giá trị chịu rủi ro (VaR), phân loại trạng thái thị trường (HMM), phân tích chất lượng dòng tiền, hay lý thuyết danh mục đầu tư hiện đại... nhưng gặp khó khăn khi phải thu thập dữ liệu thô và lập trình kiểm chứng trên thị trường thực tế.</w:t>
      </w:r>
    </w:p>
    <w:p>
      <w:pPr>
        <w:pStyle w:val="ListBullet"/>
        <w:spacing w:before="40" w:after="80" w:line="276" w:lineRule="auto"/>
        <w:ind w:left="400"/>
      </w:pPr>
      <w:r>
        <w:rPr>
          <w:rFonts w:ascii="Calibri" w:hAnsi="Calibri"/>
          <w:b/>
          <w:color w:val="2D3748"/>
          <w:sz w:val="22"/>
        </w:rPr>
        <w:t xml:space="preserve">Công cụ phân tán và đắt đỏ: </w:t>
      </w:r>
      <w:r>
        <w:rPr>
          <w:rFonts w:ascii="Calibri" w:hAnsi="Calibri"/>
          <w:color w:val="2D3748"/>
          <w:sz w:val="22"/>
        </w:rPr>
        <w:t>Hiện nay, thông tin kinh tế, báo cáo tài chính doanh nghiệp, dữ liệu vĩ mô và công cụ kiểm thử (Backtest) nằm phân tán trên nhiều nền tảng thương mại đắt đỏ hoặc công cụ mã nguồn mở phức tạp, vượt quá khả năng tiếp cận tài chính và kỹ thuật của sinh viên.</w:t>
      </w:r>
    </w:p>
    <w:p>
      <w:pPr>
        <w:pStyle w:val="ListBullet"/>
        <w:spacing w:before="40" w:after="80" w:line="276" w:lineRule="auto"/>
        <w:ind w:left="400"/>
      </w:pPr>
      <w:r>
        <w:rPr>
          <w:rFonts w:ascii="Calibri" w:hAnsi="Calibri"/>
          <w:b/>
          <w:color w:val="2D3748"/>
          <w:sz w:val="22"/>
        </w:rPr>
        <w:t xml:space="preserve">Rủi ro thiếu kiểm soát (No Guardrails): </w:t>
      </w:r>
      <w:r>
        <w:rPr>
          <w:rFonts w:ascii="Calibri" w:hAnsi="Calibri"/>
          <w:color w:val="2D3748"/>
          <w:sz w:val="22"/>
        </w:rPr>
        <w:t>Khi tham gia vào các hội nhóm mạng xã hội hoặc bảng giá chứng khoán thương mại, sinh viên dễ bị cuốn vào các thông tin nhiễu, các 'tín hiệu phím hàng' ăn xổi mà thiếu đi cái nhìn rủi ro hệ thống và tư duy phản biện khoa học.</w:t>
      </w:r>
    </w:p>
    <w:p>
      <w:pPr>
        <w:pStyle w:val="ListBullet"/>
        <w:spacing w:before="40" w:after="80" w:line="276" w:lineRule="auto"/>
        <w:ind w:left="400"/>
      </w:pPr>
      <w:r>
        <w:rPr>
          <w:rFonts w:ascii="Calibri" w:hAnsi="Calibri"/>
          <w:b/>
          <w:color w:val="2D3748"/>
          <w:sz w:val="22"/>
        </w:rPr>
        <w:t xml:space="preserve">Khó khăn trong giám sát và chấm điểm của giảng viên: </w:t>
      </w:r>
      <w:r>
        <w:rPr>
          <w:rFonts w:ascii="Calibri" w:hAnsi="Calibri"/>
          <w:color w:val="2D3748"/>
          <w:sz w:val="22"/>
        </w:rPr>
        <w:t>Giảng viên thiếu một công cụ trực quan để giao bài tập lớn, giám sát quá trình phân tích doanh nghiệp của từng nhóm, và chấm điểm báo cáo của sinh viên dựa trên dữ liệu thực tế được cập nhật liên tục.</w:t>
      </w:r>
    </w:p>
    <w:p>
      <w:pPr>
        <w:keepNext/>
        <w:spacing w:before="240" w:after="120"/>
        <w:pBdr>
          <w:bottom w:val="single" w:sz="12" w:space="4" w:color="D69E2E"/>
        </w:pBdr>
      </w:pPr>
      <w:r>
        <w:rPr>
          <w:rFonts w:ascii="Calibri" w:hAnsi="Calibri"/>
          <w:b/>
          <w:color w:val="1A365D"/>
          <w:sz w:val="36"/>
        </w:rPr>
        <w:t>3. Tầm nhìn, mục tiêu và định vị giáo dục</w:t>
      </w:r>
    </w:p>
    <w:p>
      <w:r>
        <w:t>Northstar Finance Lab không hướng tới việc tạo ra những nhà giao dịch ngắn hạn (traders). Tầm nhìn của dự án là kiến tạo một thế hệ nhân sự tài chính chất lượng cao, có tư duy phân tích định lượng, hiểu rõ bản chất rủi ro vĩ mô và doanh nghiệp, và biết ứng dụng AI một cách thông minh trong nghiên cứu tài chính.</w:t>
      </w:r>
    </w:p>
    <w:p>
      <w:r>
        <w:t>Mục tiêu cụ thể của nền tảng bao gồm:</w:t>
      </w:r>
    </w:p>
    <w:p>
      <w:pPr>
        <w:pStyle w:val="ListBullet"/>
        <w:spacing w:before="40" w:after="80" w:line="276" w:lineRule="auto"/>
        <w:ind w:left="400"/>
      </w:pPr>
      <w:r>
        <w:rPr>
          <w:rFonts w:ascii="Calibri" w:hAnsi="Calibri"/>
          <w:b/>
          <w:color w:val="2D3748"/>
          <w:sz w:val="22"/>
        </w:rPr>
        <w:t xml:space="preserve">Đối với học thuật: </w:t>
      </w:r>
      <w:r>
        <w:rPr>
          <w:rFonts w:ascii="Calibri" w:hAnsi="Calibri"/>
          <w:color w:val="2D3748"/>
          <w:sz w:val="22"/>
        </w:rPr>
        <w:t>Phục vụ nghiên cứu khoa học sinh viên và các đồ án tốt nghiệp bằng công cụ backtest chiến lược học thuật chuẩn chỉnh.</w:t>
      </w:r>
    </w:p>
    <w:p>
      <w:pPr>
        <w:pStyle w:val="ListBullet"/>
        <w:spacing w:before="40" w:after="80" w:line="276" w:lineRule="auto"/>
        <w:ind w:left="400"/>
      </w:pPr>
      <w:r>
        <w:rPr>
          <w:rFonts w:ascii="Calibri" w:hAnsi="Calibri"/>
          <w:b/>
          <w:color w:val="2D3748"/>
          <w:sz w:val="22"/>
        </w:rPr>
        <w:t xml:space="preserve">Đối với giảng dạy và tự học: </w:t>
      </w:r>
      <w:r>
        <w:rPr>
          <w:rFonts w:ascii="Calibri" w:hAnsi="Calibri"/>
          <w:color w:val="2D3748"/>
          <w:sz w:val="22"/>
        </w:rPr>
        <w:t>Cung cấp hệ thống giải nghĩa bằng AI (AI Companion) giúp sinh viên học đến đâu hiểu số liệu đến đó, thay vì chỉ xem bảng biểu thụ động.</w:t>
      </w:r>
    </w:p>
    <w:p>
      <w:pPr>
        <w:pStyle w:val="ListBullet"/>
        <w:spacing w:before="40" w:after="80" w:line="276" w:lineRule="auto"/>
        <w:ind w:left="400"/>
      </w:pPr>
      <w:r>
        <w:rPr>
          <w:rFonts w:ascii="Calibri" w:hAnsi="Calibri"/>
          <w:b/>
          <w:color w:val="2D3748"/>
          <w:sz w:val="22"/>
        </w:rPr>
        <w:t xml:space="preserve">Đối với thực hành kỹ năng: </w:t>
      </w:r>
      <w:r>
        <w:rPr>
          <w:rFonts w:ascii="Calibri" w:hAnsi="Calibri"/>
          <w:color w:val="2D3748"/>
          <w:sz w:val="22"/>
        </w:rPr>
        <w:t>Thiết lập một môi trường mô phỏng (Simulation) có tính an toàn cao, nơi sinh viên được phép phạm sai lầm và rút ra bài học mà không mất tiền thật.</w:t>
      </w:r>
    </w:p>
    <w:p>
      <w:pPr>
        <w:keepNext/>
        <w:spacing w:before="240" w:after="120"/>
        <w:pBdr>
          <w:bottom w:val="single" w:sz="12" w:space="4" w:color="D69E2E"/>
        </w:pBdr>
      </w:pPr>
      <w:r>
        <w:rPr>
          <w:rFonts w:ascii="Calibri" w:hAnsi="Calibri"/>
          <w:b/>
          <w:color w:val="1A365D"/>
          <w:sz w:val="36"/>
        </w:rPr>
        <w:t>4. Đối tượng người dùng mục tiêu</w:t>
      </w:r>
    </w:p>
    <w:p>
      <w:r>
        <w:t>Nền tảng tập trung tối ưu hóa trải nghiệm cho ba nhóm đối tượng chính:</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A365D"/>
          </w:tcPr>
          <w:p>
            <w:pPr>
              <w:spacing w:before="120" w:after="120" w:line="276" w:lineRule="auto"/>
            </w:pPr>
            <w:r>
              <w:rPr>
                <w:rFonts w:ascii="Calibri" w:hAnsi="Calibri"/>
                <w:b/>
                <w:color w:val="FFFFFF"/>
                <w:sz w:val="21"/>
              </w:rPr>
              <w:t>Nhóm đối tượng</w:t>
            </w:r>
          </w:p>
        </w:tc>
        <w:tc>
          <w:tcPr>
            <w:tcW w:type="dxa" w:w="3312"/>
            <w:shd w:val="clear" w:color="auto" w:fill="1A365D"/>
          </w:tcPr>
          <w:p>
            <w:pPr>
              <w:spacing w:before="120" w:after="120" w:line="276" w:lineRule="auto"/>
            </w:pPr>
            <w:r>
              <w:rPr>
                <w:rFonts w:ascii="Calibri" w:hAnsi="Calibri"/>
                <w:b/>
                <w:color w:val="FFFFFF"/>
                <w:sz w:val="21"/>
              </w:rPr>
              <w:t>Nhu cầu cốt lõi</w:t>
            </w:r>
          </w:p>
        </w:tc>
        <w:tc>
          <w:tcPr>
            <w:tcW w:type="dxa" w:w="3456"/>
            <w:shd w:val="clear" w:color="auto" w:fill="1A365D"/>
          </w:tcPr>
          <w:p>
            <w:pPr>
              <w:spacing w:before="120" w:after="120" w:line="276" w:lineRule="auto"/>
            </w:pPr>
            <w:r>
              <w:rPr>
                <w:rFonts w:ascii="Calibri" w:hAnsi="Calibri"/>
                <w:b/>
                <w:color w:val="FFFFFF"/>
                <w:sz w:val="21"/>
              </w:rPr>
              <w:t>Giải pháp từ Northstar Finance Lab</w:t>
            </w:r>
          </w:p>
        </w:tc>
      </w:tr>
      <w:tr>
        <w:tc>
          <w:tcPr>
            <w:tcW w:type="dxa" w:w="2592"/>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Sinh viên khối Kinh tế (Tài chính, Ngân hàng, Kinh tế học)</w:t>
            </w:r>
          </w:p>
        </w:tc>
        <w:tc>
          <w:tcPr>
            <w:tcW w:type="dxa" w:w="3312"/>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Thực hành phân tích báo cáo doanh nghiệp, chạy mô phỏng danh mục, làm bài tập lớn, nghiên cứu khoa học.</w:t>
            </w:r>
          </w:p>
        </w:tc>
        <w:tc>
          <w:tcPr>
            <w:tcW w:type="dxa" w:w="3456"/>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Cung cấp dữ liệu VNStock tự động, quant engine (VAR, XGBoost, SHAP), AI giải thích và xuất báo cáo PDF/Word chuẩn.</w:t>
            </w:r>
          </w:p>
        </w:tc>
      </w:tr>
      <w:tr>
        <w:tc>
          <w:tcPr>
            <w:tcW w:type="dxa" w:w="2592"/>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Giảng viên Đại học / Người hướng dẫn</w:t>
            </w:r>
          </w:p>
        </w:tc>
        <w:tc>
          <w:tcPr>
            <w:tcW w:type="dxa" w:w="3312"/>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Tạo các phòng thực hành ảo, giao bài tập phân tích thực tế, theo dõi lộ trình và chấm điểm tự động bài làm sinh viên.</w:t>
            </w:r>
          </w:p>
        </w:tc>
        <w:tc>
          <w:tcPr>
            <w:tcW w:type="dxa" w:w="3456"/>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Tính năng 'Teacher Dashboard', tạo challenge lớp học, kiểm duyệt nội dung, chấm điểm báo cáo bằng AI chấm phụ.</w:t>
            </w:r>
          </w:p>
        </w:tc>
      </w:tr>
      <w:tr>
        <w:tc>
          <w:tcPr>
            <w:tcW w:type="dxa" w:w="2592"/>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Người tự học &amp; Nghiên cứu viên mới</w:t>
            </w:r>
          </w:p>
        </w:tc>
        <w:tc>
          <w:tcPr>
            <w:tcW w:type="dxa" w:w="3312"/>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Hệ thống hóa kiến thức kinh tế, học cách đọc tin tức vĩ mô và phân tích rủi ro một cách khoa học, không phím hàng.</w:t>
            </w:r>
          </w:p>
        </w:tc>
        <w:tc>
          <w:tcPr>
            <w:tcW w:type="dxa" w:w="3456"/>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Hệ thống bài học (Learning Hub), từ điển thuật ngữ tích hợp sẵn trong tin tức, chatbot tư vấn rủi ro 24/7.</w:t>
            </w:r>
          </w:p>
        </w:tc>
      </w:tr>
    </w:tbl>
    <w:p/>
    <w:p>
      <w:pPr>
        <w:keepNext/>
        <w:spacing w:before="240" w:after="120"/>
        <w:pBdr>
          <w:bottom w:val="single" w:sz="12" w:space="4" w:color="D69E2E"/>
        </w:pBdr>
      </w:pPr>
      <w:r>
        <w:rPr>
          <w:rFonts w:ascii="Calibri" w:hAnsi="Calibri"/>
          <w:b/>
          <w:color w:val="1A365D"/>
          <w:sz w:val="36"/>
        </w:rPr>
        <w:t>5. Hệ sinh thái module và chức năng hiện có</w:t>
      </w:r>
    </w:p>
    <w:p>
      <w:r>
        <w:t>Mã nguồn hiện tại của hệ thống (Risk Dashboard) đã xây dựng được một khung kiến trúc backend và frontend vững chắc với 22 module chức năng. Để phục vụ mục tiêu giáo dục, chúng tôi đề xuất tái định vị và tối ưu hóa các module này như sau:</w:t>
      </w:r>
    </w:p>
    <w:p>
      <w:pPr>
        <w:keepNext/>
        <w:spacing w:before="240" w:after="120"/>
      </w:pPr>
      <w:r>
        <w:rPr>
          <w:rFonts w:ascii="Calibri" w:hAnsi="Calibri"/>
          <w:b/>
          <w:color w:val="D69E2E"/>
          <w:sz w:val="28"/>
        </w:rPr>
        <w:t>Tái định vị các module trọng tâm</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1A365D"/>
          </w:tcPr>
          <w:p>
            <w:pPr>
              <w:spacing w:before="120" w:after="120" w:line="276" w:lineRule="auto"/>
            </w:pPr>
            <w:r>
              <w:rPr>
                <w:rFonts w:ascii="Calibri" w:hAnsi="Calibri"/>
                <w:b/>
                <w:color w:val="FFFFFF"/>
                <w:sz w:val="21"/>
              </w:rPr>
              <w:t>Tên Module hiện tại</w:t>
            </w:r>
          </w:p>
        </w:tc>
        <w:tc>
          <w:tcPr>
            <w:tcW w:type="dxa" w:w="3456"/>
            <w:shd w:val="clear" w:color="auto" w:fill="1A365D"/>
          </w:tcPr>
          <w:p>
            <w:pPr>
              <w:spacing w:before="120" w:after="120" w:line="276" w:lineRule="auto"/>
            </w:pPr>
            <w:r>
              <w:rPr>
                <w:rFonts w:ascii="Calibri" w:hAnsi="Calibri"/>
                <w:b/>
                <w:color w:val="FFFFFF"/>
                <w:sz w:val="21"/>
              </w:rPr>
              <w:t>Định vị cũ (Trading/Pro Dashboard)</w:t>
            </w:r>
          </w:p>
        </w:tc>
        <w:tc>
          <w:tcPr>
            <w:tcW w:type="dxa" w:w="3744"/>
            <w:shd w:val="clear" w:color="auto" w:fill="1A365D"/>
          </w:tcPr>
          <w:p>
            <w:pPr>
              <w:spacing w:before="120" w:after="120" w:line="276" w:lineRule="auto"/>
            </w:pPr>
            <w:r>
              <w:rPr>
                <w:rFonts w:ascii="Calibri" w:hAnsi="Calibri"/>
                <w:b/>
                <w:color w:val="FFFFFF"/>
                <w:sz w:val="21"/>
              </w:rPr>
              <w:t>Tái định vị mới (Education/Research Lab)</w:t>
            </w:r>
          </w:p>
        </w:tc>
      </w:tr>
      <w:tr>
        <w:tc>
          <w:tcPr>
            <w:tcW w:type="dxa" w:w="2160"/>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Pro Lab (Quant Risk)</w:t>
            </w:r>
          </w:p>
        </w:tc>
        <w:tc>
          <w:tcPr>
            <w:tcW w:type="dxa" w:w="3456"/>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Hệ thống hỗ trợ ra quyết định giao dịch chuyên nghiệp, cảnh báo tín hiệu.</w:t>
            </w:r>
          </w:p>
        </w:tc>
        <w:tc>
          <w:tcPr>
            <w:tcW w:type="dxa" w:w="3744"/>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Finance Research Lab: Sinh viên thiết lập giả thuyết nghiên cứu, AI tạo blueprint kiểm thử thuật toán, chạy backtest và đánh giá độ bền (Robustness Lab) chống overfitting.</w:t>
            </w:r>
          </w:p>
        </w:tc>
      </w:tr>
      <w:tr>
        <w:tc>
          <w:tcPr>
            <w:tcW w:type="dxa" w:w="2160"/>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Financials Product</w:t>
            </w:r>
          </w:p>
        </w:tc>
        <w:tc>
          <w:tcPr>
            <w:tcW w:type="dxa" w:w="3456"/>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Tra cứu báo cáo tài chính doanh nghiệp để tìm kiếm cơ hội đầu tư.</w:t>
            </w:r>
          </w:p>
        </w:tc>
        <w:tc>
          <w:tcPr>
            <w:tcW w:type="dxa" w:w="3744"/>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Case Study Analyst: Phân tích chất lượng tài sản doanh nghiệp, phát hiện Red Flags kế toán, so sánh biên lợi nhuận với trung vị ngành phục vụ môn học Phân tích BCTC.</w:t>
            </w:r>
          </w:p>
        </w:tc>
      </w:tr>
      <w:tr>
        <w:tc>
          <w:tcPr>
            <w:tcW w:type="dxa" w:w="2160"/>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News Intelligence</w:t>
            </w:r>
          </w:p>
        </w:tc>
        <w:tc>
          <w:tcPr>
            <w:tcW w:type="dxa" w:w="3456"/>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Cung cấp tin tức cập nhật và đo lường sentiment thị trường.</w:t>
            </w:r>
          </w:p>
        </w:tc>
        <w:tc>
          <w:tcPr>
            <w:tcW w:type="dxa" w:w="3744"/>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Econ News &amp; Dictionary: Tin tức tài chính vĩ mô đính kèm liên kết học liệu giải thích thuật ngữ (lãi suất OMO, tỷ giá chéo, CPI...) giúp sinh viên kết nối lý thuyết vĩ mô.</w:t>
            </w:r>
          </w:p>
        </w:tc>
      </w:tr>
      <w:tr>
        <w:tc>
          <w:tcPr>
            <w:tcW w:type="dxa" w:w="2160"/>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AI Assistant (Chat)</w:t>
            </w:r>
          </w:p>
        </w:tc>
        <w:tc>
          <w:tcPr>
            <w:tcW w:type="dxa" w:w="3456"/>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Tư vấn điểm mua/bán và phân tích cổ phiếu theo yêu cầu.</w:t>
            </w:r>
          </w:p>
        </w:tc>
        <w:tc>
          <w:tcPr>
            <w:tcW w:type="dxa" w:w="3744"/>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AI Companion &amp; Academic Tutor: Giải thích cơ chế của các mô hình toán học (vì sao VAR tăng, ý nghĩa của SHAP value), hướng dẫn sinh viên cách cải thiện mô hình.</w:t>
            </w:r>
          </w:p>
        </w:tc>
      </w:tr>
      <w:tr>
        <w:tc>
          <w:tcPr>
            <w:tcW w:type="dxa" w:w="2160"/>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Learning &amp; Onboarding</w:t>
            </w:r>
          </w:p>
        </w:tc>
        <w:tc>
          <w:tcPr>
            <w:tcW w:type="dxa" w:w="3456"/>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Hướng dẫn người dùng làm quen giao diện dashboard.</w:t>
            </w:r>
          </w:p>
        </w:tc>
        <w:tc>
          <w:tcPr>
            <w:tcW w:type="dxa" w:w="3744"/>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Financial Foundations: Thư viện bài giảng, quiz trắc nghiệm kinh tế học, kiểm tra năng lực đầu vào và phân lộ trình thực hành cá nhân hóa.</w:t>
            </w:r>
          </w:p>
        </w:tc>
      </w:tr>
    </w:tbl>
    <w:p/>
    <w:p>
      <w:pPr>
        <w:keepNext/>
        <w:spacing w:before="240" w:after="120"/>
      </w:pPr>
      <w:r>
        <w:rPr>
          <w:rFonts w:ascii="Calibri" w:hAnsi="Calibri"/>
          <w:b/>
          <w:color w:val="D69E2E"/>
          <w:sz w:val="28"/>
        </w:rPr>
        <w:t>Chi tiết các module chức năng hiện có trong Codebase</w:t>
      </w:r>
    </w:p>
    <w:p>
      <w:r>
        <w:t>Cấu trúc thư mục mã nguồn hiện có chứa các phần cốt lõi sẵn sàng cho việc nâng cấp:</w:t>
      </w:r>
    </w:p>
    <w:p>
      <w:pPr>
        <w:pStyle w:val="ListBullet"/>
        <w:spacing w:before="40" w:after="80" w:line="276" w:lineRule="auto"/>
        <w:ind w:left="400"/>
      </w:pPr>
      <w:r>
        <w:rPr>
          <w:rFonts w:ascii="Calibri" w:hAnsi="Calibri"/>
          <w:b/>
          <w:color w:val="2D3748"/>
          <w:sz w:val="22"/>
        </w:rPr>
        <w:t xml:space="preserve">Backend Layer (FastAPI): </w:t>
      </w:r>
      <w:r>
        <w:rPr>
          <w:rFonts w:ascii="Calibri" w:hAnsi="Calibri"/>
          <w:color w:val="2D3748"/>
          <w:sz w:val="22"/>
        </w:rPr>
        <w:t>Được xây dựng trên FastAPI, tự động ánh xạ 22 module nghiệp vụ thông qua cơ chế Auto-registry. Có sẵn hệ thống Middleware xử lý bảo mật API Key, phân quyền tài khoản (Pro/Public) và ghi log hoạt động hệ thống.</w:t>
      </w:r>
    </w:p>
    <w:p>
      <w:pPr>
        <w:pStyle w:val="ListBullet"/>
        <w:spacing w:before="40" w:after="80" w:line="276" w:lineRule="auto"/>
        <w:ind w:left="400"/>
      </w:pPr>
      <w:r>
        <w:rPr>
          <w:rFonts w:ascii="Calibri" w:hAnsi="Calibri"/>
          <w:b/>
          <w:color w:val="2D3748"/>
          <w:sz w:val="22"/>
        </w:rPr>
        <w:t xml:space="preserve">Frontend Layer (React): </w:t>
      </w:r>
      <w:r>
        <w:rPr>
          <w:rFonts w:ascii="Calibri" w:hAnsi="Calibri"/>
          <w:color w:val="2D3748"/>
          <w:sz w:val="22"/>
        </w:rPr>
        <w:t>Sử dụng React (Vite) kết hợp CSS Variables (tokens.css) để xây dựng giao diện tối giản, hiện đại. Các trang chính đã được dựng khung bao gồm: LearningHomePage, EducationPlatformPage, ProLabPage, GlobalTerminalPage (kèm News và Economic Calendar), GuidedInvestingPage, InsightsPage, và các trang quản trị (Admin pages).</w:t>
      </w:r>
    </w:p>
    <w:p>
      <w:pPr>
        <w:pStyle w:val="ListBullet"/>
        <w:spacing w:before="40" w:after="80" w:line="276" w:lineRule="auto"/>
        <w:ind w:left="400"/>
      </w:pPr>
      <w:r>
        <w:rPr>
          <w:rFonts w:ascii="Calibri" w:hAnsi="Calibri"/>
          <w:b/>
          <w:color w:val="2D3748"/>
          <w:sz w:val="22"/>
        </w:rPr>
        <w:t xml:space="preserve">Quantitative Risk Engine: </w:t>
      </w:r>
      <w:r>
        <w:rPr>
          <w:rFonts w:ascii="Calibri" w:hAnsi="Calibri"/>
          <w:color w:val="2D3748"/>
          <w:sz w:val="22"/>
        </w:rPr>
        <w:t>Đã cài đặt các thuật toán toán kinh tế và học máy: XGBoost risk classifier (phân loại rủi ro), GARCH (đo lường độ biến động), HMM (phân loại trạng thái thị trường bò/gấu), VAR (Vector AutoRegression phân tích tương quan đa biến), và SHAP (diễn giải mức độ đóng góp của các yếu tố vĩ mô/nội tại vào rủi ro).</w:t>
      </w:r>
    </w:p>
    <w:p>
      <w:pPr>
        <w:pStyle w:val="ListBullet"/>
        <w:spacing w:before="40" w:after="80" w:line="276" w:lineRule="auto"/>
        <w:ind w:left="400"/>
      </w:pPr>
      <w:r>
        <w:rPr>
          <w:rFonts w:ascii="Calibri" w:hAnsi="Calibri"/>
          <w:b/>
          <w:color w:val="2D3748"/>
          <w:sz w:val="22"/>
        </w:rPr>
        <w:t xml:space="preserve">Data Hub &amp; ETL Pipeline: </w:t>
      </w:r>
      <w:r>
        <w:rPr>
          <w:rFonts w:ascii="Calibri" w:hAnsi="Calibri"/>
          <w:color w:val="2D3748"/>
          <w:sz w:val="22"/>
        </w:rPr>
        <w:t>Có sẵn các connectors kết nối dữ liệu từ VNStock (cổ phiếu Việt Nam), yfinance (chỉ số quốc tế), World Bank (dữ liệu vĩ mô toàn cầu) và hệ thống nạp dữ liệu từ CSV/Google Drive.</w:t>
      </w:r>
    </w:p>
    <w:p>
      <w:pPr>
        <w:pStyle w:val="ListBullet"/>
        <w:spacing w:before="40" w:after="80" w:line="276" w:lineRule="auto"/>
        <w:ind w:left="400"/>
      </w:pPr>
      <w:r>
        <w:rPr>
          <w:rFonts w:ascii="Calibri" w:hAnsi="Calibri"/>
          <w:b/>
          <w:color w:val="2D3748"/>
          <w:sz w:val="22"/>
        </w:rPr>
        <w:t xml:space="preserve">AI Agents &amp; Companion System: </w:t>
      </w:r>
      <w:r>
        <w:rPr>
          <w:rFonts w:ascii="Calibri" w:hAnsi="Calibri"/>
          <w:color w:val="2D3748"/>
          <w:sz w:val="22"/>
        </w:rPr>
        <w:t>Được phát triển bằng LangGraph, hỗ trợ chat đa lượt (multi-turn) và cơ chế Multi-agent supervisor giúp điều phối các tác nhân chuyên trách (Tác nhân Vĩ mô, Tác nhân Phân tích Doanh nghiệp, Tác nhân Kiểm duyệt dữ liệu).</w:t>
      </w:r>
    </w:p>
    <w:p>
      <w:r>
        <w:br w:type="page"/>
      </w:r>
    </w:p>
    <w:p>
      <w:pPr>
        <w:keepNext/>
        <w:spacing w:before="240" w:after="120"/>
        <w:pBdr>
          <w:bottom w:val="single" w:sz="12" w:space="4" w:color="D69E2E"/>
        </w:pBdr>
      </w:pPr>
      <w:r>
        <w:rPr>
          <w:rFonts w:ascii="Calibri" w:hAnsi="Calibri"/>
          <w:b/>
          <w:color w:val="1A365D"/>
          <w:sz w:val="36"/>
        </w:rPr>
        <w:t>6. Mục tiêu hướng tới để hoàn thiện nền tảng mô phỏng</w:t>
      </w:r>
    </w:p>
    <w:p>
      <w:r>
        <w:t>Để biến hệ thống hiện tại thành một nền tảng thực hành mô phỏng hoàn chỉnh cho sinh viên tài chính, chúng ta cần tập trung nghiên cứu, phát triển và tích hợp 5 nhóm tính năng nâng cấp cốt lõi sau:</w:t>
      </w:r>
    </w:p>
    <w:p>
      <w:pPr>
        <w:keepNext/>
        <w:spacing w:before="240" w:after="120"/>
      </w:pPr>
      <w:r>
        <w:rPr>
          <w:rFonts w:ascii="Calibri" w:hAnsi="Calibri"/>
          <w:b/>
          <w:color w:val="D69E2E"/>
          <w:sz w:val="28"/>
        </w:rPr>
        <w:t>Tính năng 1: Giao dịch mô phỏng phi rủi ro (Paper Trading Simulation)</w:t>
      </w:r>
    </w:p>
    <w:p>
      <w:r>
        <w:t>Tích hợp hệ thống tài khoản ảo (sandbox) cập nhật số liệu cuối ngày (EOD) hoặc thời gian thực từ thị trường chứng khoán Việt Nam. Sinh viên sẽ được cấp một số vốn ảo (ví dụ: 100,000,000 VND) để thực hiện mua/bán cổ phiếu, áp dụng các lý thuyết quản lý danh mục đầu tư.</w:t>
      </w:r>
    </w:p>
    <w:p>
      <w:pPr>
        <w:pStyle w:val="ListBullet"/>
        <w:spacing w:before="40" w:after="80" w:line="276" w:lineRule="auto"/>
        <w:ind w:left="400"/>
      </w:pPr>
      <w:r>
        <w:rPr>
          <w:rFonts w:ascii="Calibri" w:hAnsi="Calibri"/>
          <w:color w:val="2D3748"/>
          <w:sz w:val="22"/>
        </w:rPr>
        <w:t>Tập trung vào quản lý tỷ trọng danh mục và theo dõi các chỉ số hiệu quả: Sharpe Ratio, Sortino Ratio, Beta hệ thống, Beta phi hệ thống.</w:t>
      </w:r>
    </w:p>
    <w:p>
      <w:pPr>
        <w:pStyle w:val="ListBullet"/>
        <w:spacing w:before="40" w:after="80" w:line="276" w:lineRule="auto"/>
        <w:ind w:left="400"/>
      </w:pPr>
      <w:r>
        <w:rPr>
          <w:rFonts w:ascii="Calibri" w:hAnsi="Calibri"/>
          <w:color w:val="2D3748"/>
          <w:sz w:val="22"/>
        </w:rPr>
        <w:t>Ghi nhận nhật ký giao dịch (Trading Journal) bắt buộc: Sinh viên phải nhập lý do mua/bán dựa trên lý thuyết kinh tế hoặc kết quả phân tích định lượng trước khi đặt lệnh.</w:t>
      </w:r>
    </w:p>
    <w:p>
      <w:pPr>
        <w:keepNext/>
        <w:spacing w:before="240" w:after="120"/>
      </w:pPr>
      <w:r>
        <w:rPr>
          <w:rFonts w:ascii="Calibri" w:hAnsi="Calibri"/>
          <w:b/>
          <w:color w:val="D69E2E"/>
          <w:sz w:val="28"/>
        </w:rPr>
        <w:t>Tính năng 2: Hội đồng phản biện AI (AI Research Review Committee)</w:t>
      </w:r>
    </w:p>
    <w:p>
      <w:r>
        <w:t>Đây là tính năng độc đáo mang tính giáo dục cao. Khi sinh viên thiết kế một chiến lược giao dịch hoặc một danh mục đầu tư trong phần Finance Research Lab, một nhóm các tác nhân AI (AI Agents) đóng vai trò là 'Hội đồng phản biện học thuật' sẽ đánh giá chiến lược:</w:t>
      </w:r>
    </w:p>
    <w:p>
      <w:pPr>
        <w:pStyle w:val="ListBullet"/>
        <w:spacing w:before="40" w:after="80" w:line="276" w:lineRule="auto"/>
        <w:ind w:left="400"/>
      </w:pPr>
      <w:r>
        <w:rPr>
          <w:rFonts w:ascii="Calibri" w:hAnsi="Calibri"/>
          <w:color w:val="2D3748"/>
          <w:sz w:val="22"/>
        </w:rPr>
        <w:t>Tác nhân Phản biện Thống kê: Kiểm tra rủi ro Overfitting (quá khớp dữ liệu lịch sử) và Look-ahead bias (sử dụng thông tin tương lai để đưa ra quyết định quá khứ).</w:t>
      </w:r>
    </w:p>
    <w:p>
      <w:pPr>
        <w:pStyle w:val="ListBullet"/>
        <w:spacing w:before="40" w:after="80" w:line="276" w:lineRule="auto"/>
        <w:ind w:left="400"/>
      </w:pPr>
      <w:r>
        <w:rPr>
          <w:rFonts w:ascii="Calibri" w:hAnsi="Calibri"/>
          <w:color w:val="2D3748"/>
          <w:sz w:val="22"/>
        </w:rPr>
        <w:t>Tác nhân Phản biện Thanh khoản: Cảnh báo nếu sinh viên thiết kế danh mục tập trung vào các cổ phiếu rác, thanh khoản quá thấp không thể thực thi trong thực tế.</w:t>
      </w:r>
    </w:p>
    <w:p>
      <w:pPr>
        <w:pStyle w:val="ListBullet"/>
        <w:spacing w:before="40" w:after="80" w:line="276" w:lineRule="auto"/>
        <w:ind w:left="400"/>
      </w:pPr>
      <w:r>
        <w:rPr>
          <w:rFonts w:ascii="Calibri" w:hAnsi="Calibri"/>
          <w:color w:val="2D3748"/>
          <w:sz w:val="22"/>
        </w:rPr>
        <w:t>Tác nhân Phản biện Chi phí: Tính toán tác động của thuế, phí giao dịch và trượt giá (slippage) - những yếu tố sinh viên thường bỏ qua trong lý thuyết nhưng lại quyết định sự thành bại trong thực tế.</w:t>
      </w:r>
    </w:p>
    <w:p>
      <w:pPr>
        <w:keepNext/>
        <w:spacing w:before="240" w:after="120"/>
      </w:pPr>
      <w:r>
        <w:rPr>
          <w:rFonts w:ascii="Calibri" w:hAnsi="Calibri"/>
          <w:b/>
          <w:color w:val="D69E2E"/>
          <w:sz w:val="28"/>
        </w:rPr>
        <w:t>Tính năng 3: Quản lý lớp học dành cho Giảng viên (Teacher Dashboard)</w:t>
      </w:r>
    </w:p>
    <w:p>
      <w:r>
        <w:t>Giúp biến Northstar Finance Lab thành một giáo cụ giảng dạy trực quan trong các giảng đường đại học:</w:t>
      </w:r>
    </w:p>
    <w:p>
      <w:pPr>
        <w:pStyle w:val="ListBullet"/>
        <w:spacing w:before="40" w:after="80" w:line="276" w:lineRule="auto"/>
        <w:ind w:left="400"/>
      </w:pPr>
      <w:r>
        <w:rPr>
          <w:rFonts w:ascii="Calibri" w:hAnsi="Calibri"/>
          <w:color w:val="2D3748"/>
          <w:sz w:val="22"/>
        </w:rPr>
        <w:t>Tạo Phòng thực hành ảo (Virtual Classroom): Giảng viên có thể mời sinh viên tham gia bằng code lớp học.</w:t>
      </w:r>
    </w:p>
    <w:p>
      <w:pPr>
        <w:pStyle w:val="ListBullet"/>
        <w:spacing w:before="40" w:after="80" w:line="276" w:lineRule="auto"/>
        <w:ind w:left="400"/>
      </w:pPr>
      <w:r>
        <w:rPr>
          <w:rFonts w:ascii="Calibri" w:hAnsi="Calibri"/>
          <w:color w:val="2D3748"/>
          <w:sz w:val="22"/>
        </w:rPr>
        <w:t>Thiết lập Thử thách (Classroom Challenges): Ví dụ: 'Tạo danh mục đầu tư chống chịu cú sốc lạm phát tăng 2% trong giai đoạn 2020-2022' hoặc 'Tìm kiếm 3 doanh nghiệp có rủi ro phá sản cao nhất dựa trên chỉ số Altman Z-Score'.</w:t>
      </w:r>
    </w:p>
    <w:p>
      <w:pPr>
        <w:pStyle w:val="ListBullet"/>
        <w:spacing w:before="40" w:after="80" w:line="276" w:lineRule="auto"/>
        <w:ind w:left="400"/>
      </w:pPr>
      <w:r>
        <w:rPr>
          <w:rFonts w:ascii="Calibri" w:hAnsi="Calibri"/>
          <w:color w:val="2D3748"/>
          <w:sz w:val="22"/>
        </w:rPr>
        <w:t>Giám sát &amp; Chấm điểm: Giảng viên có thể xem lịch sử giao dịch mô phỏng, nhật ký lý do đặt lệnh của từng sinh viên, và xem điểm đánh giá sơ bộ do AI chấm dựa trên tính khoa học của báo cáo.</w:t>
      </w:r>
    </w:p>
    <w:p>
      <w:pPr>
        <w:keepNext/>
        <w:spacing w:before="240" w:after="120"/>
      </w:pPr>
      <w:r>
        <w:rPr>
          <w:rFonts w:ascii="Calibri" w:hAnsi="Calibri"/>
          <w:b/>
          <w:color w:val="D69E2E"/>
          <w:sz w:val="28"/>
        </w:rPr>
        <w:t>Tính năng 4: Trình tạo báo cáo nghiên cứu học thuật (Report Builder)</w:t>
      </w:r>
    </w:p>
    <w:p>
      <w:r>
        <w:t>Hỗ trợ sinh viên kỹ năng trình bày kết quả nghiên cứu - một kỹ năng cực kỳ quan trọng trong môi trường làm việc chuyên nghiệp.</w:t>
      </w:r>
    </w:p>
    <w:p>
      <w:pPr>
        <w:pStyle w:val="ListBullet"/>
        <w:spacing w:before="40" w:after="80" w:line="276" w:lineRule="auto"/>
        <w:ind w:left="400"/>
      </w:pPr>
      <w:r>
        <w:rPr>
          <w:rFonts w:ascii="Calibri" w:hAnsi="Calibri"/>
          <w:color w:val="2D3748"/>
          <w:sz w:val="22"/>
        </w:rPr>
        <w:t>Tích hợp mẫu báo cáo phân tích tài chính doanh nghiệp (Equity Research Report) và báo cáo kiểm định chiến lược (Quant Strategy Report).</w:t>
      </w:r>
    </w:p>
    <w:p>
      <w:pPr>
        <w:pStyle w:val="ListBullet"/>
        <w:spacing w:before="40" w:after="80" w:line="276" w:lineRule="auto"/>
        <w:ind w:left="400"/>
      </w:pPr>
      <w:r>
        <w:rPr>
          <w:rFonts w:ascii="Calibri" w:hAnsi="Calibri"/>
          <w:color w:val="2D3748"/>
          <w:sz w:val="22"/>
        </w:rPr>
        <w:t>Cho phép kéo thả các biểu đồ phân tích kỹ thuật, biểu đồ rủi ro SHAP, bảng phân tích tỷ số tài chính trực tiếp từ dashboard vào báo cáo.</w:t>
      </w:r>
    </w:p>
    <w:p>
      <w:pPr>
        <w:pStyle w:val="ListBullet"/>
        <w:spacing w:before="40" w:after="80" w:line="276" w:lineRule="auto"/>
        <w:ind w:left="400"/>
      </w:pPr>
      <w:r>
        <w:rPr>
          <w:rFonts w:ascii="Calibri" w:hAnsi="Calibri"/>
          <w:color w:val="2D3748"/>
          <w:sz w:val="22"/>
        </w:rPr>
        <w:t>Xuất bản báo cáo ra file PDF/Word có định dạng chuẩn học thuật để nộp bài tập lớn hoặc chia sẻ lên cộng đồng.</w:t>
      </w:r>
    </w:p>
    <w:p>
      <w:pPr>
        <w:keepNext/>
        <w:spacing w:before="240" w:after="120"/>
      </w:pPr>
      <w:r>
        <w:rPr>
          <w:rFonts w:ascii="Calibri" w:hAnsi="Calibri"/>
          <w:b/>
          <w:color w:val="D69E2E"/>
          <w:sz w:val="28"/>
        </w:rPr>
        <w:t>Tính năng 5: Hệ thống nhiệm vụ thực hành và Cá nhân hóa (Gamification Hub)</w:t>
      </w:r>
    </w:p>
    <w:p>
      <w:r>
        <w:t>Tạo ra động lực tự học liên tục thông qua các cột mốc thực hành rõ ràng:</w:t>
      </w:r>
    </w:p>
    <w:p>
      <w:pPr>
        <w:pStyle w:val="ListBullet"/>
        <w:spacing w:before="40" w:after="80" w:line="276" w:lineRule="auto"/>
        <w:ind w:left="400"/>
      </w:pPr>
      <w:r>
        <w:rPr>
          <w:rFonts w:ascii="Calibri" w:hAnsi="Calibri"/>
          <w:color w:val="2D3748"/>
          <w:sz w:val="22"/>
        </w:rPr>
        <w:t>Học viên được phân loại trình độ đầu vào qua bài test nhanh và nhận lộ trình thực hành cá nhân hóa.</w:t>
      </w:r>
    </w:p>
    <w:p>
      <w:pPr>
        <w:pStyle w:val="ListBullet"/>
        <w:spacing w:before="40" w:after="80" w:line="276" w:lineRule="auto"/>
        <w:ind w:left="400"/>
      </w:pPr>
      <w:r>
        <w:rPr>
          <w:rFonts w:ascii="Calibri" w:hAnsi="Calibri"/>
          <w:color w:val="2D3748"/>
          <w:sz w:val="22"/>
        </w:rPr>
        <w:t>Thiết kế chuỗi nhiệm vụ từ cơ bản đến nâng cao (ví dụ: 'Nhiệm vụ 1: Tìm hiểu 5 cổ phiếu ngành ngân hàng và so sánh tỷ lệ nợ xấu NPL', 'Nhiệm vụ 2: Chạy mô hình VAR để tìm mối tương quan giữa tỷ giá USD/VND và chỉ số VN-Index').</w:t>
      </w:r>
    </w:p>
    <w:p>
      <w:pPr>
        <w:pStyle w:val="ListBullet"/>
        <w:spacing w:before="40" w:after="80" w:line="276" w:lineRule="auto"/>
        <w:ind w:left="400"/>
      </w:pPr>
      <w:r>
        <w:rPr>
          <w:rFonts w:ascii="Calibri" w:hAnsi="Calibri"/>
          <w:color w:val="2D3748"/>
          <w:sz w:val="22"/>
        </w:rPr>
        <w:t>Bảng xếp hạng hiệu quả danh mục đầu tư mô phỏng (không khuyến khích đầu cơ, tập trung xếp hạng dựa trên Sharpe Ratio và mức độ kiểm soát drawdown).</w:t>
      </w:r>
    </w:p>
    <w:p>
      <w:pPr>
        <w:keepNext/>
        <w:spacing w:before="240" w:after="120"/>
        <w:pBdr>
          <w:bottom w:val="single" w:sz="12" w:space="4" w:color="D69E2E"/>
        </w:pBdr>
      </w:pPr>
      <w:r>
        <w:rPr>
          <w:rFonts w:ascii="Calibri" w:hAnsi="Calibri"/>
          <w:b/>
          <w:color w:val="1A365D"/>
          <w:sz w:val="36"/>
        </w:rPr>
        <w:t>7. Luồng trải nghiệm học tập và nghiên cứu (User Journey)</w:t>
      </w:r>
    </w:p>
    <w:p>
      <w:r>
        <w:t>Nền tảng được thiết kế linh hoạt để đáp ứng các mức độ năng lực và mục tiêu học tập khác nhau:</w:t>
      </w:r>
    </w:p>
    <w:p>
      <w:pPr>
        <w:keepNext/>
        <w:spacing w:before="240" w:after="120"/>
      </w:pPr>
      <w:r>
        <w:rPr>
          <w:rFonts w:ascii="Calibri" w:hAnsi="Calibri"/>
          <w:b/>
          <w:color w:val="D69E2E"/>
          <w:sz w:val="28"/>
        </w:rPr>
        <w:t>7.1. Luồng dành cho Học viên mới bắt đầu (Beginner Journey)</w:t>
      </w:r>
    </w:p>
    <w:p>
      <w:pPr>
        <w:pStyle w:val="ListBullet"/>
        <w:spacing w:before="40" w:after="80" w:line="276" w:lineRule="auto"/>
        <w:ind w:left="400"/>
      </w:pPr>
      <w:r>
        <w:rPr>
          <w:rFonts w:ascii="Calibri" w:hAnsi="Calibri"/>
          <w:color w:val="2D3748"/>
          <w:sz w:val="22"/>
        </w:rPr>
        <w:t>Bước 1: Học viên đăng ký tài khoản, hoàn thành bài kiểm tra năng lực cơ bản để hệ thống gợi ý lộ trình.</w:t>
      </w:r>
    </w:p>
    <w:p>
      <w:pPr>
        <w:pStyle w:val="ListBullet"/>
        <w:spacing w:before="40" w:after="80" w:line="276" w:lineRule="auto"/>
        <w:ind w:left="400"/>
      </w:pPr>
      <w:r>
        <w:rPr>
          <w:rFonts w:ascii="Calibri" w:hAnsi="Calibri"/>
          <w:color w:val="2D3748"/>
          <w:sz w:val="22"/>
        </w:rPr>
        <w:t>Bước 2: Vào Learning Hub học các bài lý thuyết cốt lõi về kinh tế vĩ mô, cấu trúc báo cáo tài chính doanh nghiệp.</w:t>
      </w:r>
    </w:p>
    <w:p>
      <w:pPr>
        <w:pStyle w:val="ListBullet"/>
        <w:spacing w:before="40" w:after="80" w:line="276" w:lineRule="auto"/>
        <w:ind w:left="400"/>
      </w:pPr>
      <w:r>
        <w:rPr>
          <w:rFonts w:ascii="Calibri" w:hAnsi="Calibri"/>
          <w:color w:val="2D3748"/>
          <w:sz w:val="22"/>
        </w:rPr>
        <w:t>Bước 3: Đọc tin tức hàng ngày tại Econ News. Khi gặp các thuật ngữ khó, học viên click trực tiếp để xem định nghĩa và ví dụ trực quan.</w:t>
      </w:r>
    </w:p>
    <w:p>
      <w:pPr>
        <w:pStyle w:val="ListBullet"/>
        <w:spacing w:before="40" w:after="80" w:line="276" w:lineRule="auto"/>
        <w:ind w:left="400"/>
      </w:pPr>
      <w:r>
        <w:rPr>
          <w:rFonts w:ascii="Calibri" w:hAnsi="Calibri"/>
          <w:color w:val="2D3748"/>
          <w:sz w:val="22"/>
        </w:rPr>
        <w:t>Bước 4: Thực hành tạo Watchlist cá nhân và thực hiện mua/bán ảo đầu tiên với vốn cấp sẵn, bắt buộc ghi lại lý do lý thuyết hỗ trợ quyết định.</w:t>
      </w:r>
    </w:p>
    <w:p>
      <w:pPr>
        <w:keepNext/>
        <w:spacing w:before="240" w:after="120"/>
      </w:pPr>
      <w:r>
        <w:rPr>
          <w:rFonts w:ascii="Calibri" w:hAnsi="Calibri"/>
          <w:b/>
          <w:color w:val="D69E2E"/>
          <w:sz w:val="28"/>
        </w:rPr>
        <w:t>7.2. Luồng dành cho Học viên thực hành Phân tích doanh nghiệp</w:t>
      </w:r>
    </w:p>
    <w:p>
      <w:pPr>
        <w:pStyle w:val="ListBullet"/>
        <w:spacing w:before="40" w:after="80" w:line="276" w:lineRule="auto"/>
        <w:ind w:left="400"/>
      </w:pPr>
      <w:r>
        <w:rPr>
          <w:rFonts w:ascii="Calibri" w:hAnsi="Calibri"/>
          <w:color w:val="2D3748"/>
          <w:sz w:val="22"/>
        </w:rPr>
        <w:t>Bước 1: Giảng viên giao nhiệm vụ phân tích doanh nghiệp thuộc ngành Bất động sản.</w:t>
      </w:r>
    </w:p>
    <w:p>
      <w:pPr>
        <w:pStyle w:val="ListBullet"/>
        <w:spacing w:before="40" w:after="80" w:line="276" w:lineRule="auto"/>
        <w:ind w:left="400"/>
      </w:pPr>
      <w:r>
        <w:rPr>
          <w:rFonts w:ascii="Calibri" w:hAnsi="Calibri"/>
          <w:color w:val="2D3748"/>
          <w:sz w:val="22"/>
        </w:rPr>
        <w:t>Bước 2: Học viên mở Financials Product, chọn mã cổ phiếu mục tiêu để xem snapshot tài chính và so sánh với trung vị ngành.</w:t>
      </w:r>
    </w:p>
    <w:p>
      <w:pPr>
        <w:pStyle w:val="ListBullet"/>
        <w:spacing w:before="40" w:after="80" w:line="276" w:lineRule="auto"/>
        <w:ind w:left="400"/>
      </w:pPr>
      <w:r>
        <w:rPr>
          <w:rFonts w:ascii="Calibri" w:hAnsi="Calibri"/>
          <w:color w:val="2D3748"/>
          <w:sz w:val="22"/>
        </w:rPr>
        <w:t>Bước 3: Sử dụng các biểu đồ chất lượng dòng tiền và sức mạnh bảng cân đối để nhận diện các 'Red Flags' (ví dụ: khoản phải thu tăng đột biến, dòng tiền kinh doanh âm kéo dài).</w:t>
      </w:r>
    </w:p>
    <w:p>
      <w:pPr>
        <w:pStyle w:val="ListBullet"/>
        <w:spacing w:before="40" w:after="80" w:line="276" w:lineRule="auto"/>
        <w:ind w:left="400"/>
      </w:pPr>
      <w:r>
        <w:rPr>
          <w:rFonts w:ascii="Calibri" w:hAnsi="Calibri"/>
          <w:color w:val="2D3748"/>
          <w:sz w:val="22"/>
        </w:rPr>
        <w:t>Bước 4: Hỏi đáp trực tiếp với AI Analyst về các điểm bất thường trên thuyết minh báo cáo tài chính.</w:t>
      </w:r>
    </w:p>
    <w:p>
      <w:pPr>
        <w:pStyle w:val="ListBullet"/>
        <w:spacing w:before="40" w:after="80" w:line="276" w:lineRule="auto"/>
        <w:ind w:left="400"/>
      </w:pPr>
      <w:r>
        <w:rPr>
          <w:rFonts w:ascii="Calibri" w:hAnsi="Calibri"/>
          <w:color w:val="2D3748"/>
          <w:sz w:val="22"/>
        </w:rPr>
        <w:t>Bước 5: Dùng Report Builder kết xuất báo cáo phân tích chi tiết để nộp bài tập môn học.</w:t>
      </w:r>
    </w:p>
    <w:p>
      <w:pPr>
        <w:keepNext/>
        <w:spacing w:before="240" w:after="120"/>
      </w:pPr>
      <w:r>
        <w:rPr>
          <w:rFonts w:ascii="Calibri" w:hAnsi="Calibri"/>
          <w:b/>
          <w:color w:val="D69E2E"/>
          <w:sz w:val="28"/>
        </w:rPr>
        <w:t>7.3. Luồng dành cho Sinh viên Nghiên cứu định lượng nâng cao (Quant Research)</w:t>
      </w:r>
    </w:p>
    <w:p>
      <w:pPr>
        <w:pStyle w:val="ListBullet"/>
        <w:spacing w:before="40" w:after="80" w:line="276" w:lineRule="auto"/>
        <w:ind w:left="400"/>
      </w:pPr>
      <w:r>
        <w:rPr>
          <w:rFonts w:ascii="Calibri" w:hAnsi="Calibri"/>
          <w:color w:val="2D3748"/>
          <w:sz w:val="22"/>
        </w:rPr>
        <w:t>Bước 1: Sinh viên nhập ý tưởng nghiên cứu vào Finance Research Lab (ví dụ: 'Kiểm định chiến lược mua cổ phiếu tăng trưởng giá trị có ROE &gt; 15% kết hợp chỉ báo RSI').</w:t>
      </w:r>
    </w:p>
    <w:p>
      <w:pPr>
        <w:pStyle w:val="ListBullet"/>
        <w:spacing w:before="40" w:after="80" w:line="276" w:lineRule="auto"/>
        <w:ind w:left="400"/>
      </w:pPr>
      <w:r>
        <w:rPr>
          <w:rFonts w:ascii="Calibri" w:hAnsi="Calibri"/>
          <w:color w:val="2D3748"/>
          <w:sz w:val="22"/>
        </w:rPr>
        <w:t>Bước 2: AI thiết lập Research Blueprint gồm: Tập vũ trụ (Universe), các tín hiệu (Signals), điểm so sánh (Benchmark), giả định chi phí giao dịch.</w:t>
      </w:r>
    </w:p>
    <w:p>
      <w:pPr>
        <w:pStyle w:val="ListBullet"/>
        <w:spacing w:before="40" w:after="80" w:line="276" w:lineRule="auto"/>
        <w:ind w:left="400"/>
      </w:pPr>
      <w:r>
        <w:rPr>
          <w:rFonts w:ascii="Calibri" w:hAnsi="Calibri"/>
          <w:color w:val="2D3748"/>
          <w:sz w:val="22"/>
        </w:rPr>
        <w:t>Bước 3: Hội đồng phản biện AI phản hồi về các lỗ hổng hệ thống: cảnh báo look-ahead bias và overfitting dữ liệu quá khứ.</w:t>
      </w:r>
    </w:p>
    <w:p>
      <w:pPr>
        <w:pStyle w:val="ListBullet"/>
        <w:spacing w:before="40" w:after="80" w:line="276" w:lineRule="auto"/>
        <w:ind w:left="400"/>
      </w:pPr>
      <w:r>
        <w:rPr>
          <w:rFonts w:ascii="Calibri" w:hAnsi="Calibri"/>
          <w:color w:val="2D3748"/>
          <w:sz w:val="22"/>
        </w:rPr>
        <w:t>Bước 4: Sinh viên điều chỉnh các tham số, chạy kiểm định lịch sử (Historical Backtest) và chạy phân tích kịch bản xấu (Stress Test/Scenario).</w:t>
      </w:r>
    </w:p>
    <w:p>
      <w:pPr>
        <w:pStyle w:val="ListBullet"/>
        <w:spacing w:before="40" w:after="80" w:line="276" w:lineRule="auto"/>
        <w:ind w:left="400"/>
      </w:pPr>
      <w:r>
        <w:rPr>
          <w:rFonts w:ascii="Calibri" w:hAnsi="Calibri"/>
          <w:color w:val="2D3748"/>
          <w:sz w:val="22"/>
        </w:rPr>
        <w:t>Bước 5: Chạy Robustness Lab để đánh giá hiệu quả ngoài mẫu (Out-Of-Sample) và độ nhạy của chi phí giao dịch.</w:t>
      </w:r>
    </w:p>
    <w:p>
      <w:pPr>
        <w:pStyle w:val="ListBullet"/>
        <w:spacing w:before="40" w:after="80" w:line="276" w:lineRule="auto"/>
        <w:ind w:left="400"/>
      </w:pPr>
      <w:r>
        <w:rPr>
          <w:rFonts w:ascii="Calibri" w:hAnsi="Calibri"/>
          <w:color w:val="2D3748"/>
          <w:sz w:val="22"/>
        </w:rPr>
        <w:t>Bước 6: Ghi chép Research Journal và tạo file báo cáo kết quả nghiên cứu hoàn chỉnh phục vụ nghiên cứu khoa học cấp khoa/trường.</w:t>
      </w:r>
    </w:p>
    <w:p>
      <w:r>
        <w:br w:type="page"/>
      </w:r>
    </w:p>
    <w:p>
      <w:pPr>
        <w:keepNext/>
        <w:spacing w:before="240" w:after="120"/>
        <w:pBdr>
          <w:bottom w:val="single" w:sz="12" w:space="4" w:color="D69E2E"/>
        </w:pBdr>
      </w:pPr>
      <w:r>
        <w:rPr>
          <w:rFonts w:ascii="Calibri" w:hAnsi="Calibri"/>
          <w:b/>
          <w:color w:val="1A365D"/>
          <w:sz w:val="36"/>
        </w:rPr>
        <w:t>8. Quy định về Trust, Safety và giới hạn sử dụng (Guardrails)</w:t>
      </w:r>
    </w:p>
    <w:p>
      <w:r>
        <w:t>Vì nền tảng phục vụ mục đích giáo dục và nghiên cứu học thuật, việc thiết lập các hàng rào an toàn thông tin và phòng ngừa rủi ro hiểu lầm là bắt buộc:</w:t>
      </w:r>
    </w:p>
    <w:p>
      <w:pPr>
        <w:pStyle w:val="ListBullet"/>
        <w:spacing w:before="40" w:after="80" w:line="276" w:lineRule="auto"/>
        <w:ind w:left="400"/>
      </w:pPr>
      <w:r>
        <w:rPr>
          <w:rFonts w:ascii="Calibri" w:hAnsi="Calibri"/>
          <w:b/>
          <w:color w:val="2D3748"/>
          <w:sz w:val="22"/>
        </w:rPr>
        <w:t xml:space="preserve">Không tích hợp giao dịch tiền thật: </w:t>
      </w:r>
      <w:r>
        <w:rPr>
          <w:rFonts w:ascii="Calibri" w:hAnsi="Calibri"/>
          <w:color w:val="2D3748"/>
          <w:sz w:val="22"/>
        </w:rPr>
        <w:t>Nền tảng hoàn toàn phi thương mại, không liên kết trực tiếp với bất kỳ công ty chứng khoán nào để mở tài khoản thật và tuyệt đối không có nút đặt lệnh thật trong giao diện người dùng học sinh sinh viên.</w:t>
      </w:r>
    </w:p>
    <w:p>
      <w:pPr>
        <w:pStyle w:val="ListBullet"/>
        <w:spacing w:before="40" w:after="80" w:line="276" w:lineRule="auto"/>
        <w:ind w:left="400"/>
      </w:pPr>
      <w:r>
        <w:rPr>
          <w:rFonts w:ascii="Calibri" w:hAnsi="Calibri"/>
          <w:b/>
          <w:color w:val="2D3748"/>
          <w:sz w:val="22"/>
        </w:rPr>
        <w:t xml:space="preserve">Gắn nhãn cảnh báo học thuật (Research/Paper Only): </w:t>
      </w:r>
      <w:r>
        <w:rPr>
          <w:rFonts w:ascii="Calibri" w:hAnsi="Calibri"/>
          <w:color w:val="2D3748"/>
          <w:sz w:val="22"/>
        </w:rPr>
        <w:t>Mọi màn hình phân tích, backtest và khuyến nghị của AI Agent đều phải hiển thị dòng chữ cảnh báo rõ ràng: 'Dữ liệu phục vụ mục đích học tập và thực hành giả lập. Không cấu thành lời khuyên đầu tư tài chính'.</w:t>
      </w:r>
    </w:p>
    <w:p>
      <w:pPr>
        <w:pStyle w:val="ListBullet"/>
        <w:spacing w:before="40" w:after="80" w:line="276" w:lineRule="auto"/>
        <w:ind w:left="400"/>
      </w:pPr>
      <w:r>
        <w:rPr>
          <w:rFonts w:ascii="Calibri" w:hAnsi="Calibri"/>
          <w:b/>
          <w:color w:val="2D3748"/>
          <w:sz w:val="22"/>
        </w:rPr>
        <w:t xml:space="preserve">Diễn giải minh bạch về giới hạn của mô hình toán kinh tế: </w:t>
      </w:r>
      <w:r>
        <w:rPr>
          <w:rFonts w:ascii="Calibri" w:hAnsi="Calibri"/>
          <w:color w:val="2D3748"/>
          <w:sz w:val="22"/>
        </w:rPr>
        <w:t>Các báo cáo phân tích kỹ thuật và kết quả kiểm định lịch sử (Backtest) luôn đi kèm mục giải thích các sai lệch thống kê. Hệ thống sẽ ép buộc hiển thị các giới hạn như: kết quả quá khứ không đảm bảo cho tương lai, rủi ro thanh khoản thực tế, và các cú sốc vĩ mô ngoài kịch bản mô hình.</w:t>
      </w:r>
    </w:p>
    <w:p>
      <w:pPr>
        <w:pStyle w:val="ListBullet"/>
        <w:spacing w:before="40" w:after="80" w:line="276" w:lineRule="auto"/>
        <w:ind w:left="400"/>
      </w:pPr>
      <w:r>
        <w:rPr>
          <w:rFonts w:ascii="Calibri" w:hAnsi="Calibri"/>
          <w:b/>
          <w:color w:val="2D3748"/>
          <w:sz w:val="22"/>
        </w:rPr>
        <w:t xml:space="preserve">Kiểm duyệt cộng đồng nghiêm ngặt: </w:t>
      </w:r>
      <w:r>
        <w:rPr>
          <w:rFonts w:ascii="Calibri" w:hAnsi="Calibri"/>
          <w:color w:val="2D3748"/>
          <w:sz w:val="22"/>
        </w:rPr>
        <w:t>Xây dựng cơ chế kiểm duyệt nội dung cộng đồng (Community moderation) thông qua AI và quản trị viên để ngăn chặn các hành vi 'phím hàng', hô hào cổ phiếu, spam, quảng cáo khóa học thương mại ngoài luồng hoặc tung tin đồn thất thiệt.</w:t>
      </w:r>
    </w:p>
    <w:p>
      <w:pPr>
        <w:keepNext/>
        <w:spacing w:before="240" w:after="120"/>
        <w:pBdr>
          <w:bottom w:val="single" w:sz="12" w:space="4" w:color="D69E2E"/>
        </w:pBdr>
      </w:pPr>
      <w:r>
        <w:rPr>
          <w:rFonts w:ascii="Calibri" w:hAnsi="Calibri"/>
          <w:b/>
          <w:color w:val="1A365D"/>
          <w:sz w:val="36"/>
        </w:rPr>
        <w:t>9. Lộ trình triển khai dự án (Roadmap)</w:t>
      </w:r>
    </w:p>
    <w:p>
      <w:r>
        <w:t>Dự án được đề xuất triển khai theo 5 giai đoạn chính trong vòng 9 tháng:</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1A365D"/>
          </w:tcPr>
          <w:p>
            <w:pPr>
              <w:spacing w:before="120" w:after="120" w:line="276" w:lineRule="auto"/>
            </w:pPr>
            <w:r>
              <w:rPr>
                <w:rFonts w:ascii="Calibri" w:hAnsi="Calibri"/>
                <w:b/>
                <w:color w:val="FFFFFF"/>
                <w:sz w:val="21"/>
              </w:rPr>
              <w:t>Giai đoạn</w:t>
            </w:r>
          </w:p>
        </w:tc>
        <w:tc>
          <w:tcPr>
            <w:tcW w:type="dxa" w:w="3888"/>
            <w:shd w:val="clear" w:color="auto" w:fill="1A365D"/>
          </w:tcPr>
          <w:p>
            <w:pPr>
              <w:spacing w:before="120" w:after="120" w:line="276" w:lineRule="auto"/>
            </w:pPr>
            <w:r>
              <w:rPr>
                <w:rFonts w:ascii="Calibri" w:hAnsi="Calibri"/>
                <w:b/>
                <w:color w:val="FFFFFF"/>
                <w:sz w:val="21"/>
              </w:rPr>
              <w:t>Công việc chính</w:t>
            </w:r>
          </w:p>
        </w:tc>
        <w:tc>
          <w:tcPr>
            <w:tcW w:type="dxa" w:w="3312"/>
            <w:shd w:val="clear" w:color="auto" w:fill="1A365D"/>
          </w:tcPr>
          <w:p>
            <w:pPr>
              <w:spacing w:before="120" w:after="120" w:line="276" w:lineRule="auto"/>
            </w:pPr>
            <w:r>
              <w:rPr>
                <w:rFonts w:ascii="Calibri" w:hAnsi="Calibri"/>
                <w:b/>
                <w:color w:val="FFFFFF"/>
                <w:sz w:val="21"/>
              </w:rPr>
              <w:t>Kết quả đầu ra (Deliverables)</w:t>
            </w:r>
          </w:p>
        </w:tc>
      </w:tr>
      <w:tr>
        <w:tc>
          <w:tcPr>
            <w:tcW w:type="dxa" w:w="2160"/>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Giai đoạn 1: Khảo sát &amp; Tái cấu trúc (Tháng 1-2)</w:t>
            </w:r>
          </w:p>
        </w:tc>
        <w:tc>
          <w:tcPr>
            <w:tcW w:type="dxa" w:w="3888"/>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Đánh giá chi tiết mã nguồn hiện tại của Risk Dashboard. Tái định vị UI/UX sang mô hình giáo dục học thuật. Thiết kế cấu trúc cơ sở dữ liệu học tập và từ điển thuật ngữ.</w:t>
            </w:r>
          </w:p>
        </w:tc>
        <w:tc>
          <w:tcPr>
            <w:tcW w:type="dxa" w:w="3312"/>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Bản thiết kế giao diện Figma mới. Cập nhật cơ sở dữ liệu SQLite học tập. Learning Hub cơ bản hoạt động.</w:t>
            </w:r>
          </w:p>
        </w:tc>
      </w:tr>
      <w:tr>
        <w:tc>
          <w:tcPr>
            <w:tcW w:type="dxa" w:w="2160"/>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Giai đoạn 2: Xây dựng Module Thực hành (Tháng 3-4)</w:t>
            </w:r>
          </w:p>
        </w:tc>
        <w:tc>
          <w:tcPr>
            <w:tcW w:type="dxa" w:w="3888"/>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Phát triển tính năng giao dịch ảo (Paper Trading) tích hợp dữ liệu EOD VNStock. Xây dựng tác nhân AI Reviewer phản biện chiến lược của sinh viên. Tích hợp từ điển vĩ mô vào Econ News.</w:t>
            </w:r>
          </w:p>
        </w:tc>
        <w:tc>
          <w:tcPr>
            <w:tcW w:type="dxa" w:w="3312"/>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Hệ thống giả lập giao dịch ảo chạy ổn định. AI Agent phản biện đưa ra báo cáo cảnh báo rủi ro tự động.</w:t>
            </w:r>
          </w:p>
        </w:tc>
      </w:tr>
      <w:tr>
        <w:tc>
          <w:tcPr>
            <w:tcW w:type="dxa" w:w="2160"/>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Giai đoạn 3: Phát triển Tiện ích Giảng dạy (Tháng 5-6)</w:t>
            </w:r>
          </w:p>
        </w:tc>
        <w:tc>
          <w:tcPr>
            <w:tcW w:type="dxa" w:w="3888"/>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Xây dựng Teacher Dashboard dành cho giảng viên tạo lớp và quản lý sinh viên. Phát triển Report Builder hỗ trợ kéo thả biểu đồ và xuất báo cáo học thuật PDF/Word.</w:t>
            </w:r>
          </w:p>
        </w:tc>
        <w:tc>
          <w:tcPr>
            <w:tcW w:type="dxa" w:w="3312"/>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Cổng thông tin giảng viên hoạt động. Tính năng xuất báo cáo phân tích doanh nghiệp và chiến lược định lượng hoàn tất.</w:t>
            </w:r>
          </w:p>
        </w:tc>
      </w:tr>
      <w:tr>
        <w:tc>
          <w:tcPr>
            <w:tcW w:type="dxa" w:w="2160"/>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Giai đoạn 4: Chạy thử nghiệm &amp; Đánh giá (Tháng 7-8)</w:t>
            </w:r>
          </w:p>
        </w:tc>
        <w:tc>
          <w:tcPr>
            <w:tcW w:type="dxa" w:w="3888"/>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Triển khai chương trình chạy thử nghiệm diện hẹp (Pilot Program) tại 2-3 lớp học chuyên ngành Tài chính liên kết. Thu thập phản hồi từ giảng viên và sinh viên để tối ưu hóa hiệu năng.</w:t>
            </w:r>
          </w:p>
        </w:tc>
        <w:tc>
          <w:tcPr>
            <w:tcW w:type="dxa" w:w="3312"/>
            <w:shd w:val="clear" w:color="auto" w:fill="FFFFFF"/>
            <w:tcBorders>
              <w:bottom w:val="single" w:sz="4" w:color="E2E8F0"/>
              <w:top w:val="nil"/>
              <w:left w:val="nil"/>
              <w:right w:val="nil"/>
            </w:tcBorders>
          </w:tcPr>
          <w:p>
            <w:pPr>
              <w:spacing w:before="80" w:after="80" w:line="276" w:lineRule="auto"/>
            </w:pPr>
            <w:r>
              <w:rPr>
                <w:rFonts w:ascii="Calibri" w:hAnsi="Calibri"/>
                <w:color w:val="2D3748"/>
                <w:sz w:val="20"/>
              </w:rPr>
              <w:t>Báo cáo đánh giá chất lượng (UX/UI &amp; Độ chính xác của AI). Vá lỗi bảo mật và tối ưu tốc độ tải trang.</w:t>
            </w:r>
          </w:p>
        </w:tc>
      </w:tr>
      <w:tr>
        <w:tc>
          <w:tcPr>
            <w:tcW w:type="dxa" w:w="2160"/>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Giai đoạn 5: Vận hành &amp; Nâng cấp (Tháng 9 trở đi)</w:t>
            </w:r>
          </w:p>
        </w:tc>
        <w:tc>
          <w:tcPr>
            <w:tcW w:type="dxa" w:w="3888"/>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Bàn giao hệ thống chính thức cho nhà trường. Mở rộng hệ thống Gamification, tích hợp dữ liệu vĩ mô và cổ phiếu quốc tế. Nâng cấp các tác nhân AI dựa trên các mô hình ngôn ngữ lớn mới nhất.</w:t>
            </w:r>
          </w:p>
        </w:tc>
        <w:tc>
          <w:tcPr>
            <w:tcW w:type="dxa" w:w="3312"/>
            <w:shd w:val="clear" w:color="auto" w:fill="F7FAFC"/>
            <w:tcBorders>
              <w:bottom w:val="single" w:sz="4" w:color="E2E8F0"/>
              <w:top w:val="nil"/>
              <w:left w:val="nil"/>
              <w:right w:val="nil"/>
            </w:tcBorders>
          </w:tcPr>
          <w:p>
            <w:pPr>
              <w:spacing w:before="80" w:after="80" w:line="276" w:lineRule="auto"/>
            </w:pPr>
            <w:r>
              <w:rPr>
                <w:rFonts w:ascii="Calibri" w:hAnsi="Calibri"/>
                <w:color w:val="2D3748"/>
                <w:sz w:val="20"/>
              </w:rPr>
              <w:t>Hệ thống hoạt động chính thức. Tài liệu hướng dẫn sử dụng chi tiết cho sinh viên và giảng viên.</w:t>
            </w:r>
          </w:p>
        </w:tc>
      </w:tr>
    </w:tbl>
    <w:p/>
    <w:p>
      <w:pPr>
        <w:keepNext/>
        <w:spacing w:before="240" w:after="120"/>
        <w:pBdr>
          <w:bottom w:val="single" w:sz="12" w:space="4" w:color="D69E2E"/>
        </w:pBdr>
      </w:pPr>
      <w:r>
        <w:rPr>
          <w:rFonts w:ascii="Calibri" w:hAnsi="Calibri"/>
          <w:b/>
          <w:color w:val="1A365D"/>
          <w:sz w:val="36"/>
        </w:rPr>
        <w:t>10. Kết luận đề xuất</w:t>
      </w:r>
    </w:p>
    <w:p>
      <w:r>
        <w:t>Việc phát triển Northstar Finance Lab dựa trên nền tảng mã nguồn hiện có của Risk Dashboard là một bước đi chiến lược tối ưu. Nó giúp tiết kiệm hơn 60% thời gian và chi phí phát triển ban đầu nhờ kế thừa các quant engines mạnh mẽ và hệ thống agents đã chạy ổn định. Bằng việc xoay trục định vị sang hướng giáo dục học thuật (Education-first), dự án không chỉ mang lại giá trị thực tiễn to lớn cho việc dạy và học kinh tế tài chính tại các trường đại học, mà còn giải quyết triệt để các rủi ro pháp lý và đạo đức khi cung cấp các phân tích tài chính ứng dụng AI.</w:t>
      </w:r>
    </w:p>
    <w:p>
      <w:r>
        <w:t>Kính trình Ban dự án xem xét và thông qua đề cương chi tiết này để làm cơ sở triển khai các bước tiếp theo.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