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w:t>
      </w:r>
      <w:r>
        <w:rPr>
          <w:rFonts w:hint="eastAsia" w:ascii="ＭＳ 明朝" w:hAnsi="ＭＳ 明朝" w:cs="ＭＳ 明朝"/>
          <w:bCs/>
          <w:sz w:val="20"/>
          <w:szCs w:val="20"/>
          <w:lang w:val="en-US" w:eastAsia="ja-JP"/>
        </w:rPr>
        <w:t>1</w:t>
      </w:r>
      <w:bookmarkStart w:id="0" w:name="_GoBack"/>
      <w:bookmarkEnd w:id="0"/>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1</w:t>
      </w:r>
      <w:r>
        <w:rPr>
          <w:rFonts w:hint="eastAsia" w:ascii="ＭＳ 明朝" w:hAnsi="ＭＳ 明朝" w:cs="ＭＳ 明朝"/>
          <w:bCs/>
          <w:sz w:val="20"/>
          <w:szCs w:val="20"/>
        </w:rPr>
        <w:t>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・企業と実習生との問題解決と各場面でサポート業務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ターミナル（Bash）操作経験。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 </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1</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647"/>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1A6E"/>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E7C64"/>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65A0"/>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E5429"/>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4DD6"/>
    <w:rsid w:val="00CE5B67"/>
    <w:rsid w:val="00CF0F0D"/>
    <w:rsid w:val="00CF0F13"/>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774C98"/>
    <w:rsid w:val="0E6C431E"/>
    <w:rsid w:val="0E8242C8"/>
    <w:rsid w:val="16861A2D"/>
    <w:rsid w:val="25387A8C"/>
    <w:rsid w:val="28A4418F"/>
    <w:rsid w:val="28DE1C74"/>
    <w:rsid w:val="2F4315A1"/>
    <w:rsid w:val="35310714"/>
    <w:rsid w:val="3B9D1E7D"/>
    <w:rsid w:val="3C140978"/>
    <w:rsid w:val="49E50A8B"/>
    <w:rsid w:val="4BBC5AE8"/>
    <w:rsid w:val="57485709"/>
    <w:rsid w:val="60B9318D"/>
    <w:rsid w:val="67281C55"/>
    <w:rsid w:val="6A411616"/>
    <w:rsid w:val="733B46DA"/>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7862A-AAE2-4B38-9546-F02EBF5C35B1}">
  <ds:schemaRefs/>
</ds:datastoreItem>
</file>

<file path=docProps/app.xml><?xml version="1.0" encoding="utf-8"?>
<Properties xmlns="http://schemas.openxmlformats.org/officeDocument/2006/extended-properties" xmlns:vt="http://schemas.openxmlformats.org/officeDocument/2006/docPropsVTypes">
  <Template>Normal</Template>
  <Pages>4</Pages>
  <Words>855</Words>
  <Characters>4878</Characters>
  <Lines>40</Lines>
  <Paragraphs>11</Paragraphs>
  <TotalTime>39</TotalTime>
  <ScaleCrop>false</ScaleCrop>
  <LinksUpToDate>false</LinksUpToDate>
  <CharactersWithSpaces>5722</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2021-11-01T11:39:06Z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