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color w:val="000000"/>
        </w:rPr>
        <w:t>1.3 Đối tượng và phạm vi nghiên cứu</w:t>
      </w:r>
    </w:p>
    <w:p>
      <w:pPr/>
      <w:r>
        <w:rPr>
          <w:color w:val="000000"/>
        </w:rPr>
        <w:t>Đối tượng nghiên cứu của đề tài là nền tảng dữ liệu hợp nhất (Unified Lakehouse) được xây dựng cho bài toán phân tích thương mại điện tử, trong đó trọng tâm là lớp Data Platform — bao gồm toàn bộ vòng đời từ tiếp nhận dữ liệu thô theo cả hai luồng batch và streaming, xử lý theo Medallion Architecture qua ba tầng Bronze, Silver và Gold trên Apache Iceberg, đến orchestration pipeline tự động bằng Prefect. Đây cũng chính là phần công việc mà tác giả trực tiếp thiết kế, triển khai và kiểm thử trong dự án nhóm, phân biệt với lớp Intelligence Layer (Agentic BI, dashboard) do thành viên nhóm đảm nhận.</w:t>
      </w:r>
    </w:p>
    <w:p>
      <w:pPr/>
      <w:r>
        <w:rPr>
          <w:color w:val="000000"/>
        </w:rPr>
        <w:t>Về phạm vi dữ liệu, đề tài sử dụng hai bộ dữ liệu công khai từ Kaggle do Olist — nền tảng thương mại điện tử Brazil — cung cấp. Bộ thứ nhất, Olist E-Commerce Public Dataset, ghi lại khoảng 100.000 đơn hàng trong giai đoạn 2016–2018 với 8 bảng quan hệ (Bảng 1). Bộ thứ hai, Olist Marketing Funnel Dataset, theo dõi hành trình chuyển đổi từ Marketing Qualified Lead đến closed deal với 2 bảng (~8.700 bản ghi). Tổng dung lượng raw khoảng 200MB — nhỏ về kích thước nhưng đủ đa dạng về quan hệ để kiểm chứng các cơ chế Iceberg có ý nghĩa, trong khi vẫn chạy được trên môi trường laptop thông thường.</w:t>
      </w:r>
    </w:p>
    <w:p>
      <w:pPr/>
      <w:r>
        <w:rPr>
          <w:b/>
          <w:color w:val="000000"/>
        </w:rPr>
        <w:t>Olist E-Commerce Public Dataset</w:t>
      </w:r>
      <w:r>
        <w:rPr>
          <w:color w:val="000000"/>
        </w:rPr>
        <w:t xml:space="preserve"> — ~100.000 đơn hàng tại Brazil giai đoạn 2016–2018:</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000000"/>
              </w:rPr>
              <w:t>Bảng CSV</w:t>
            </w:r>
          </w:p>
        </w:tc>
        <w:tc>
          <w:tcPr>
            <w:tcW w:type="dxa" w:w="3135"/>
          </w:tcPr>
          <w:p>
            <w:r>
              <w:rPr>
                <w:b/>
                <w:color w:val="000000"/>
              </w:rPr>
              <w:t>Iceberg table</w:t>
            </w:r>
          </w:p>
        </w:tc>
        <w:tc>
          <w:tcPr>
            <w:tcW w:type="dxa" w:w="3135"/>
          </w:tcPr>
          <w:p>
            <w:r>
              <w:rPr>
                <w:b/>
                <w:color w:val="000000"/>
              </w:rPr>
              <w:t>Số dòng xấp xỉ</w:t>
            </w:r>
          </w:p>
        </w:tc>
      </w:tr>
      <w:tr>
        <w:tc>
          <w:tcPr>
            <w:tcW w:type="dxa" w:w="3135"/>
          </w:tcPr>
          <w:p>
            <w:r>
              <w:rPr>
                <w:color w:val="000000"/>
              </w:rPr>
              <w:t>olist_orders_dataset.csv</w:t>
            </w:r>
          </w:p>
        </w:tc>
        <w:tc>
          <w:tcPr>
            <w:tcW w:type="dxa" w:w="3135"/>
          </w:tcPr>
          <w:p>
            <w:r>
              <w:rPr>
                <w:color w:val="000000"/>
              </w:rPr>
              <w:t>bronze.ecommerce_orders</w:t>
            </w:r>
          </w:p>
        </w:tc>
        <w:tc>
          <w:tcPr>
            <w:tcW w:type="dxa" w:w="3135"/>
          </w:tcPr>
          <w:p>
            <w:r>
              <w:rPr>
                <w:color w:val="000000"/>
              </w:rPr>
              <w:t>~100K</w:t>
            </w:r>
          </w:p>
        </w:tc>
      </w:tr>
      <w:tr>
        <w:tc>
          <w:tcPr>
            <w:tcW w:type="dxa" w:w="3135"/>
          </w:tcPr>
          <w:p>
            <w:r>
              <w:rPr>
                <w:color w:val="000000"/>
              </w:rPr>
              <w:t>olist_order_items_dataset.csv</w:t>
            </w:r>
          </w:p>
        </w:tc>
        <w:tc>
          <w:tcPr>
            <w:tcW w:type="dxa" w:w="3135"/>
          </w:tcPr>
          <w:p>
            <w:r>
              <w:rPr>
                <w:color w:val="000000"/>
              </w:rPr>
              <w:t>bronze.ecommerce_order_items</w:t>
            </w:r>
          </w:p>
        </w:tc>
        <w:tc>
          <w:tcPr>
            <w:tcW w:type="dxa" w:w="3135"/>
          </w:tcPr>
          <w:p>
            <w:r>
              <w:rPr>
                <w:color w:val="000000"/>
              </w:rPr>
              <w:t>~113K</w:t>
            </w:r>
          </w:p>
        </w:tc>
      </w:tr>
      <w:tr>
        <w:tc>
          <w:tcPr>
            <w:tcW w:type="dxa" w:w="3135"/>
          </w:tcPr>
          <w:p>
            <w:r>
              <w:rPr>
                <w:color w:val="000000"/>
              </w:rPr>
              <w:t>olist_order_payments_dataset.csv</w:t>
            </w:r>
          </w:p>
        </w:tc>
        <w:tc>
          <w:tcPr>
            <w:tcW w:type="dxa" w:w="3135"/>
          </w:tcPr>
          <w:p>
            <w:r>
              <w:rPr>
                <w:color w:val="000000"/>
              </w:rPr>
              <w:t>bronze.ecommerce_order_payments</w:t>
            </w:r>
          </w:p>
        </w:tc>
        <w:tc>
          <w:tcPr>
            <w:tcW w:type="dxa" w:w="3135"/>
          </w:tcPr>
          <w:p>
            <w:r>
              <w:rPr>
                <w:color w:val="000000"/>
              </w:rPr>
              <w:t>~104K</w:t>
            </w:r>
          </w:p>
        </w:tc>
      </w:tr>
      <w:tr>
        <w:tc>
          <w:tcPr>
            <w:tcW w:type="dxa" w:w="3135"/>
          </w:tcPr>
          <w:p>
            <w:r>
              <w:rPr>
                <w:color w:val="000000"/>
              </w:rPr>
              <w:t>olist_order_reviews_dataset.csv</w:t>
            </w:r>
          </w:p>
        </w:tc>
        <w:tc>
          <w:tcPr>
            <w:tcW w:type="dxa" w:w="3135"/>
          </w:tcPr>
          <w:p>
            <w:r>
              <w:rPr>
                <w:color w:val="000000"/>
              </w:rPr>
              <w:t>bronze.ecommerce_order_reviews</w:t>
            </w:r>
          </w:p>
        </w:tc>
        <w:tc>
          <w:tcPr>
            <w:tcW w:type="dxa" w:w="3135"/>
          </w:tcPr>
          <w:p>
            <w:r>
              <w:rPr>
                <w:color w:val="000000"/>
              </w:rPr>
              <w:t>~99K</w:t>
            </w:r>
          </w:p>
        </w:tc>
      </w:tr>
      <w:tr>
        <w:tc>
          <w:tcPr>
            <w:tcW w:type="dxa" w:w="3135"/>
          </w:tcPr>
          <w:p>
            <w:r>
              <w:rPr>
                <w:color w:val="000000"/>
              </w:rPr>
              <w:t>olist_customers_dataset.csv</w:t>
            </w:r>
          </w:p>
        </w:tc>
        <w:tc>
          <w:tcPr>
            <w:tcW w:type="dxa" w:w="3135"/>
          </w:tcPr>
          <w:p>
            <w:r>
              <w:rPr>
                <w:color w:val="000000"/>
              </w:rPr>
              <w:t>bronze.ecommerce_customers</w:t>
            </w:r>
          </w:p>
        </w:tc>
        <w:tc>
          <w:tcPr>
            <w:tcW w:type="dxa" w:w="3135"/>
          </w:tcPr>
          <w:p>
            <w:r>
              <w:rPr>
                <w:color w:val="000000"/>
              </w:rPr>
              <w:t>~99K</w:t>
            </w:r>
          </w:p>
        </w:tc>
      </w:tr>
      <w:tr>
        <w:tc>
          <w:tcPr>
            <w:tcW w:type="dxa" w:w="3135"/>
          </w:tcPr>
          <w:p>
            <w:r>
              <w:rPr>
                <w:color w:val="000000"/>
              </w:rPr>
              <w:t>olist_sellers_dataset.csv</w:t>
            </w:r>
          </w:p>
        </w:tc>
        <w:tc>
          <w:tcPr>
            <w:tcW w:type="dxa" w:w="3135"/>
          </w:tcPr>
          <w:p>
            <w:r>
              <w:rPr>
                <w:color w:val="000000"/>
              </w:rPr>
              <w:t>bronze.ecommerce_sellers</w:t>
            </w:r>
          </w:p>
        </w:tc>
        <w:tc>
          <w:tcPr>
            <w:tcW w:type="dxa" w:w="3135"/>
          </w:tcPr>
          <w:p>
            <w:r>
              <w:rPr>
                <w:color w:val="000000"/>
              </w:rPr>
              <w:t>~3K</w:t>
            </w:r>
          </w:p>
        </w:tc>
      </w:tr>
      <w:tr>
        <w:tc>
          <w:tcPr>
            <w:tcW w:type="dxa" w:w="3135"/>
          </w:tcPr>
          <w:p>
            <w:r>
              <w:rPr>
                <w:color w:val="000000"/>
              </w:rPr>
              <w:t>olist_products_dataset.csv</w:t>
            </w:r>
          </w:p>
        </w:tc>
        <w:tc>
          <w:tcPr>
            <w:tcW w:type="dxa" w:w="3135"/>
          </w:tcPr>
          <w:p>
            <w:r>
              <w:rPr>
                <w:color w:val="000000"/>
              </w:rPr>
              <w:t>bronze.ecommerce_products</w:t>
            </w:r>
          </w:p>
        </w:tc>
        <w:tc>
          <w:tcPr>
            <w:tcW w:type="dxa" w:w="3135"/>
          </w:tcPr>
          <w:p>
            <w:r>
              <w:rPr>
                <w:color w:val="000000"/>
              </w:rPr>
              <w:t>~33K</w:t>
            </w:r>
          </w:p>
        </w:tc>
      </w:tr>
      <w:tr>
        <w:tc>
          <w:tcPr>
            <w:tcW w:type="dxa" w:w="3135"/>
          </w:tcPr>
          <w:p>
            <w:r>
              <w:rPr>
                <w:color w:val="000000"/>
              </w:rPr>
              <w:t>olist_geolocation_dataset.csv</w:t>
            </w:r>
          </w:p>
        </w:tc>
        <w:tc>
          <w:tcPr>
            <w:tcW w:type="dxa" w:w="3135"/>
          </w:tcPr>
          <w:p>
            <w:r>
              <w:rPr>
                <w:color w:val="000000"/>
              </w:rPr>
              <w:t>bronze.ecommerce_geolocation</w:t>
            </w:r>
          </w:p>
        </w:tc>
        <w:tc>
          <w:tcPr>
            <w:tcW w:type="dxa" w:w="3135"/>
          </w:tcPr>
          <w:p>
            <w:r>
              <w:rPr>
                <w:color w:val="000000"/>
              </w:rPr>
              <w:t>~1M</w:t>
            </w:r>
          </w:p>
        </w:tc>
      </w:tr>
    </w:tbl>
    <w:p/>
    <w:p>
      <w:pPr/>
      <w:r>
        <w:rPr>
          <w:b/>
          <w:color w:val="000000"/>
        </w:rPr>
        <w:t>Olist Marketing Funnel Dataset</w:t>
      </w:r>
      <w:r>
        <w:rPr>
          <w:color w:val="000000"/>
        </w:rPr>
        <w: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000000"/>
              </w:rPr>
              <w:t>Bảng CSV</w:t>
            </w:r>
          </w:p>
        </w:tc>
        <w:tc>
          <w:tcPr>
            <w:tcW w:type="dxa" w:w="3135"/>
          </w:tcPr>
          <w:p>
            <w:r>
              <w:rPr>
                <w:b/>
                <w:color w:val="000000"/>
              </w:rPr>
              <w:t>Iceberg table</w:t>
            </w:r>
          </w:p>
        </w:tc>
        <w:tc>
          <w:tcPr>
            <w:tcW w:type="dxa" w:w="3135"/>
          </w:tcPr>
          <w:p>
            <w:r>
              <w:rPr>
                <w:b/>
                <w:color w:val="000000"/>
              </w:rPr>
              <w:t>Số dòng xấp xỉ</w:t>
            </w:r>
          </w:p>
        </w:tc>
      </w:tr>
      <w:tr>
        <w:tc>
          <w:tcPr>
            <w:tcW w:type="dxa" w:w="3135"/>
          </w:tcPr>
          <w:p>
            <w:r>
              <w:rPr>
                <w:color w:val="000000"/>
              </w:rPr>
              <w:t>olist_marketing_qualified_leads_dataset.csv</w:t>
            </w:r>
          </w:p>
        </w:tc>
        <w:tc>
          <w:tcPr>
            <w:tcW w:type="dxa" w:w="3135"/>
          </w:tcPr>
          <w:p>
            <w:r>
              <w:rPr>
                <w:color w:val="000000"/>
              </w:rPr>
              <w:t>bronze.marketing_leads</w:t>
            </w:r>
          </w:p>
        </w:tc>
        <w:tc>
          <w:tcPr>
            <w:tcW w:type="dxa" w:w="3135"/>
          </w:tcPr>
          <w:p>
            <w:r>
              <w:rPr>
                <w:color w:val="000000"/>
              </w:rPr>
              <w:t>~8K</w:t>
            </w:r>
          </w:p>
        </w:tc>
      </w:tr>
      <w:tr>
        <w:tc>
          <w:tcPr>
            <w:tcW w:type="dxa" w:w="3135"/>
          </w:tcPr>
          <w:p>
            <w:r>
              <w:rPr>
                <w:color w:val="000000"/>
              </w:rPr>
              <w:t>olist_closed_deals_dataset.csv</w:t>
            </w:r>
          </w:p>
        </w:tc>
        <w:tc>
          <w:tcPr>
            <w:tcW w:type="dxa" w:w="3135"/>
          </w:tcPr>
          <w:p>
            <w:r>
              <w:rPr>
                <w:color w:val="000000"/>
              </w:rPr>
              <w:t>bronze.marketing_deals</w:t>
            </w:r>
          </w:p>
        </w:tc>
        <w:tc>
          <w:tcPr>
            <w:tcW w:type="dxa" w:w="3135"/>
          </w:tcPr>
          <w:p>
            <w:r>
              <w:rPr>
                <w:color w:val="000000"/>
              </w:rPr>
              <w:t>~842</w:t>
            </w:r>
          </w:p>
        </w:tc>
      </w:tr>
    </w:tbl>
    <w:p/>
    <w:p>
      <w:pPr>
        <w:pStyle w:val="Heading4"/>
      </w:pPr>
      <w:r>
        <w:rPr>
          <w:color w:val="000000"/>
        </w:rPr>
        <w:t>*Bảng 1: Dataset và Iceberg table mapping*</w:t>
      </w:r>
    </w:p>
    <w:p>
      <w:pPr/>
      <w:r>
        <w:rPr>
          <w:color w:val="000000"/>
        </w:rPr>
        <w:t>Về phạm vi công nghệ, đề tài tập trung vào stack mã nguồn mở hoàn toàn có thể tái lập được trên môi trường Docker Compose (Bảng 2). Cloudflare R2 được chọn làm object storage với egress miễn phí; Apache Iceberg format-version 2 với PostgreSQL JDBC Catalog đảm bảo metadata bền vững qua các lần khởi động lại container; Redpanda thay thế Kafka với footprint nhẹ hơn đáng kể; PySpark đảm nhiệm transformation; Prefect 3 điều phối toàn bộ pipeline. Nằm ngoài phạm vi của đề tài: Trino query federation, triển khai Spark cluster phân tán thực sự (chỉ kiểm thử ở chế độ local), huấn luyện model với MLflow và triển khai trên Kubernetes.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000000"/>
              </w:rPr>
              <w:t>Layer</w:t>
            </w:r>
          </w:p>
        </w:tc>
        <w:tc>
          <w:tcPr>
            <w:tcW w:type="dxa" w:w="3135"/>
          </w:tcPr>
          <w:p>
            <w:r>
              <w:rPr>
                <w:b/>
                <w:color w:val="000000"/>
              </w:rPr>
              <w:t>Công nghệ</w:t>
            </w:r>
          </w:p>
        </w:tc>
        <w:tc>
          <w:tcPr>
            <w:tcW w:type="dxa" w:w="3135"/>
          </w:tcPr>
          <w:p>
            <w:r>
              <w:rPr>
                <w:b/>
                <w:color w:val="000000"/>
              </w:rPr>
              <w:t>Phiên bản</w:t>
            </w:r>
          </w:p>
        </w:tc>
      </w:tr>
      <w:tr>
        <w:tc>
          <w:tcPr>
            <w:tcW w:type="dxa" w:w="3135"/>
          </w:tcPr>
          <w:p>
            <w:r>
              <w:rPr>
                <w:color w:val="000000"/>
              </w:rPr>
              <w:t>Object Storage</w:t>
            </w:r>
          </w:p>
        </w:tc>
        <w:tc>
          <w:tcPr>
            <w:tcW w:type="dxa" w:w="3135"/>
          </w:tcPr>
          <w:p>
            <w:r>
              <w:rPr>
                <w:color w:val="000000"/>
              </w:rPr>
              <w:t>Cloudflare R2</w:t>
            </w:r>
          </w:p>
        </w:tc>
        <w:tc>
          <w:tcPr>
            <w:tcW w:type="dxa" w:w="3135"/>
          </w:tcPr>
          <w:p>
            <w:r>
              <w:rPr>
                <w:color w:val="000000"/>
              </w:rPr>
              <w:t>—</w:t>
            </w:r>
          </w:p>
        </w:tc>
      </w:tr>
      <w:tr>
        <w:tc>
          <w:tcPr>
            <w:tcW w:type="dxa" w:w="3135"/>
          </w:tcPr>
          <w:p>
            <w:r>
              <w:rPr>
                <w:color w:val="000000"/>
              </w:rPr>
              <w:t>Table Format</w:t>
            </w:r>
          </w:p>
        </w:tc>
        <w:tc>
          <w:tcPr>
            <w:tcW w:type="dxa" w:w="3135"/>
          </w:tcPr>
          <w:p>
            <w:r>
              <w:rPr>
                <w:color w:val="000000"/>
              </w:rPr>
              <w:t>Apache Iceberg + PyIceberg</w:t>
            </w:r>
          </w:p>
        </w:tc>
        <w:tc>
          <w:tcPr>
            <w:tcW w:type="dxa" w:w="3135"/>
          </w:tcPr>
          <w:p>
            <w:r>
              <w:rPr>
                <w:color w:val="000000"/>
              </w:rPr>
              <w:t>format-version 2</w:t>
            </w:r>
          </w:p>
        </w:tc>
      </w:tr>
      <w:tr>
        <w:tc>
          <w:tcPr>
            <w:tcW w:type="dxa" w:w="3135"/>
          </w:tcPr>
          <w:p>
            <w:r>
              <w:rPr>
                <w:color w:val="000000"/>
              </w:rPr>
              <w:t>Iceberg Catalog</w:t>
            </w:r>
          </w:p>
        </w:tc>
        <w:tc>
          <w:tcPr>
            <w:tcW w:type="dxa" w:w="3135"/>
          </w:tcPr>
          <w:p>
            <w:r>
              <w:rPr>
                <w:color w:val="000000"/>
              </w:rPr>
              <w:t>PostgreSQL JDBC (tabulario/iceberg-rest)</w:t>
            </w:r>
          </w:p>
        </w:tc>
        <w:tc>
          <w:tcPr>
            <w:tcW w:type="dxa" w:w="3135"/>
          </w:tcPr>
          <w:p>
            <w:r>
              <w:rPr>
                <w:color w:val="000000"/>
              </w:rPr>
              <w:t>0.10.0</w:t>
            </w:r>
          </w:p>
        </w:tc>
      </w:tr>
      <w:tr>
        <w:tc>
          <w:tcPr>
            <w:tcW w:type="dxa" w:w="3135"/>
          </w:tcPr>
          <w:p>
            <w:r>
              <w:rPr>
                <w:color w:val="000000"/>
              </w:rPr>
              <w:t>Streaming</w:t>
            </w:r>
          </w:p>
        </w:tc>
        <w:tc>
          <w:tcPr>
            <w:tcW w:type="dxa" w:w="3135"/>
          </w:tcPr>
          <w:p>
            <w:r>
              <w:rPr>
                <w:color w:val="000000"/>
              </w:rPr>
              <w:t>Redpanda + confluent-kafka</w:t>
            </w:r>
          </w:p>
        </w:tc>
        <w:tc>
          <w:tcPr>
            <w:tcW w:type="dxa" w:w="3135"/>
          </w:tcPr>
          <w:p>
            <w:r>
              <w:rPr>
                <w:color w:val="000000"/>
              </w:rPr>
              <w:t>v23.3.18</w:t>
            </w:r>
          </w:p>
        </w:tc>
      </w:tr>
      <w:tr>
        <w:tc>
          <w:tcPr>
            <w:tcW w:type="dxa" w:w="3135"/>
          </w:tcPr>
          <w:p>
            <w:r>
              <w:rPr>
                <w:color w:val="000000"/>
              </w:rPr>
              <w:t>Processing</w:t>
            </w:r>
          </w:p>
        </w:tc>
        <w:tc>
          <w:tcPr>
            <w:tcW w:type="dxa" w:w="3135"/>
          </w:tcPr>
          <w:p>
            <w:r>
              <w:rPr>
                <w:color w:val="000000"/>
              </w:rPr>
              <w:t>PySpark</w:t>
            </w:r>
          </w:p>
        </w:tc>
        <w:tc>
          <w:tcPr>
            <w:tcW w:type="dxa" w:w="3135"/>
          </w:tcPr>
          <w:p>
            <w:r>
              <w:rPr>
                <w:color w:val="000000"/>
              </w:rPr>
              <w:t>3.5.0</w:t>
            </w:r>
          </w:p>
        </w:tc>
      </w:tr>
      <w:tr>
        <w:tc>
          <w:tcPr>
            <w:tcW w:type="dxa" w:w="3135"/>
          </w:tcPr>
          <w:p>
            <w:r>
              <w:rPr>
                <w:color w:val="000000"/>
              </w:rPr>
              <w:t>Orchestration</w:t>
            </w:r>
          </w:p>
        </w:tc>
        <w:tc>
          <w:tcPr>
            <w:tcW w:type="dxa" w:w="3135"/>
          </w:tcPr>
          <w:p>
            <w:r>
              <w:rPr>
                <w:color w:val="000000"/>
              </w:rPr>
              <w:t>Prefect</w:t>
            </w:r>
          </w:p>
        </w:tc>
        <w:tc>
          <w:tcPr>
            <w:tcW w:type="dxa" w:w="3135"/>
          </w:tcPr>
          <w:p>
            <w:r>
              <w:rPr>
                <w:color w:val="000000"/>
              </w:rPr>
              <w:t>3-latest</w:t>
            </w:r>
          </w:p>
        </w:tc>
      </w:tr>
      <w:tr>
        <w:tc>
          <w:tcPr>
            <w:tcW w:type="dxa" w:w="3135"/>
          </w:tcPr>
          <w:p>
            <w:r>
              <w:rPr>
                <w:color w:val="000000"/>
              </w:rPr>
              <w:t>ML Tracking</w:t>
            </w:r>
          </w:p>
        </w:tc>
        <w:tc>
          <w:tcPr>
            <w:tcW w:type="dxa" w:w="3135"/>
          </w:tcPr>
          <w:p>
            <w:r>
              <w:rPr>
                <w:color w:val="000000"/>
              </w:rPr>
              <w:t>MLflow</w:t>
            </w:r>
          </w:p>
        </w:tc>
        <w:tc>
          <w:tcPr>
            <w:tcW w:type="dxa" w:w="3135"/>
          </w:tcPr>
          <w:p>
            <w:r>
              <w:rPr>
                <w:color w:val="000000"/>
              </w:rPr>
              <w:t>v2.13.0</w:t>
            </w:r>
          </w:p>
        </w:tc>
      </w:tr>
      <w:tr>
        <w:tc>
          <w:tcPr>
            <w:tcW w:type="dxa" w:w="3135"/>
          </w:tcPr>
          <w:p>
            <w:r>
              <w:rPr>
                <w:color w:val="000000"/>
              </w:rPr>
              <w:t>DevOps</w:t>
            </w:r>
          </w:p>
        </w:tc>
        <w:tc>
          <w:tcPr>
            <w:tcW w:type="dxa" w:w="3135"/>
          </w:tcPr>
          <w:p>
            <w:r>
              <w:rPr>
                <w:color w:val="000000"/>
              </w:rPr>
              <w:t>Docker Compose</w:t>
            </w:r>
          </w:p>
        </w:tc>
        <w:tc>
          <w:tcPr>
            <w:tcW w:type="dxa" w:w="3135"/>
          </w:tcPr>
          <w:p>
            <w:r>
              <w:rPr>
                <w:color w:val="000000"/>
              </w:rPr>
              <w:t>—</w:t>
            </w:r>
          </w:p>
        </w:tc>
      </w:tr>
    </w:tbl>
    <w:p/>
    <w:p>
      <w:pPr>
        <w:pStyle w:val="Heading4"/>
      </w:pPr>
      <w:r>
        <w:rPr>
          <w:color w:val="000000"/>
        </w:rPr>
        <w:t>*Bảng 2: Stack công nghệ và phiên bản*</w:t>
      </w:r>
    </w:p>
    <w:p>
      <w:pPr>
        <w:pStyle w:val="Heading3"/>
      </w:pPr>
      <w:r>
        <w:rPr>
          <w:color w:val="000000"/>
        </w:rPr>
        <w:t>1.4 Phương pháp nghiên cứu</w:t>
      </w:r>
    </w:p>
    <w:p>
      <w:pPr/>
      <w:r>
        <w:rPr>
          <w:color w:val="000000"/>
        </w:rPr>
        <w:t>Đề tài áp dụng phương pháp nghiên cứu ứng dụng kết hợp thiết kế hệ thống và kiểm thử thực nghiệm. Quá trình bắt đầu từ việc tổng hợp tài liệu kỹ thuật về các cơ chế cốt lõi của Apache Iceberg (Optimistic Concurrency Control, snapshot isolation, hidden partitioning), mô hình Medallion Architecture từ tài liệu của Databricks và các case study triển khai production tại Netflix, Airbnb. Trên cơ sở lý thuyết đó, kiến trúc hệ thống được thiết kế theo nguyên tắc separation of concerns — mỗi tầng Bronze, Silver, Gold có trách nhiệm rõ ràng và giao tiếp qua Iceberg table interface — trước khi tiến hành triển khai.</w:t>
      </w:r>
    </w:p>
    <w:p>
      <w:pPr/>
      <w:r>
        <w:rPr>
          <w:color w:val="000000"/>
        </w:rPr>
        <w:t>Quá trình triển khai đi theo hướng bottom-up: infrastructure (Docker Compose, Iceberg catalog, R2 bucket) được dựng trước, tiếp theo là batch ingestion pipeline, rồi đến streaming producer/consumer, sau đó PySpark transforms và cuối cùng là Prefect orchestration. Mỗi lớp được kiểm thử riêng biệt — từ kiểm tra schema alignment của Iceberg tables đến integration test end-to-end pipeline từ CSV đến Gold Layer — trước khi kết hợp vào pipeline hoàn chỉnh. Hệ thống được đánh giá theo hai nhóm tiêu chí: tiêu chí chức năng (pipeline chạy end-to-end không lỗi, ACID guarantees hoạt động đúng, schema evolution không cần downtime) và tiêu chí hiệu năng (query latency dưới 5 giây trên Gold Layer, streaming end-to-end latency dưới 10 giây). Báo cáo được tổ chức theo vòng đời phát triển hệ thống: Chương 2 xây dựng nền tảng lý thuyết; Chương 3 trình bày thiết kế kiến trúc và mô hình dữ liệu; Chương 4 mô tả chi tiết quá trình triển khai; Chương 5 đánh giá kết quả và hiệu năng; Chương 6 kết luận và định hướng phát triển.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