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CHƯƠNG 2: PHÂN TÍCH KHÁM PHÁ DỮ LIỆU (EDA) VÀ ĐẶC TÍNH CHUỖI THỜI GIAN</w:t>
      </w:r>
    </w:p>
    <w:p>
      <w:pPr>
        <w:spacing w:line="360" w:lineRule="auto" w:before="0" w:after="120"/>
        <w:ind w:firstLine="360"/>
        <w:jc w:val="both"/>
      </w:pPr>
      <w:r>
        <w:t>Chương này phân tích dữ liệu FreshRetailNet-50K trước khi xây dựng mô hình dự báo. Trọng tâm không chỉ là mô tả dữ liệu, mà là xác định những đặc tính ảnh hưởng trực tiếp đến thiết kế bài toán: observed sales có thể bị kiểm duyệt bởi stockout, dữ liệu bán lẻ có nhiều giá trị 0, seasonality theo giờ và theo tuần khá rõ, đồng thời các chuỗi cửa hàng-sản phẩm có mức độ dị biệt lớn.</w:t>
      </w:r>
    </w:p>
    <w:p>
      <w:pPr>
        <w:spacing w:line="360" w:lineRule="auto" w:before="0" w:after="120"/>
        <w:ind w:firstLine="360"/>
        <w:jc w:val="both"/>
      </w:pPr>
      <w:r>
        <w:t>Trong phạm vi đồ án, dữ liệu được lấy mẫu 10% theo chuỗi. Cách lấy mẫu này giữ nguyên toàn bộ trục thời gian của các chuỗi được chọn, nhờ vậy vẫn bảo toàn seasonality, stockout và quan hệ trước-sau theo thời gian. Tập dữ liệu sau lấy mẫu gồm 11,640,000 quan sát theo giờ, 5,000 chuỗi cửa hàng-sản phẩm, 866 cửa hàng, 516 sản phẩm và 18 thành phố, trong giai đoạn từ 2024-03-28 00:00:00 đến 2024-07-02 23:00:00.</w:t>
      </w:r>
    </w:p>
    <w:p>
      <w:pPr>
        <w:spacing w:line="360" w:lineRule="auto" w:before="0" w:after="120"/>
        <w:ind w:firstLine="360"/>
        <w:jc w:val="both"/>
      </w:pPr>
      <w:r>
        <w:t>Mạch phân tích của chương được triển khai theo logic phục vụ mô hình hóa. Mục 2.1 làm rõ vì sao observed sales không nên được xem ngay là nhu cầu thực. Mục 2.2 phân tích phân phối và mức độ thưa của doanh số. Mục 2.3, 2.5 và 2.6 kiểm tra seasonality, tính dừng, tự tương quan và phổ tần số để làm cơ sở cho baseline mùa vụ và lag features. Mục 2.4 xem xét các chuỗi đại diện để cho thấy bài toán không đồng nhất giữa các nhóm sản phẩm-cửa hàng. Các kết quả này dẫn trực tiếp sang phương pháp two-stage ở Chương 3.</w:t>
      </w:r>
    </w:p>
    <w:p>
      <w:pPr>
        <w:pStyle w:val="Heading2"/>
      </w:pPr>
      <w:r>
        <w:t>2.1. Phân tích Tổng Doanh số và Mối tương quan với Hiện tượng Hết hàng (Stockout)</w:t>
      </w:r>
    </w:p>
    <w:p>
      <w:pPr>
        <w:spacing w:line="360" w:lineRule="auto" w:before="0" w:after="120"/>
        <w:ind w:firstLine="360"/>
        <w:jc w:val="both"/>
      </w:pPr>
      <w:r>
        <w:t>Bước đầu tiên của EDA là kiểm tra mức độ tin cậy của doanh số quan sát trước khi dùng nó làm target. Với dữ liệu bán lẻ tươi sống, doanh số ghi nhận không luôn phản ánh đầy đủ nhu cầu thực tế. Khi một sản phẩm hết hàng, lượng bán có thể bằng 0 hoặc thấp bất thường, nhưng điều này không đồng nghĩa với việc khách hàng không có nhu cầu. Vì vậy, tổng doanh số cần được đọc cùng với stockout rate.</w:t>
      </w:r>
    </w:p>
    <w:p>
      <w:pPr>
        <w:pStyle w:val="TableCaption"/>
      </w:pPr>
      <w:r>
        <w:t>Bảng 2.1: Đặc trưng tổng quát của dữ liệu sau lấy mẫu</w:t>
      </w:r>
    </w:p>
    <w:tbl>
      <w:tblPr>
        <w:tblStyle w:val="TableGrid"/>
        <w:tblW w:type="auto" w:w="0"/>
        <w:tblLook w:firstColumn="1" w:firstRow="1" w:lastColumn="0" w:lastRow="0" w:noHBand="0" w:noVBand="1" w:val="04A0"/>
      </w:tblPr>
      <w:tblGrid>
        <w:gridCol w:w="4320"/>
        <w:gridCol w:w="4320"/>
      </w:tblGrid>
      <w:tr>
        <w:tc>
          <w:tcPr>
            <w:tcW w:type="dxa" w:w="4320"/>
          </w:tcPr>
          <w:p>
            <w:r>
              <w:rPr>
                <w:b/>
              </w:rPr>
              <w:t>Chỉ tiêu</w:t>
            </w:r>
          </w:p>
        </w:tc>
        <w:tc>
          <w:tcPr>
            <w:tcW w:type="dxa" w:w="4320"/>
          </w:tcPr>
          <w:p>
            <w:r>
              <w:rPr>
                <w:b/>
              </w:rPr>
              <w:t>Giá trị</w:t>
            </w:r>
          </w:p>
        </w:tc>
      </w:tr>
      <w:tr>
        <w:tc>
          <w:tcPr>
            <w:tcW w:type="dxa" w:w="4320"/>
          </w:tcPr>
          <w:p>
            <w:r>
              <w:t>Số quan sát theo giờ</w:t>
            </w:r>
          </w:p>
        </w:tc>
        <w:tc>
          <w:tcPr>
            <w:tcW w:type="dxa" w:w="4320"/>
          </w:tcPr>
          <w:p>
            <w:r>
              <w:t>11,640,000</w:t>
            </w:r>
          </w:p>
        </w:tc>
      </w:tr>
      <w:tr>
        <w:tc>
          <w:tcPr>
            <w:tcW w:type="dxa" w:w="4320"/>
          </w:tcPr>
          <w:p>
            <w:r>
              <w:t>Số chuỗi cửa hàng-sản phẩm</w:t>
            </w:r>
          </w:p>
        </w:tc>
        <w:tc>
          <w:tcPr>
            <w:tcW w:type="dxa" w:w="4320"/>
          </w:tcPr>
          <w:p>
            <w:r>
              <w:t>5,000</w:t>
            </w:r>
          </w:p>
        </w:tc>
      </w:tr>
      <w:tr>
        <w:tc>
          <w:tcPr>
            <w:tcW w:type="dxa" w:w="4320"/>
          </w:tcPr>
          <w:p>
            <w:r>
              <w:t>Tỷ lệ stockout</w:t>
            </w:r>
          </w:p>
        </w:tc>
        <w:tc>
          <w:tcPr>
            <w:tcW w:type="dxa" w:w="4320"/>
          </w:tcPr>
          <w:p>
            <w:r>
              <w:t>24.67%</w:t>
            </w:r>
          </w:p>
        </w:tc>
      </w:tr>
      <w:tr>
        <w:tc>
          <w:tcPr>
            <w:tcW w:type="dxa" w:w="4320"/>
          </w:tcPr>
          <w:p>
            <w:r>
              <w:t>Doanh số trung bình mỗi quan sát</w:t>
            </w:r>
          </w:p>
        </w:tc>
        <w:tc>
          <w:tcPr>
            <w:tcW w:type="dxa" w:w="4320"/>
          </w:tcPr>
          <w:p>
            <w:r>
              <w:t>0.0419</w:t>
            </w:r>
          </w:p>
        </w:tc>
      </w:tr>
      <w:tr>
        <w:tc>
          <w:tcPr>
            <w:tcW w:type="dxa" w:w="4320"/>
          </w:tcPr>
          <w:p>
            <w:r>
              <w:t>Trung vị doanh số mỗi quan sát</w:t>
            </w:r>
          </w:p>
        </w:tc>
        <w:tc>
          <w:tcPr>
            <w:tcW w:type="dxa" w:w="4320"/>
          </w:tcPr>
          <w:p>
            <w:r>
              <w:t>0.0000</w:t>
            </w:r>
          </w:p>
        </w:tc>
      </w:tr>
    </w:tbl>
    <w:p/>
    <w:p>
      <w:pPr>
        <w:jc w:val="center"/>
      </w:pPr>
      <w:r>
        <w:drawing>
          <wp:inline xmlns:a="http://schemas.openxmlformats.org/drawingml/2006/main" xmlns:pic="http://schemas.openxmlformats.org/drawingml/2006/picture">
            <wp:extent cx="5669280" cy="2333194"/>
            <wp:docPr id="1" name="Picture 1"/>
            <wp:cNvGraphicFramePr>
              <a:graphicFrameLocks noChangeAspect="1"/>
            </wp:cNvGraphicFramePr>
            <a:graphic>
              <a:graphicData uri="http://schemas.openxmlformats.org/drawingml/2006/picture">
                <pic:pic>
                  <pic:nvPicPr>
                    <pic:cNvPr id="0" name="aggregate_sales_over_time.png"/>
                    <pic:cNvPicPr/>
                  </pic:nvPicPr>
                  <pic:blipFill>
                    <a:blip r:embed="rId9"/>
                    <a:stretch>
                      <a:fillRect/>
                    </a:stretch>
                  </pic:blipFill>
                  <pic:spPr>
                    <a:xfrm>
                      <a:off x="0" y="0"/>
                      <a:ext cx="5669280" cy="2333194"/>
                    </a:xfrm>
                    <a:prstGeom prst="rect"/>
                  </pic:spPr>
                </pic:pic>
              </a:graphicData>
            </a:graphic>
          </wp:inline>
        </w:drawing>
      </w:r>
    </w:p>
    <w:p>
      <w:pPr>
        <w:pStyle w:val="Caption"/>
      </w:pPr>
      <w:r>
        <w:t>Hình 2.1: Tổng doanh số theo thời gian trên tập dữ liệu mẫu</w:t>
      </w:r>
    </w:p>
    <w:p>
      <w:pPr>
        <w:jc w:val="center"/>
      </w:pPr>
      <w:r>
        <w:drawing>
          <wp:inline xmlns:a="http://schemas.openxmlformats.org/drawingml/2006/main" xmlns:pic="http://schemas.openxmlformats.org/drawingml/2006/picture">
            <wp:extent cx="5669280" cy="2333194"/>
            <wp:docPr id="2" name="Picture 2"/>
            <wp:cNvGraphicFramePr>
              <a:graphicFrameLocks noChangeAspect="1"/>
            </wp:cNvGraphicFramePr>
            <a:graphic>
              <a:graphicData uri="http://schemas.openxmlformats.org/drawingml/2006/picture">
                <pic:pic>
                  <pic:nvPicPr>
                    <pic:cNvPr id="0" name="stockout_rate_over_time.png"/>
                    <pic:cNvPicPr/>
                  </pic:nvPicPr>
                  <pic:blipFill>
                    <a:blip r:embed="rId10"/>
                    <a:stretch>
                      <a:fillRect/>
                    </a:stretch>
                  </pic:blipFill>
                  <pic:spPr>
                    <a:xfrm>
                      <a:off x="0" y="0"/>
                      <a:ext cx="5669280" cy="2333194"/>
                    </a:xfrm>
                    <a:prstGeom prst="rect"/>
                  </pic:spPr>
                </pic:pic>
              </a:graphicData>
            </a:graphic>
          </wp:inline>
        </w:drawing>
      </w:r>
    </w:p>
    <w:p>
      <w:pPr>
        <w:pStyle w:val="Caption"/>
      </w:pPr>
      <w:r>
        <w:t>Hình 2.2: Tỷ lệ stockout theo thời gian</w:t>
      </w:r>
    </w:p>
    <w:p>
      <w:pPr>
        <w:spacing w:line="360" w:lineRule="auto" w:before="0" w:after="120"/>
        <w:ind w:firstLine="360"/>
        <w:jc w:val="both"/>
      </w:pPr>
      <w:r>
        <w:t>Tỷ lệ stockout trung bình đạt khoảng 24.67%, cho thấy đây không phải nhiễu nhỏ có thể bỏ qua. Nếu mô hình học trực tiếp trên observed sales, các giai đoạn hết hàng sẽ kéo target xuống thấp và làm mô hình hiểu nhầm rằng nhu cầu thực giảm. Đây là lý do nền tảng để bài toán được framing theo hướng latent demand recovery trước khi forecast.</w:t>
      </w:r>
    </w:p>
    <w:p>
      <w:pPr>
        <w:spacing w:line="360" w:lineRule="auto" w:before="0" w:after="120"/>
        <w:ind w:firstLine="360"/>
        <w:jc w:val="both"/>
      </w:pPr>
      <w:r>
        <w:t>Một điểm mù khác của observed sales là hiệu ứng thay thế sản phẩm. Khi sản phẩm A hết hàng, khách hàng có thể chuyển sang sản phẩm B cùng nhóm, làm sales của B tăng bất thường. Nếu chỉ nhìn từng chuỗi riêng lẻ, phần nhu cầu bị chuyển dịch này có thể bị bỏ qua. Do đó, các chương sau bổ sung tín hiệu peer/substitution theo cùng cửa hàng và cùng nhóm hàng để kiểm tra bối cảnh xung quanh stockout.</w:t>
      </w:r>
    </w:p>
    <w:p>
      <w:pPr>
        <w:pStyle w:val="Heading2"/>
      </w:pPr>
      <w:r>
        <w:t>2.2. Kiểm định Phân phối Thống kê của Doanh số</w:t>
      </w:r>
    </w:p>
    <w:p>
      <w:pPr>
        <w:spacing w:line="360" w:lineRule="auto" w:before="0" w:after="120"/>
        <w:ind w:firstLine="360"/>
        <w:jc w:val="both"/>
      </w:pPr>
      <w:r>
        <w:t>Phân phối doanh số có đặc trưng lệch phải mạnh và tập trung nhiều tại 0. Trung vị doanh số là 0.0000, trong khi trung bình là 0.0419. Sự chênh lệch này phản ánh tính thưa của dữ liệu: phần lớn cặp cửa hàng-sản phẩm không phát sinh bán hàng trong nhiều giờ, nhưng vẫn tồn tại một số thời điểm có doanh số cao.</w:t>
      </w:r>
    </w:p>
    <w:p>
      <w:pPr>
        <w:jc w:val="center"/>
      </w:pPr>
      <w:r>
        <w:drawing>
          <wp:inline xmlns:a="http://schemas.openxmlformats.org/drawingml/2006/main" xmlns:pic="http://schemas.openxmlformats.org/drawingml/2006/picture">
            <wp:extent cx="5669280" cy="3120549"/>
            <wp:docPr id="3" name="Picture 3"/>
            <wp:cNvGraphicFramePr>
              <a:graphicFrameLocks noChangeAspect="1"/>
            </wp:cNvGraphicFramePr>
            <a:graphic>
              <a:graphicData uri="http://schemas.openxmlformats.org/drawingml/2006/picture">
                <pic:pic>
                  <pic:nvPicPr>
                    <pic:cNvPr id="0" name="sale_amount_distribution.png"/>
                    <pic:cNvPicPr/>
                  </pic:nvPicPr>
                  <pic:blipFill>
                    <a:blip r:embed="rId11"/>
                    <a:stretch>
                      <a:fillRect/>
                    </a:stretch>
                  </pic:blipFill>
                  <pic:spPr>
                    <a:xfrm>
                      <a:off x="0" y="0"/>
                      <a:ext cx="5669280" cy="3120549"/>
                    </a:xfrm>
                    <a:prstGeom prst="rect"/>
                  </pic:spPr>
                </pic:pic>
              </a:graphicData>
            </a:graphic>
          </wp:inline>
        </w:drawing>
      </w:r>
    </w:p>
    <w:p>
      <w:pPr>
        <w:pStyle w:val="Caption"/>
      </w:pPr>
      <w:r>
        <w:t>Hình 2.3: Phân phối doanh số quan sát ở thang gốc</w:t>
      </w:r>
    </w:p>
    <w:p>
      <w:pPr>
        <w:jc w:val="center"/>
      </w:pPr>
      <w:r>
        <w:drawing>
          <wp:inline xmlns:a="http://schemas.openxmlformats.org/drawingml/2006/main" xmlns:pic="http://schemas.openxmlformats.org/drawingml/2006/picture">
            <wp:extent cx="5669280" cy="3120549"/>
            <wp:docPr id="4" name="Picture 4"/>
            <wp:cNvGraphicFramePr>
              <a:graphicFrameLocks noChangeAspect="1"/>
            </wp:cNvGraphicFramePr>
            <a:graphic>
              <a:graphicData uri="http://schemas.openxmlformats.org/drawingml/2006/picture">
                <pic:pic>
                  <pic:nvPicPr>
                    <pic:cNvPr id="0" name="log_sale_amount_distribution.png"/>
                    <pic:cNvPicPr/>
                  </pic:nvPicPr>
                  <pic:blipFill>
                    <a:blip r:embed="rId12"/>
                    <a:stretch>
                      <a:fillRect/>
                    </a:stretch>
                  </pic:blipFill>
                  <pic:spPr>
                    <a:xfrm>
                      <a:off x="0" y="0"/>
                      <a:ext cx="5669280" cy="3120549"/>
                    </a:xfrm>
                    <a:prstGeom prst="rect"/>
                  </pic:spPr>
                </pic:pic>
              </a:graphicData>
            </a:graphic>
          </wp:inline>
        </w:drawing>
      </w:r>
    </w:p>
    <w:p>
      <w:pPr>
        <w:pStyle w:val="Caption"/>
      </w:pPr>
      <w:r>
        <w:t>Hình 2.4: Phân phối doanh số sau biến đổi log1p</w:t>
      </w:r>
    </w:p>
    <w:p>
      <w:pPr>
        <w:spacing w:line="360" w:lineRule="auto" w:before="0" w:after="120"/>
        <w:ind w:firstLine="360"/>
        <w:jc w:val="both"/>
      </w:pPr>
      <w:r>
        <w:t>Biến đổi log1p giúp quan sát phần đuôi phân phối rõ hơn nhưng không làm mất bản chất zero-inflated của dữ liệu. Đặc điểm này khiến MAPE kém phù hợp vì mẫu số có thể bằng 0 hoặc rất nhỏ. Vì vậy, các chỉ số như WAPE, MAE và RMSE phù hợp hơn cho phần đánh giá mô hình. Phân phối không chuẩn và nhiều chuỗi thưa cũng là lý do thực tế để ưu tiên global machine learning model thay vì fit riêng một mô hình classical time series cho từng chuỗi.</w:t>
      </w:r>
    </w:p>
    <w:p>
      <w:pPr>
        <w:spacing w:line="360" w:lineRule="auto" w:before="0" w:after="120"/>
        <w:ind w:firstLine="360"/>
        <w:jc w:val="both"/>
      </w:pPr>
      <w:r>
        <w:t>Như vậy, mục tiêu của phần này không phải chứng minh doanh số tuân theo một phân phối lý thuyết cố định, mà là chỉ ra rằng target có tính thưa, lệch và chịu kiểm duyệt bởi stockout. Điều này ảnh hưởng trực tiếp đến lựa chọn thước đo đánh giá, baseline và phương pháp recovery.</w:t>
      </w:r>
    </w:p>
    <w:p>
      <w:pPr>
        <w:pStyle w:val="Heading2"/>
      </w:pPr>
      <w:r>
        <w:t>2.3. Đánh giá Tính Mùa vụ (Seasonality) theo Chu kỳ Giờ và Tuần</w:t>
      </w:r>
    </w:p>
    <w:p>
      <w:pPr>
        <w:spacing w:line="360" w:lineRule="auto" w:before="0" w:after="120"/>
        <w:ind w:firstLine="360"/>
        <w:jc w:val="both"/>
      </w:pPr>
      <w:r>
        <w:t>Dữ liệu bán lẻ thường chịu ảnh hưởng mạnh bởi nhịp sinh hoạt của khách hàng và lịch vận hành cửa hàng. Vì dữ liệu gốc có độ phân giải theo giờ, hai dạng mùa vụ quan trọng cần kiểm tra là mùa vụ trong ngày và mùa vụ trong tuần.</w:t>
      </w:r>
    </w:p>
    <w:p>
      <w:pPr>
        <w:jc w:val="center"/>
      </w:pPr>
      <w:r>
        <w:drawing>
          <wp:inline xmlns:a="http://schemas.openxmlformats.org/drawingml/2006/main" xmlns:pic="http://schemas.openxmlformats.org/drawingml/2006/picture">
            <wp:extent cx="5669280" cy="2805023"/>
            <wp:docPr id="5" name="Picture 5"/>
            <wp:cNvGraphicFramePr>
              <a:graphicFrameLocks noChangeAspect="1"/>
            </wp:cNvGraphicFramePr>
            <a:graphic>
              <a:graphicData uri="http://schemas.openxmlformats.org/drawingml/2006/picture">
                <pic:pic>
                  <pic:nvPicPr>
                    <pic:cNvPr id="0" name="sales_by_hour_of_day.png"/>
                    <pic:cNvPicPr/>
                  </pic:nvPicPr>
                  <pic:blipFill>
                    <a:blip r:embed="rId13"/>
                    <a:stretch>
                      <a:fillRect/>
                    </a:stretch>
                  </pic:blipFill>
                  <pic:spPr>
                    <a:xfrm>
                      <a:off x="0" y="0"/>
                      <a:ext cx="5669280" cy="2805023"/>
                    </a:xfrm>
                    <a:prstGeom prst="rect"/>
                  </pic:spPr>
                </pic:pic>
              </a:graphicData>
            </a:graphic>
          </wp:inline>
        </w:drawing>
      </w:r>
    </w:p>
    <w:p>
      <w:pPr>
        <w:pStyle w:val="Caption"/>
      </w:pPr>
      <w:r>
        <w:t>Hình 2.5: Doanh số trung bình theo giờ trong ngày</w:t>
      </w:r>
    </w:p>
    <w:p>
      <w:pPr>
        <w:jc w:val="center"/>
      </w:pPr>
      <w:r>
        <w:drawing>
          <wp:inline xmlns:a="http://schemas.openxmlformats.org/drawingml/2006/main" xmlns:pic="http://schemas.openxmlformats.org/drawingml/2006/picture">
            <wp:extent cx="5669280" cy="3516055"/>
            <wp:docPr id="6" name="Picture 6"/>
            <wp:cNvGraphicFramePr>
              <a:graphicFrameLocks noChangeAspect="1"/>
            </wp:cNvGraphicFramePr>
            <a:graphic>
              <a:graphicData uri="http://schemas.openxmlformats.org/drawingml/2006/picture">
                <pic:pic>
                  <pic:nvPicPr>
                    <pic:cNvPr id="0" name="sales_by_day_of_week.png"/>
                    <pic:cNvPicPr/>
                  </pic:nvPicPr>
                  <pic:blipFill>
                    <a:blip r:embed="rId14"/>
                    <a:stretch>
                      <a:fillRect/>
                    </a:stretch>
                  </pic:blipFill>
                  <pic:spPr>
                    <a:xfrm>
                      <a:off x="0" y="0"/>
                      <a:ext cx="5669280" cy="3516055"/>
                    </a:xfrm>
                    <a:prstGeom prst="rect"/>
                  </pic:spPr>
                </pic:pic>
              </a:graphicData>
            </a:graphic>
          </wp:inline>
        </w:drawing>
      </w:r>
    </w:p>
    <w:p>
      <w:pPr>
        <w:pStyle w:val="Caption"/>
      </w:pPr>
      <w:r>
        <w:t>Hình 2.6: Doanh số trung bình theo ngày trong tuần</w:t>
      </w:r>
    </w:p>
    <w:p>
      <w:pPr>
        <w:spacing w:line="360" w:lineRule="auto" w:before="0" w:after="120"/>
        <w:ind w:firstLine="360"/>
        <w:jc w:val="both"/>
      </w:pPr>
      <w:r>
        <w:t>Các biểu đồ mùa vụ cho thấy doanh số không phân bố đều theo thời gian mà thay đổi theo giờ và theo ngày trong tuần. Điều này biện minh cho các đặc trưng lag 24 giờ, 168 giờ ở cấp hourly, cũng như lag 7 ngày, 14 ngày và 28 ngày ở cấp daily. Kết quả này cũng giải thích vì sao seasonal naive là baseline mạnh: nếu hành vi mua hàng lặp lại theo tuần, dự báo dựa trên cùng kỳ tuần trước đã nắm được một phần đáng kể tín hiệu.</w:t>
      </w:r>
    </w:p>
    <w:p>
      <w:pPr>
        <w:spacing w:line="360" w:lineRule="auto" w:before="0" w:after="120"/>
        <w:ind w:firstLine="360"/>
        <w:jc w:val="both"/>
      </w:pPr>
      <w:r>
        <w:t>Riêng với stockout, seasonality theo giờ còn giúp hiểu điểm mù thứ hai của bài toán: tốc độ bán trong các giờ trước khi hết hàng có thể phản ánh demand đang tăng mạnh trước khi dữ liệu bị missing hoặc bị censor. Vì vậy, ở bước feature engineering, đồ án bổ sung các biến velocity/momentum như tỷ lệ rolling 3 giờ so với rolling 24 giờ và chênh lệch giữa các cửa sổ ngắn hạn.</w:t>
      </w:r>
    </w:p>
    <w:p>
      <w:pPr>
        <w:pStyle w:val="Heading2"/>
      </w:pPr>
      <w:r>
        <w:t>2.4. Lựa chọn và Đánh giá các Chuỗi Dữ liệu Đại diện</w:t>
      </w:r>
    </w:p>
    <w:p>
      <w:pPr>
        <w:spacing w:line="360" w:lineRule="auto" w:before="0" w:after="120"/>
        <w:ind w:firstLine="360"/>
        <w:jc w:val="both"/>
      </w:pPr>
      <w:r>
        <w:t>Chuỗi tổng hợp có thể che khuất sự khác biệt giữa các nhóm cửa hàng-sản phẩm. Vì vậy, đồ án chọn một số chuỗi đại diện theo ba nhóm: high-volume, intermittent và stockout-heavy. Cách chọn này giúp đánh giá bài toán trên các tình huống có ý nghĩa kinh doanh khác nhau thay vì chỉ nhìn trung bình tổng thể.</w:t>
      </w:r>
    </w:p>
    <w:p>
      <w:pPr>
        <w:pStyle w:val="TableCaption"/>
      </w:pPr>
      <w:r>
        <w:t>Bảng 2.2: Một số chuỗi đại diện được chọn để phân tích trực quan</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rPr>
              <w:t>series_id</w:t>
            </w:r>
          </w:p>
        </w:tc>
        <w:tc>
          <w:tcPr>
            <w:tcW w:type="dxa" w:w="1728"/>
          </w:tcPr>
          <w:p>
            <w:r>
              <w:rPr>
                <w:b/>
              </w:rPr>
              <w:t>type</w:t>
            </w:r>
          </w:p>
        </w:tc>
        <w:tc>
          <w:tcPr>
            <w:tcW w:type="dxa" w:w="1728"/>
          </w:tcPr>
          <w:p>
            <w:r>
              <w:rPr>
                <w:b/>
              </w:rPr>
              <w:t>total_sales</w:t>
            </w:r>
          </w:p>
        </w:tc>
        <w:tc>
          <w:tcPr>
            <w:tcW w:type="dxa" w:w="1728"/>
          </w:tcPr>
          <w:p>
            <w:r>
              <w:rPr>
                <w:b/>
              </w:rPr>
              <w:t>stockout_rate</w:t>
            </w:r>
          </w:p>
        </w:tc>
        <w:tc>
          <w:tcPr>
            <w:tcW w:type="dxa" w:w="1728"/>
          </w:tcPr>
          <w:p>
            <w:r>
              <w:rPr>
                <w:b/>
              </w:rPr>
              <w:t>n_obs</w:t>
            </w:r>
          </w:p>
        </w:tc>
      </w:tr>
      <w:tr>
        <w:tc>
          <w:tcPr>
            <w:tcW w:type="dxa" w:w="1728"/>
          </w:tcPr>
          <w:p>
            <w:r>
              <w:t>4_11_267</w:t>
            </w:r>
          </w:p>
        </w:tc>
        <w:tc>
          <w:tcPr>
            <w:tcW w:type="dxa" w:w="1728"/>
          </w:tcPr>
          <w:p>
            <w:r>
              <w:t>high_volume</w:t>
            </w:r>
          </w:p>
        </w:tc>
        <w:tc>
          <w:tcPr>
            <w:tcW w:type="dxa" w:w="1728"/>
          </w:tcPr>
          <w:p>
            <w:r>
              <w:t>1896.5</w:t>
            </w:r>
          </w:p>
        </w:tc>
        <w:tc>
          <w:tcPr>
            <w:tcW w:type="dxa" w:w="1728"/>
          </w:tcPr>
          <w:p>
            <w:r>
              <w:t>0.60695875</w:t>
            </w:r>
          </w:p>
        </w:tc>
        <w:tc>
          <w:tcPr>
            <w:tcW w:type="dxa" w:w="1728"/>
          </w:tcPr>
          <w:p>
            <w:r>
              <w:t>2328</w:t>
            </w:r>
          </w:p>
        </w:tc>
      </w:tr>
      <w:tr>
        <w:tc>
          <w:tcPr>
            <w:tcW w:type="dxa" w:w="1728"/>
          </w:tcPr>
          <w:p>
            <w:r>
              <w:t>3_793_550</w:t>
            </w:r>
          </w:p>
        </w:tc>
        <w:tc>
          <w:tcPr>
            <w:tcW w:type="dxa" w:w="1728"/>
          </w:tcPr>
          <w:p>
            <w:r>
              <w:t>intermittent</w:t>
            </w:r>
          </w:p>
        </w:tc>
        <w:tc>
          <w:tcPr>
            <w:tcW w:type="dxa" w:w="1728"/>
          </w:tcPr>
          <w:p>
            <w:r>
              <w:t>49.7</w:t>
            </w:r>
          </w:p>
        </w:tc>
        <w:tc>
          <w:tcPr>
            <w:tcW w:type="dxa" w:w="1728"/>
          </w:tcPr>
          <w:p>
            <w:r>
              <w:t>0.19072165</w:t>
            </w:r>
          </w:p>
        </w:tc>
        <w:tc>
          <w:tcPr>
            <w:tcW w:type="dxa" w:w="1728"/>
          </w:tcPr>
          <w:p>
            <w:r>
              <w:t>2328</w:t>
            </w:r>
          </w:p>
        </w:tc>
      </w:tr>
      <w:tr>
        <w:tc>
          <w:tcPr>
            <w:tcW w:type="dxa" w:w="1728"/>
          </w:tcPr>
          <w:p>
            <w:r>
              <w:t>5_6_757</w:t>
            </w:r>
          </w:p>
        </w:tc>
        <w:tc>
          <w:tcPr>
            <w:tcW w:type="dxa" w:w="1728"/>
          </w:tcPr>
          <w:p>
            <w:r>
              <w:t>stockout_heavy</w:t>
            </w:r>
          </w:p>
        </w:tc>
        <w:tc>
          <w:tcPr>
            <w:tcW w:type="dxa" w:w="1728"/>
          </w:tcPr>
          <w:p>
            <w:r>
              <w:t>48.4</w:t>
            </w:r>
          </w:p>
        </w:tc>
        <w:tc>
          <w:tcPr>
            <w:tcW w:type="dxa" w:w="1728"/>
          </w:tcPr>
          <w:p>
            <w:r>
              <w:t>0.7371134</w:t>
            </w:r>
          </w:p>
        </w:tc>
        <w:tc>
          <w:tcPr>
            <w:tcW w:type="dxa" w:w="1728"/>
          </w:tcPr>
          <w:p>
            <w:r>
              <w:t>2328</w:t>
            </w:r>
          </w:p>
        </w:tc>
      </w:tr>
    </w:tbl>
    <w:p/>
    <w:p>
      <w:pPr>
        <w:jc w:val="center"/>
      </w:pPr>
      <w:r>
        <w:drawing>
          <wp:inline xmlns:a="http://schemas.openxmlformats.org/drawingml/2006/main" xmlns:pic="http://schemas.openxmlformats.org/drawingml/2006/picture">
            <wp:extent cx="5669280" cy="2333194"/>
            <wp:docPr id="7" name="Picture 7"/>
            <wp:cNvGraphicFramePr>
              <a:graphicFrameLocks noChangeAspect="1"/>
            </wp:cNvGraphicFramePr>
            <a:graphic>
              <a:graphicData uri="http://schemas.openxmlformats.org/drawingml/2006/picture">
                <pic:pic>
                  <pic:nvPicPr>
                    <pic:cNvPr id="0" name="representative_series_high_volume.png"/>
                    <pic:cNvPicPr/>
                  </pic:nvPicPr>
                  <pic:blipFill>
                    <a:blip r:embed="rId15"/>
                    <a:stretch>
                      <a:fillRect/>
                    </a:stretch>
                  </pic:blipFill>
                  <pic:spPr>
                    <a:xfrm>
                      <a:off x="0" y="0"/>
                      <a:ext cx="5669280" cy="2333194"/>
                    </a:xfrm>
                    <a:prstGeom prst="rect"/>
                  </pic:spPr>
                </pic:pic>
              </a:graphicData>
            </a:graphic>
          </wp:inline>
        </w:drawing>
      </w:r>
    </w:p>
    <w:p>
      <w:pPr>
        <w:pStyle w:val="Caption"/>
      </w:pPr>
      <w:r>
        <w:t>Hình 2.7: Chuỗi đại diện nhóm doanh số cao</w:t>
      </w:r>
    </w:p>
    <w:p>
      <w:pPr>
        <w:jc w:val="center"/>
      </w:pPr>
      <w:r>
        <w:drawing>
          <wp:inline xmlns:a="http://schemas.openxmlformats.org/drawingml/2006/main" xmlns:pic="http://schemas.openxmlformats.org/drawingml/2006/picture">
            <wp:extent cx="5669280" cy="2333194"/>
            <wp:docPr id="8" name="Picture 8"/>
            <wp:cNvGraphicFramePr>
              <a:graphicFrameLocks noChangeAspect="1"/>
            </wp:cNvGraphicFramePr>
            <a:graphic>
              <a:graphicData uri="http://schemas.openxmlformats.org/drawingml/2006/picture">
                <pic:pic>
                  <pic:nvPicPr>
                    <pic:cNvPr id="0" name="representative_series_intermittent.png"/>
                    <pic:cNvPicPr/>
                  </pic:nvPicPr>
                  <pic:blipFill>
                    <a:blip r:embed="rId16"/>
                    <a:stretch>
                      <a:fillRect/>
                    </a:stretch>
                  </pic:blipFill>
                  <pic:spPr>
                    <a:xfrm>
                      <a:off x="0" y="0"/>
                      <a:ext cx="5669280" cy="2333194"/>
                    </a:xfrm>
                    <a:prstGeom prst="rect"/>
                  </pic:spPr>
                </pic:pic>
              </a:graphicData>
            </a:graphic>
          </wp:inline>
        </w:drawing>
      </w:r>
    </w:p>
    <w:p>
      <w:pPr>
        <w:pStyle w:val="Caption"/>
      </w:pPr>
      <w:r>
        <w:t>Hình 2.8: Chuỗi đại diện nhóm bán gián đoạn</w:t>
      </w:r>
    </w:p>
    <w:p>
      <w:pPr>
        <w:jc w:val="center"/>
      </w:pPr>
      <w:r>
        <w:drawing>
          <wp:inline xmlns:a="http://schemas.openxmlformats.org/drawingml/2006/main" xmlns:pic="http://schemas.openxmlformats.org/drawingml/2006/picture">
            <wp:extent cx="5669280" cy="2333194"/>
            <wp:docPr id="9" name="Picture 9"/>
            <wp:cNvGraphicFramePr>
              <a:graphicFrameLocks noChangeAspect="1"/>
            </wp:cNvGraphicFramePr>
            <a:graphic>
              <a:graphicData uri="http://schemas.openxmlformats.org/drawingml/2006/picture">
                <pic:pic>
                  <pic:nvPicPr>
                    <pic:cNvPr id="0" name="representative_series_stockout_heavy.png"/>
                    <pic:cNvPicPr/>
                  </pic:nvPicPr>
                  <pic:blipFill>
                    <a:blip r:embed="rId17"/>
                    <a:stretch>
                      <a:fillRect/>
                    </a:stretch>
                  </pic:blipFill>
                  <pic:spPr>
                    <a:xfrm>
                      <a:off x="0" y="0"/>
                      <a:ext cx="5669280" cy="2333194"/>
                    </a:xfrm>
                    <a:prstGeom prst="rect"/>
                  </pic:spPr>
                </pic:pic>
              </a:graphicData>
            </a:graphic>
          </wp:inline>
        </w:drawing>
      </w:r>
    </w:p>
    <w:p>
      <w:pPr>
        <w:pStyle w:val="Caption"/>
      </w:pPr>
      <w:r>
        <w:t>Hình 2.9: Chuỗi đại diện nhóm chịu stockout nặng</w:t>
      </w:r>
    </w:p>
    <w:p>
      <w:pPr>
        <w:spacing w:line="360" w:lineRule="auto" w:before="0" w:after="120"/>
        <w:ind w:firstLine="360"/>
        <w:jc w:val="both"/>
      </w:pPr>
      <w:r>
        <w:t>Nhóm high-volume thường có tín hiệu rõ và dễ học mùa vụ hơn. Nhóm intermittent có nhiều giá trị 0, khiến dự báo từng thời điểm khó hơn và cần đánh giá ở cấp tổng hợp. Nhóm stockout-heavy là nhóm quan trọng để chứng minh đóng góp của đồ án: nếu không xử lý stockout, mô hình có nguy cơ học theo doanh số bị kiểm duyệt thay vì nhu cầu thực.</w:t>
      </w:r>
    </w:p>
    <w:p>
      <w:pPr>
        <w:spacing w:line="360" w:lineRule="auto" w:before="0" w:after="120"/>
        <w:ind w:firstLine="360"/>
        <w:jc w:val="both"/>
      </w:pPr>
      <w:r>
        <w:t>Sự khác biệt giữa các nhóm chuỗi là lý do chính để dùng global model. Mô hình toàn cục có thể học pattern chung giữa nhiều chuỗi, đồng thời dùng định danh cửa hàng, sản phẩm và nhóm hàng để phân biệt hành vi riêng, thay vì huấn luyện thủ công một mô hình riêng cho từng chuỗi thưa.</w:t>
      </w:r>
    </w:p>
    <w:p>
      <w:pPr>
        <w:pStyle w:val="Heading2"/>
      </w:pPr>
      <w:r>
        <w:t>2.5. Phân tích Đặc tính Chuỗi Thời gian: Kiểm định Tính Dừng (Stationary Testing)</w:t>
      </w:r>
    </w:p>
    <w:p>
      <w:pPr>
        <w:spacing w:line="360" w:lineRule="auto" w:before="0" w:after="120"/>
        <w:ind w:firstLine="360"/>
        <w:jc w:val="both"/>
      </w:pPr>
      <w:r>
        <w:t>Tính dừng được kiểm tra bằng ADF và KPSS như một bước chẩn đoán, không phải để ép toàn bộ bài toán về ARIMA/SARIMA. ADF có giả thuyết gốc là chuỗi không dừng, trong khi KPSS có giả thuyết gốc là chuỗi dừng. Khi hai kiểm định cho kết quả khác nhau, kết luận nên được xem là bằng chứng hỗn hợp.</w:t>
      </w:r>
    </w:p>
    <w:p>
      <w:pPr>
        <w:pStyle w:val="TableCaption"/>
      </w:pPr>
      <w:r>
        <w:t>Bảng 2.3: Tóm tắt kiểm định tính dừng bằng ADF và KPSS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rPr>
              <w:t>Chuỗi</w:t>
            </w:r>
          </w:p>
        </w:tc>
        <w:tc>
          <w:tcPr>
            <w:tcW w:type="dxa" w:w="1728"/>
          </w:tcPr>
          <w:p>
            <w:r>
              <w:rPr>
                <w:b/>
              </w:rPr>
              <w:t>Biến đổi</w:t>
            </w:r>
          </w:p>
        </w:tc>
        <w:tc>
          <w:tcPr>
            <w:tcW w:type="dxa" w:w="1728"/>
          </w:tcPr>
          <w:p>
            <w:r>
              <w:rPr>
                <w:b/>
              </w:rPr>
              <w:t>ADF p-value</w:t>
            </w:r>
          </w:p>
        </w:tc>
        <w:tc>
          <w:tcPr>
            <w:tcW w:type="dxa" w:w="1728"/>
          </w:tcPr>
          <w:p>
            <w:r>
              <w:rPr>
                <w:b/>
              </w:rPr>
              <w:t>KPSS p-value</w:t>
            </w:r>
          </w:p>
        </w:tc>
        <w:tc>
          <w:tcPr>
            <w:tcW w:type="dxa" w:w="1728"/>
          </w:tcPr>
          <w:p>
            <w:r>
              <w:rPr>
                <w:b/>
              </w:rPr>
              <w:t>Kết luận</w:t>
            </w:r>
          </w:p>
        </w:tc>
      </w:tr>
      <w:tr>
        <w:tc>
          <w:tcPr>
            <w:tcW w:type="dxa" w:w="1728"/>
          </w:tcPr>
          <w:p>
            <w:r>
              <w:t>aggregate_hourly_sales</w:t>
            </w:r>
          </w:p>
        </w:tc>
        <w:tc>
          <w:tcPr>
            <w:tcW w:type="dxa" w:w="1728"/>
          </w:tcPr>
          <w:p>
            <w:r>
              <w:t>original</w:t>
            </w:r>
          </w:p>
        </w:tc>
        <w:tc>
          <w:tcPr>
            <w:tcW w:type="dxa" w:w="1728"/>
          </w:tcPr>
          <w:p>
            <w:r>
              <w:t>5.04e-07</w:t>
            </w:r>
          </w:p>
        </w:tc>
        <w:tc>
          <w:tcPr>
            <w:tcW w:type="dxa" w:w="1728"/>
          </w:tcPr>
          <w:p>
            <w:r>
              <w:t>1.00e-02</w:t>
            </w:r>
          </w:p>
        </w:tc>
        <w:tc>
          <w:tcPr>
            <w:tcW w:type="dxa" w:w="1728"/>
          </w:tcPr>
          <w:p>
            <w:r>
              <w:t>mixed evidence</w:t>
            </w:r>
          </w:p>
        </w:tc>
      </w:tr>
      <w:tr>
        <w:tc>
          <w:tcPr>
            <w:tcW w:type="dxa" w:w="1728"/>
          </w:tcPr>
          <w:p>
            <w:r>
              <w:t>aggregate_hourly_sales</w:t>
            </w:r>
          </w:p>
        </w:tc>
        <w:tc>
          <w:tcPr>
            <w:tcW w:type="dxa" w:w="1728"/>
          </w:tcPr>
          <w:p>
            <w:r>
              <w:t>log1p</w:t>
            </w:r>
          </w:p>
        </w:tc>
        <w:tc>
          <w:tcPr>
            <w:tcW w:type="dxa" w:w="1728"/>
          </w:tcPr>
          <w:p>
            <w:r>
              <w:t>2.35e-06</w:t>
            </w:r>
          </w:p>
        </w:tc>
        <w:tc>
          <w:tcPr>
            <w:tcW w:type="dxa" w:w="1728"/>
          </w:tcPr>
          <w:p>
            <w:r>
              <w:t>1.00e-02</w:t>
            </w:r>
          </w:p>
        </w:tc>
        <w:tc>
          <w:tcPr>
            <w:tcW w:type="dxa" w:w="1728"/>
          </w:tcPr>
          <w:p>
            <w:r>
              <w:t>mixed evidence</w:t>
            </w:r>
          </w:p>
        </w:tc>
      </w:tr>
      <w:tr>
        <w:tc>
          <w:tcPr>
            <w:tcW w:type="dxa" w:w="1728"/>
          </w:tcPr>
          <w:p>
            <w:r>
              <w:t>aggregate_hourly_sales</w:t>
            </w:r>
          </w:p>
        </w:tc>
        <w:tc>
          <w:tcPr>
            <w:tcW w:type="dxa" w:w="1728"/>
          </w:tcPr>
          <w:p>
            <w:r>
              <w:t>first_difference</w:t>
            </w:r>
          </w:p>
        </w:tc>
        <w:tc>
          <w:tcPr>
            <w:tcW w:type="dxa" w:w="1728"/>
          </w:tcPr>
          <w:p>
            <w:r>
              <w:t>1.14e-28</w:t>
            </w:r>
          </w:p>
        </w:tc>
        <w:tc>
          <w:tcPr>
            <w:tcW w:type="dxa" w:w="1728"/>
          </w:tcPr>
          <w:p>
            <w:r>
              <w:t>1.00e-01</w:t>
            </w:r>
          </w:p>
        </w:tc>
        <w:tc>
          <w:tcPr>
            <w:tcW w:type="dxa" w:w="1728"/>
          </w:tcPr>
          <w:p>
            <w:r>
              <w:t>stationary</w:t>
            </w:r>
          </w:p>
        </w:tc>
      </w:tr>
      <w:tr>
        <w:tc>
          <w:tcPr>
            <w:tcW w:type="dxa" w:w="1728"/>
          </w:tcPr>
          <w:p>
            <w:r>
              <w:t>aggregate_hourly_sales</w:t>
            </w:r>
          </w:p>
        </w:tc>
        <w:tc>
          <w:tcPr>
            <w:tcW w:type="dxa" w:w="1728"/>
          </w:tcPr>
          <w:p>
            <w:r>
              <w:t>seasonal_difference_lag_24</w:t>
            </w:r>
          </w:p>
        </w:tc>
        <w:tc>
          <w:tcPr>
            <w:tcW w:type="dxa" w:w="1728"/>
          </w:tcPr>
          <w:p>
            <w:r>
              <w:t>4.46e-15</w:t>
            </w:r>
          </w:p>
        </w:tc>
        <w:tc>
          <w:tcPr>
            <w:tcW w:type="dxa" w:w="1728"/>
          </w:tcPr>
          <w:p>
            <w:r>
              <w:t>1.00e-01</w:t>
            </w:r>
          </w:p>
        </w:tc>
        <w:tc>
          <w:tcPr>
            <w:tcW w:type="dxa" w:w="1728"/>
          </w:tcPr>
          <w:p>
            <w:r>
              <w:t>stationary</w:t>
            </w:r>
          </w:p>
        </w:tc>
      </w:tr>
      <w:tr>
        <w:tc>
          <w:tcPr>
            <w:tcW w:type="dxa" w:w="1728"/>
          </w:tcPr>
          <w:p>
            <w:r>
              <w:t>high_volume_series</w:t>
            </w:r>
          </w:p>
        </w:tc>
        <w:tc>
          <w:tcPr>
            <w:tcW w:type="dxa" w:w="1728"/>
          </w:tcPr>
          <w:p>
            <w:r>
              <w:t>original</w:t>
            </w:r>
          </w:p>
        </w:tc>
        <w:tc>
          <w:tcPr>
            <w:tcW w:type="dxa" w:w="1728"/>
          </w:tcPr>
          <w:p>
            <w:r>
              <w:t>3.07e-01</w:t>
            </w:r>
          </w:p>
        </w:tc>
        <w:tc>
          <w:tcPr>
            <w:tcW w:type="dxa" w:w="1728"/>
          </w:tcPr>
          <w:p>
            <w:r>
              <w:t>1.00e-02</w:t>
            </w:r>
          </w:p>
        </w:tc>
        <w:tc>
          <w:tcPr>
            <w:tcW w:type="dxa" w:w="1728"/>
          </w:tcPr>
          <w:p>
            <w:r>
              <w:t>non-stationary</w:t>
            </w:r>
          </w:p>
        </w:tc>
      </w:tr>
      <w:tr>
        <w:tc>
          <w:tcPr>
            <w:tcW w:type="dxa" w:w="1728"/>
          </w:tcPr>
          <w:p>
            <w:r>
              <w:t>high_volume_series</w:t>
            </w:r>
          </w:p>
        </w:tc>
        <w:tc>
          <w:tcPr>
            <w:tcW w:type="dxa" w:w="1728"/>
          </w:tcPr>
          <w:p>
            <w:r>
              <w:t>log1p</w:t>
            </w:r>
          </w:p>
        </w:tc>
        <w:tc>
          <w:tcPr>
            <w:tcW w:type="dxa" w:w="1728"/>
          </w:tcPr>
          <w:p>
            <w:r>
              <w:t>4.26e-01</w:t>
            </w:r>
          </w:p>
        </w:tc>
        <w:tc>
          <w:tcPr>
            <w:tcW w:type="dxa" w:w="1728"/>
          </w:tcPr>
          <w:p>
            <w:r>
              <w:t>1.00e-02</w:t>
            </w:r>
          </w:p>
        </w:tc>
        <w:tc>
          <w:tcPr>
            <w:tcW w:type="dxa" w:w="1728"/>
          </w:tcPr>
          <w:p>
            <w:r>
              <w:t>non-stationary</w:t>
            </w:r>
          </w:p>
        </w:tc>
      </w:tr>
      <w:tr>
        <w:tc>
          <w:tcPr>
            <w:tcW w:type="dxa" w:w="1728"/>
          </w:tcPr>
          <w:p>
            <w:r>
              <w:t>high_volume_series</w:t>
            </w:r>
          </w:p>
        </w:tc>
        <w:tc>
          <w:tcPr>
            <w:tcW w:type="dxa" w:w="1728"/>
          </w:tcPr>
          <w:p>
            <w:r>
              <w:t>first_difference</w:t>
            </w:r>
          </w:p>
        </w:tc>
        <w:tc>
          <w:tcPr>
            <w:tcW w:type="dxa" w:w="1728"/>
          </w:tcPr>
          <w:p>
            <w:r>
              <w:t>0.00e+00</w:t>
            </w:r>
          </w:p>
        </w:tc>
        <w:tc>
          <w:tcPr>
            <w:tcW w:type="dxa" w:w="1728"/>
          </w:tcPr>
          <w:p>
            <w:r>
              <w:t>1.00e-01</w:t>
            </w:r>
          </w:p>
        </w:tc>
        <w:tc>
          <w:tcPr>
            <w:tcW w:type="dxa" w:w="1728"/>
          </w:tcPr>
          <w:p>
            <w:r>
              <w:t>stationary</w:t>
            </w:r>
          </w:p>
        </w:tc>
      </w:tr>
      <w:tr>
        <w:tc>
          <w:tcPr>
            <w:tcW w:type="dxa" w:w="1728"/>
          </w:tcPr>
          <w:p>
            <w:r>
              <w:t>high_volume_series</w:t>
            </w:r>
          </w:p>
        </w:tc>
        <w:tc>
          <w:tcPr>
            <w:tcW w:type="dxa" w:w="1728"/>
          </w:tcPr>
          <w:p>
            <w:r>
              <w:t>seasonal_difference_lag_24</w:t>
            </w:r>
          </w:p>
        </w:tc>
        <w:tc>
          <w:tcPr>
            <w:tcW w:type="dxa" w:w="1728"/>
          </w:tcPr>
          <w:p>
            <w:r>
              <w:t>1.51e-23</w:t>
            </w:r>
          </w:p>
        </w:tc>
        <w:tc>
          <w:tcPr>
            <w:tcW w:type="dxa" w:w="1728"/>
          </w:tcPr>
          <w:p>
            <w:r>
              <w:t>1.00e-01</w:t>
            </w:r>
          </w:p>
        </w:tc>
        <w:tc>
          <w:tcPr>
            <w:tcW w:type="dxa" w:w="1728"/>
          </w:tcPr>
          <w:p>
            <w:r>
              <w:t>stationary</w:t>
            </w:r>
          </w:p>
        </w:tc>
      </w:tr>
      <w:tr>
        <w:tc>
          <w:tcPr>
            <w:tcW w:type="dxa" w:w="1728"/>
          </w:tcPr>
          <w:p>
            <w:r>
              <w:t>intermittent_series</w:t>
            </w:r>
          </w:p>
        </w:tc>
        <w:tc>
          <w:tcPr>
            <w:tcW w:type="dxa" w:w="1728"/>
          </w:tcPr>
          <w:p>
            <w:r>
              <w:t>original</w:t>
            </w:r>
          </w:p>
        </w:tc>
        <w:tc>
          <w:tcPr>
            <w:tcW w:type="dxa" w:w="1728"/>
          </w:tcPr>
          <w:p>
            <w:r>
              <w:t>0.00e+00</w:t>
            </w:r>
          </w:p>
        </w:tc>
        <w:tc>
          <w:tcPr>
            <w:tcW w:type="dxa" w:w="1728"/>
          </w:tcPr>
          <w:p>
            <w:r>
              <w:t>1.00e-01</w:t>
            </w:r>
          </w:p>
        </w:tc>
        <w:tc>
          <w:tcPr>
            <w:tcW w:type="dxa" w:w="1728"/>
          </w:tcPr>
          <w:p>
            <w:r>
              <w:t>stationary</w:t>
            </w:r>
          </w:p>
        </w:tc>
      </w:tr>
      <w:tr>
        <w:tc>
          <w:tcPr>
            <w:tcW w:type="dxa" w:w="1728"/>
          </w:tcPr>
          <w:p>
            <w:r>
              <w:t>intermittent_series</w:t>
            </w:r>
          </w:p>
        </w:tc>
        <w:tc>
          <w:tcPr>
            <w:tcW w:type="dxa" w:w="1728"/>
          </w:tcPr>
          <w:p>
            <w:r>
              <w:t>log1p</w:t>
            </w:r>
          </w:p>
        </w:tc>
        <w:tc>
          <w:tcPr>
            <w:tcW w:type="dxa" w:w="1728"/>
          </w:tcPr>
          <w:p>
            <w:r>
              <w:t>0.00e+00</w:t>
            </w:r>
          </w:p>
        </w:tc>
        <w:tc>
          <w:tcPr>
            <w:tcW w:type="dxa" w:w="1728"/>
          </w:tcPr>
          <w:p>
            <w:r>
              <w:t>1.00e-01</w:t>
            </w:r>
          </w:p>
        </w:tc>
        <w:tc>
          <w:tcPr>
            <w:tcW w:type="dxa" w:w="1728"/>
          </w:tcPr>
          <w:p>
            <w:r>
              <w:t>stationary</w:t>
            </w:r>
          </w:p>
        </w:tc>
      </w:tr>
      <w:tr>
        <w:tc>
          <w:tcPr>
            <w:tcW w:type="dxa" w:w="1728"/>
          </w:tcPr>
          <w:p>
            <w:r>
              <w:t>intermittent_series</w:t>
            </w:r>
          </w:p>
        </w:tc>
        <w:tc>
          <w:tcPr>
            <w:tcW w:type="dxa" w:w="1728"/>
          </w:tcPr>
          <w:p>
            <w:r>
              <w:t>first_difference</w:t>
            </w:r>
          </w:p>
        </w:tc>
        <w:tc>
          <w:tcPr>
            <w:tcW w:type="dxa" w:w="1728"/>
          </w:tcPr>
          <w:p>
            <w:r>
              <w:t>2.81e-30</w:t>
            </w:r>
          </w:p>
        </w:tc>
        <w:tc>
          <w:tcPr>
            <w:tcW w:type="dxa" w:w="1728"/>
          </w:tcPr>
          <w:p>
            <w:r>
              <w:t>1.00e-01</w:t>
            </w:r>
          </w:p>
        </w:tc>
        <w:tc>
          <w:tcPr>
            <w:tcW w:type="dxa" w:w="1728"/>
          </w:tcPr>
          <w:p>
            <w:r>
              <w:t>stationary</w:t>
            </w:r>
          </w:p>
        </w:tc>
      </w:tr>
      <w:tr>
        <w:tc>
          <w:tcPr>
            <w:tcW w:type="dxa" w:w="1728"/>
          </w:tcPr>
          <w:p>
            <w:r>
              <w:t>intermittent_series</w:t>
            </w:r>
          </w:p>
        </w:tc>
        <w:tc>
          <w:tcPr>
            <w:tcW w:type="dxa" w:w="1728"/>
          </w:tcPr>
          <w:p>
            <w:r>
              <w:t>seasonal_difference_lag_24</w:t>
            </w:r>
          </w:p>
        </w:tc>
        <w:tc>
          <w:tcPr>
            <w:tcW w:type="dxa" w:w="1728"/>
          </w:tcPr>
          <w:p>
            <w:r>
              <w:t>4.84e-28</w:t>
            </w:r>
          </w:p>
        </w:tc>
        <w:tc>
          <w:tcPr>
            <w:tcW w:type="dxa" w:w="1728"/>
          </w:tcPr>
          <w:p>
            <w:r>
              <w:t>1.00e-01</w:t>
            </w:r>
          </w:p>
        </w:tc>
        <w:tc>
          <w:tcPr>
            <w:tcW w:type="dxa" w:w="1728"/>
          </w:tcPr>
          <w:p>
            <w:r>
              <w:t>stationary</w:t>
            </w:r>
          </w:p>
        </w:tc>
      </w:tr>
      <w:tr>
        <w:tc>
          <w:tcPr>
            <w:tcW w:type="dxa" w:w="1728"/>
          </w:tcPr>
          <w:p>
            <w:r>
              <w:t>stockout_heavy_series</w:t>
            </w:r>
          </w:p>
        </w:tc>
        <w:tc>
          <w:tcPr>
            <w:tcW w:type="dxa" w:w="1728"/>
          </w:tcPr>
          <w:p>
            <w:r>
              <w:t>original</w:t>
            </w:r>
          </w:p>
        </w:tc>
        <w:tc>
          <w:tcPr>
            <w:tcW w:type="dxa" w:w="1728"/>
          </w:tcPr>
          <w:p>
            <w:r>
              <w:t>5.78e-03</w:t>
            </w:r>
          </w:p>
        </w:tc>
        <w:tc>
          <w:tcPr>
            <w:tcW w:type="dxa" w:w="1728"/>
          </w:tcPr>
          <w:p>
            <w:r>
              <w:t>1.00e-02</w:t>
            </w:r>
          </w:p>
        </w:tc>
        <w:tc>
          <w:tcPr>
            <w:tcW w:type="dxa" w:w="1728"/>
          </w:tcPr>
          <w:p>
            <w:r>
              <w:t>mixed evidence</w:t>
            </w:r>
          </w:p>
        </w:tc>
      </w:tr>
      <w:tr>
        <w:tc>
          <w:tcPr>
            <w:tcW w:type="dxa" w:w="1728"/>
          </w:tcPr>
          <w:p>
            <w:r>
              <w:t>stockout_heavy_series</w:t>
            </w:r>
          </w:p>
        </w:tc>
        <w:tc>
          <w:tcPr>
            <w:tcW w:type="dxa" w:w="1728"/>
          </w:tcPr>
          <w:p>
            <w:r>
              <w:t>log1p</w:t>
            </w:r>
          </w:p>
        </w:tc>
        <w:tc>
          <w:tcPr>
            <w:tcW w:type="dxa" w:w="1728"/>
          </w:tcPr>
          <w:p>
            <w:r>
              <w:t>3.08e-03</w:t>
            </w:r>
          </w:p>
        </w:tc>
        <w:tc>
          <w:tcPr>
            <w:tcW w:type="dxa" w:w="1728"/>
          </w:tcPr>
          <w:p>
            <w:r>
              <w:t>1.00e-02</w:t>
            </w:r>
          </w:p>
        </w:tc>
        <w:tc>
          <w:tcPr>
            <w:tcW w:type="dxa" w:w="1728"/>
          </w:tcPr>
          <w:p>
            <w:r>
              <w:t>mixed evidence</w:t>
            </w:r>
          </w:p>
        </w:tc>
      </w:tr>
      <w:tr>
        <w:tc>
          <w:tcPr>
            <w:tcW w:type="dxa" w:w="1728"/>
          </w:tcPr>
          <w:p>
            <w:r>
              <w:t>stockout_heavy_series</w:t>
            </w:r>
          </w:p>
        </w:tc>
        <w:tc>
          <w:tcPr>
            <w:tcW w:type="dxa" w:w="1728"/>
          </w:tcPr>
          <w:p>
            <w:r>
              <w:t>first_difference</w:t>
            </w:r>
          </w:p>
        </w:tc>
        <w:tc>
          <w:tcPr>
            <w:tcW w:type="dxa" w:w="1728"/>
          </w:tcPr>
          <w:p>
            <w:r>
              <w:t>1.70e-29</w:t>
            </w:r>
          </w:p>
        </w:tc>
        <w:tc>
          <w:tcPr>
            <w:tcW w:type="dxa" w:w="1728"/>
          </w:tcPr>
          <w:p>
            <w:r>
              <w:t>1.00e-01</w:t>
            </w:r>
          </w:p>
        </w:tc>
        <w:tc>
          <w:tcPr>
            <w:tcW w:type="dxa" w:w="1728"/>
          </w:tcPr>
          <w:p>
            <w:r>
              <w:t>stationary</w:t>
            </w:r>
          </w:p>
        </w:tc>
      </w:tr>
      <w:tr>
        <w:tc>
          <w:tcPr>
            <w:tcW w:type="dxa" w:w="1728"/>
          </w:tcPr>
          <w:p>
            <w:r>
              <w:t>stockout_heavy_series</w:t>
            </w:r>
          </w:p>
        </w:tc>
        <w:tc>
          <w:tcPr>
            <w:tcW w:type="dxa" w:w="1728"/>
          </w:tcPr>
          <w:p>
            <w:r>
              <w:t>seasonal_difference_lag_24</w:t>
            </w:r>
          </w:p>
        </w:tc>
        <w:tc>
          <w:tcPr>
            <w:tcW w:type="dxa" w:w="1728"/>
          </w:tcPr>
          <w:p>
            <w:r>
              <w:t>6.08e-18</w:t>
            </w:r>
          </w:p>
        </w:tc>
        <w:tc>
          <w:tcPr>
            <w:tcW w:type="dxa" w:w="1728"/>
          </w:tcPr>
          <w:p>
            <w:r>
              <w:t>1.00e-01</w:t>
            </w:r>
          </w:p>
        </w:tc>
        <w:tc>
          <w:tcPr>
            <w:tcW w:type="dxa" w:w="1728"/>
          </w:tcPr>
          <w:p>
            <w:r>
              <w:t>stationary</w:t>
            </w:r>
          </w:p>
        </w:tc>
      </w:tr>
    </w:tbl>
    <w:p/>
    <w:p>
      <w:pPr>
        <w:spacing w:line="360" w:lineRule="auto" w:before="0" w:after="120"/>
        <w:ind w:firstLine="360"/>
        <w:jc w:val="both"/>
      </w:pPr>
      <w:r>
        <w:t>Kết quả cho thấy chuỗi tổng hợp ở dạng gốc có dấu hiệu không ổn định, nhưng sau sai phân hoặc sai phân mùa vụ thì trở nên dừng rõ hơn. Điều này xác nhận rằng dữ liệu có cấu trúc phụ thuộc theo thời gian và seasonality. Tuy nhiên, vì dữ liệu gồm nhiều chuỗi thưa, nhiều stockout và nhiều covariates, việc fit một mô hình classical riêng cho từng chuỗi sẽ khó mở rộng và khó ổn định.</w:t>
      </w:r>
    </w:p>
    <w:p>
      <w:pPr>
        <w:spacing w:line="360" w:lineRule="auto" w:before="0" w:after="120"/>
        <w:ind w:firstLine="360"/>
        <w:jc w:val="both"/>
      </w:pPr>
      <w:r>
        <w:t>Do đó, kiểm định tính dừng được dùng để thiết kế đặc trưng như lag, rolling mean, rolling sum và seasonal lag, còn mô hình chính vẫn là global ML model. Cách tiếp cận này giữ được tinh thần phân tích chuỗi thời gian nhưng phù hợp hơn với quy mô và bản chất dữ liệu bán lẻ nhiều chuỗi.</w:t>
      </w:r>
    </w:p>
    <w:p>
      <w:pPr>
        <w:pStyle w:val="Heading2"/>
      </w:pPr>
      <w:r>
        <w:t>2.6. Tự tương quan (ACF/PACF) và Phân tích Phổ (Spectrum Analysis)</w:t>
      </w:r>
    </w:p>
    <w:p>
      <w:pPr>
        <w:spacing w:line="360" w:lineRule="auto" w:before="0" w:after="120"/>
        <w:ind w:firstLine="360"/>
        <w:jc w:val="both"/>
      </w:pPr>
      <w:r>
        <w:t>ACF/PACF được dùng để kiểm tra trực tiếp cấu trúc phụ thuộc theo lag. Nếu ACF duy trì ở các lag mùa vụ, mô hình nên được cung cấp các biến trễ tương ứng. PACF giúp quan sát phần phụ thuộc trực tiếp sau khi loại bớt ảnh hưởng của các lag trung gian. Trong bài này, ACF/PACF không nhằm chọn bậc ARIMA cuối cùng, mà đóng vai trò xác nhận các lag feature cho mô hình học máy.</w:t>
      </w:r>
    </w:p>
    <w:p>
      <w:pPr>
        <w:jc w:val="center"/>
      </w:pPr>
      <w:r>
        <w:drawing>
          <wp:inline xmlns:a="http://schemas.openxmlformats.org/drawingml/2006/main" xmlns:pic="http://schemas.openxmlformats.org/drawingml/2006/picture">
            <wp:extent cx="5669280" cy="2810739"/>
            <wp:docPr id="10" name="Picture 10"/>
            <wp:cNvGraphicFramePr>
              <a:graphicFrameLocks noChangeAspect="1"/>
            </wp:cNvGraphicFramePr>
            <a:graphic>
              <a:graphicData uri="http://schemas.openxmlformats.org/drawingml/2006/picture">
                <pic:pic>
                  <pic:nvPicPr>
                    <pic:cNvPr id="0" name="acf_aggregate_sales.png"/>
                    <pic:cNvPicPr/>
                  </pic:nvPicPr>
                  <pic:blipFill>
                    <a:blip r:embed="rId18"/>
                    <a:stretch>
                      <a:fillRect/>
                    </a:stretch>
                  </pic:blipFill>
                  <pic:spPr>
                    <a:xfrm>
                      <a:off x="0" y="0"/>
                      <a:ext cx="5669280" cy="2810739"/>
                    </a:xfrm>
                    <a:prstGeom prst="rect"/>
                  </pic:spPr>
                </pic:pic>
              </a:graphicData>
            </a:graphic>
          </wp:inline>
        </w:drawing>
      </w:r>
    </w:p>
    <w:p>
      <w:pPr>
        <w:pStyle w:val="Caption"/>
      </w:pPr>
      <w:r>
        <w:t>Hình 2.10: ACF của chuỗi doanh số tổng hợp</w:t>
      </w:r>
    </w:p>
    <w:p>
      <w:pPr>
        <w:jc w:val="center"/>
      </w:pPr>
      <w:r>
        <w:drawing>
          <wp:inline xmlns:a="http://schemas.openxmlformats.org/drawingml/2006/main" xmlns:pic="http://schemas.openxmlformats.org/drawingml/2006/picture">
            <wp:extent cx="5669280" cy="2810739"/>
            <wp:docPr id="11" name="Picture 11"/>
            <wp:cNvGraphicFramePr>
              <a:graphicFrameLocks noChangeAspect="1"/>
            </wp:cNvGraphicFramePr>
            <a:graphic>
              <a:graphicData uri="http://schemas.openxmlformats.org/drawingml/2006/picture">
                <pic:pic>
                  <pic:nvPicPr>
                    <pic:cNvPr id="0" name="pacf_aggregate_sales.png"/>
                    <pic:cNvPicPr/>
                  </pic:nvPicPr>
                  <pic:blipFill>
                    <a:blip r:embed="rId19"/>
                    <a:stretch>
                      <a:fillRect/>
                    </a:stretch>
                  </pic:blipFill>
                  <pic:spPr>
                    <a:xfrm>
                      <a:off x="0" y="0"/>
                      <a:ext cx="5669280" cy="2810739"/>
                    </a:xfrm>
                    <a:prstGeom prst="rect"/>
                  </pic:spPr>
                </pic:pic>
              </a:graphicData>
            </a:graphic>
          </wp:inline>
        </w:drawing>
      </w:r>
    </w:p>
    <w:p>
      <w:pPr>
        <w:pStyle w:val="Caption"/>
      </w:pPr>
      <w:r>
        <w:t>Hình 2.11: PACF của chuỗi doanh số tổng hợp</w:t>
      </w:r>
    </w:p>
    <w:p>
      <w:pPr>
        <w:spacing w:line="360" w:lineRule="auto" w:before="0" w:after="120"/>
        <w:ind w:firstLine="360"/>
        <w:jc w:val="both"/>
      </w:pPr>
      <w:r>
        <w:t>Phân tích phổ chuyển chuỗi thời gian sang miền tần số để xác định các chu kỳ nổi bật. Kết quả ở cấp giờ cho thấy các chu kỳ ngắn trong ngày và dấu hiệu chu kỳ gần tuần. Ở cấp ngày sau recovery, chu kỳ xấp xỉ 7 ngày nổi bật, củng cố vai trò của seasonal naive 7-day và các đặc trưng lag theo tuần.</w:t>
      </w:r>
    </w:p>
    <w:p>
      <w:pPr>
        <w:jc w:val="center"/>
      </w:pPr>
      <w:r>
        <w:drawing>
          <wp:inline xmlns:a="http://schemas.openxmlformats.org/drawingml/2006/main" xmlns:pic="http://schemas.openxmlformats.org/drawingml/2006/picture">
            <wp:extent cx="5669280" cy="2547445"/>
            <wp:docPr id="12" name="Picture 12"/>
            <wp:cNvGraphicFramePr>
              <a:graphicFrameLocks noChangeAspect="1"/>
            </wp:cNvGraphicFramePr>
            <a:graphic>
              <a:graphicData uri="http://schemas.openxmlformats.org/drawingml/2006/picture">
                <pic:pic>
                  <pic:nvPicPr>
                    <pic:cNvPr id="0" name="spectrum_hourly_aggregate_sales.png"/>
                    <pic:cNvPicPr/>
                  </pic:nvPicPr>
                  <pic:blipFill>
                    <a:blip r:embed="rId20"/>
                    <a:stretch>
                      <a:fillRect/>
                    </a:stretch>
                  </pic:blipFill>
                  <pic:spPr>
                    <a:xfrm>
                      <a:off x="0" y="0"/>
                      <a:ext cx="5669280" cy="2547445"/>
                    </a:xfrm>
                    <a:prstGeom prst="rect"/>
                  </pic:spPr>
                </pic:pic>
              </a:graphicData>
            </a:graphic>
          </wp:inline>
        </w:drawing>
      </w:r>
    </w:p>
    <w:p>
      <w:pPr>
        <w:pStyle w:val="Caption"/>
      </w:pPr>
      <w:r>
        <w:t>Hình 2.12: Phổ tần số của chuỗi doanh số tổng hợp theo giờ</w:t>
      </w:r>
    </w:p>
    <w:p>
      <w:pPr>
        <w:pStyle w:val="TableCaption"/>
      </w:pPr>
      <w:r>
        <w:t>Bảng 2.4: Các chu kỳ nổi bật trong phân tích phổ ở cấp giờ</w:t>
      </w:r>
    </w:p>
    <w:tbl>
      <w:tblPr>
        <w:tblStyle w:val="TableGrid"/>
        <w:tblW w:type="auto" w:w="0"/>
        <w:tblLook w:firstColumn="1" w:firstRow="1" w:lastColumn="0" w:lastRow="0" w:noHBand="0" w:noVBand="1" w:val="04A0"/>
      </w:tblPr>
      <w:tblGrid>
        <w:gridCol w:w="4320"/>
        <w:gridCol w:w="4320"/>
      </w:tblGrid>
      <w:tr>
        <w:tc>
          <w:tcPr>
            <w:tcW w:type="dxa" w:w="4320"/>
          </w:tcPr>
          <w:p>
            <w:r>
              <w:rPr>
                <w:b/>
              </w:rPr>
              <w:t>Chu kỳ (giờ)</w:t>
            </w:r>
          </w:p>
        </w:tc>
        <w:tc>
          <w:tcPr>
            <w:tcW w:type="dxa" w:w="4320"/>
          </w:tcPr>
          <w:p>
            <w:r>
              <w:rPr>
                <w:b/>
              </w:rPr>
              <w:t>Công suất phổ</w:t>
            </w:r>
          </w:p>
        </w:tc>
      </w:tr>
      <w:tr>
        <w:tc>
          <w:tcPr>
            <w:tcW w:type="dxa" w:w="4320"/>
          </w:tcPr>
          <w:p>
            <w:r>
              <w:t>24.00</w:t>
            </w:r>
          </w:p>
        </w:tc>
        <w:tc>
          <w:tcPr>
            <w:tcW w:type="dxa" w:w="4320"/>
          </w:tcPr>
          <w:p>
            <w:r>
              <w:t>0.6365</w:t>
            </w:r>
          </w:p>
        </w:tc>
      </w:tr>
      <w:tr>
        <w:tc>
          <w:tcPr>
            <w:tcW w:type="dxa" w:w="4320"/>
          </w:tcPr>
          <w:p>
            <w:r>
              <w:t>8.00</w:t>
            </w:r>
          </w:p>
        </w:tc>
        <w:tc>
          <w:tcPr>
            <w:tcW w:type="dxa" w:w="4320"/>
          </w:tcPr>
          <w:p>
            <w:r>
              <w:t>0.1182</w:t>
            </w:r>
          </w:p>
        </w:tc>
      </w:tr>
      <w:tr>
        <w:tc>
          <w:tcPr>
            <w:tcW w:type="dxa" w:w="4320"/>
          </w:tcPr>
          <w:p>
            <w:r>
              <w:t>12.00</w:t>
            </w:r>
          </w:p>
        </w:tc>
        <w:tc>
          <w:tcPr>
            <w:tcW w:type="dxa" w:w="4320"/>
          </w:tcPr>
          <w:p>
            <w:r>
              <w:t>0.0559</w:t>
            </w:r>
          </w:p>
        </w:tc>
      </w:tr>
      <w:tr>
        <w:tc>
          <w:tcPr>
            <w:tcW w:type="dxa" w:w="4320"/>
          </w:tcPr>
          <w:p>
            <w:r>
              <w:t>6.00</w:t>
            </w:r>
          </w:p>
        </w:tc>
        <w:tc>
          <w:tcPr>
            <w:tcW w:type="dxa" w:w="4320"/>
          </w:tcPr>
          <w:p>
            <w:r>
              <w:t>0.0325</w:t>
            </w:r>
          </w:p>
        </w:tc>
      </w:tr>
      <w:tr>
        <w:tc>
          <w:tcPr>
            <w:tcW w:type="dxa" w:w="4320"/>
          </w:tcPr>
          <w:p>
            <w:r>
              <w:t>164.57</w:t>
            </w:r>
          </w:p>
        </w:tc>
        <w:tc>
          <w:tcPr>
            <w:tcW w:type="dxa" w:w="4320"/>
          </w:tcPr>
          <w:p>
            <w:r>
              <w:t>0.0106</w:t>
            </w:r>
          </w:p>
        </w:tc>
      </w:tr>
    </w:tbl>
    <w:p/>
    <w:p>
      <w:pPr>
        <w:jc w:val="center"/>
      </w:pPr>
      <w:r>
        <w:drawing>
          <wp:inline xmlns:a="http://schemas.openxmlformats.org/drawingml/2006/main" xmlns:pic="http://schemas.openxmlformats.org/drawingml/2006/picture">
            <wp:extent cx="5669280" cy="2547445"/>
            <wp:docPr id="13" name="Picture 13"/>
            <wp:cNvGraphicFramePr>
              <a:graphicFrameLocks noChangeAspect="1"/>
            </wp:cNvGraphicFramePr>
            <a:graphic>
              <a:graphicData uri="http://schemas.openxmlformats.org/drawingml/2006/picture">
                <pic:pic>
                  <pic:nvPicPr>
                    <pic:cNvPr id="0" name="spectrum_daily_recovered_demand.png"/>
                    <pic:cNvPicPr/>
                  </pic:nvPicPr>
                  <pic:blipFill>
                    <a:blip r:embed="rId21"/>
                    <a:stretch>
                      <a:fillRect/>
                    </a:stretch>
                  </pic:blipFill>
                  <pic:spPr>
                    <a:xfrm>
                      <a:off x="0" y="0"/>
                      <a:ext cx="5669280" cy="2547445"/>
                    </a:xfrm>
                    <a:prstGeom prst="rect"/>
                  </pic:spPr>
                </pic:pic>
              </a:graphicData>
            </a:graphic>
          </wp:inline>
        </w:drawing>
      </w:r>
    </w:p>
    <w:p>
      <w:pPr>
        <w:pStyle w:val="Caption"/>
      </w:pPr>
      <w:r>
        <w:t>Hình 2.13: Phổ tần số của chuỗi nhu cầu phục hồi ở cấp ngày</w:t>
      </w:r>
    </w:p>
    <w:p>
      <w:pPr>
        <w:pStyle w:val="TableCaption"/>
      </w:pPr>
      <w:r>
        <w:t>Bảng 2.5: Các chu kỳ nổi bật trong phân tích phổ ở cấp ngày</w:t>
      </w:r>
    </w:p>
    <w:tbl>
      <w:tblPr>
        <w:tblStyle w:val="TableGrid"/>
        <w:tblW w:type="auto" w:w="0"/>
        <w:tblLook w:firstColumn="1" w:firstRow="1" w:lastColumn="0" w:lastRow="0" w:noHBand="0" w:noVBand="1" w:val="04A0"/>
      </w:tblPr>
      <w:tblGrid>
        <w:gridCol w:w="4320"/>
        <w:gridCol w:w="4320"/>
      </w:tblGrid>
      <w:tr>
        <w:tc>
          <w:tcPr>
            <w:tcW w:type="dxa" w:w="4320"/>
          </w:tcPr>
          <w:p>
            <w:r>
              <w:rPr>
                <w:b/>
              </w:rPr>
              <w:t>Chu kỳ (ngày)</w:t>
            </w:r>
          </w:p>
        </w:tc>
        <w:tc>
          <w:tcPr>
            <w:tcW w:type="dxa" w:w="4320"/>
          </w:tcPr>
          <w:p>
            <w:r>
              <w:rPr>
                <w:b/>
              </w:rPr>
              <w:t>Công suất phổ</w:t>
            </w:r>
          </w:p>
        </w:tc>
      </w:tr>
      <w:tr>
        <w:tc>
          <w:tcPr>
            <w:tcW w:type="dxa" w:w="4320"/>
          </w:tcPr>
          <w:p>
            <w:r>
              <w:t>6.85</w:t>
            </w:r>
          </w:p>
        </w:tc>
        <w:tc>
          <w:tcPr>
            <w:tcW w:type="dxa" w:w="4320"/>
          </w:tcPr>
          <w:p>
            <w:r>
              <w:t>0.2108</w:t>
            </w:r>
          </w:p>
        </w:tc>
      </w:tr>
      <w:tr>
        <w:tc>
          <w:tcPr>
            <w:tcW w:type="dxa" w:w="4320"/>
          </w:tcPr>
          <w:p>
            <w:r>
              <w:t>3.56</w:t>
            </w:r>
          </w:p>
        </w:tc>
        <w:tc>
          <w:tcPr>
            <w:tcW w:type="dxa" w:w="4320"/>
          </w:tcPr>
          <w:p>
            <w:r>
              <w:t>0.0679</w:t>
            </w:r>
          </w:p>
        </w:tc>
      </w:tr>
      <w:tr>
        <w:tc>
          <w:tcPr>
            <w:tcW w:type="dxa" w:w="4320"/>
          </w:tcPr>
          <w:p>
            <w:r>
              <w:t>4.45</w:t>
            </w:r>
          </w:p>
        </w:tc>
        <w:tc>
          <w:tcPr>
            <w:tcW w:type="dxa" w:w="4320"/>
          </w:tcPr>
          <w:p>
            <w:r>
              <w:t>0.0232</w:t>
            </w:r>
          </w:p>
        </w:tc>
      </w:tr>
      <w:tr>
        <w:tc>
          <w:tcPr>
            <w:tcW w:type="dxa" w:w="4320"/>
          </w:tcPr>
          <w:p>
            <w:r>
              <w:t>2.34</w:t>
            </w:r>
          </w:p>
        </w:tc>
        <w:tc>
          <w:tcPr>
            <w:tcW w:type="dxa" w:w="4320"/>
          </w:tcPr>
          <w:p>
            <w:r>
              <w:t>0.0169</w:t>
            </w:r>
          </w:p>
        </w:tc>
      </w:tr>
      <w:tr>
        <w:tc>
          <w:tcPr>
            <w:tcW w:type="dxa" w:w="4320"/>
          </w:tcPr>
          <w:p>
            <w:r>
              <w:t>5.93</w:t>
            </w:r>
          </w:p>
        </w:tc>
        <w:tc>
          <w:tcPr>
            <w:tcW w:type="dxa" w:w="4320"/>
          </w:tcPr>
          <w:p>
            <w:r>
              <w:t>0.0169</w:t>
            </w:r>
          </w:p>
        </w:tc>
      </w:tr>
    </w:tbl>
    <w:p/>
    <w:p>
      <w:pPr>
        <w:spacing w:line="360" w:lineRule="auto" w:before="0" w:after="120"/>
        <w:ind w:firstLine="360"/>
        <w:jc w:val="both"/>
      </w:pPr>
      <w:r>
        <w:t>Như vậy, ACF/PACF và spectrum xác nhận chéo cho kết quả seasonality ở mục 2.3. Điều này giúp việc dùng seasonal baseline, lag theo tuần và hybrid seasonal-ML ở các chương sau có cơ sở từ cả trực quan dữ liệu lẫn phân tích tần số.</w:t>
      </w:r>
    </w:p>
    <w:p>
      <w:pPr>
        <w:pStyle w:val="Heading2"/>
      </w:pPr>
      <w:r>
        <w:t>2.7. Tín hiệu Velocity và Peer/Substitution quanh Stockout</w:t>
      </w:r>
    </w:p>
    <w:p>
      <w:pPr>
        <w:spacing w:line="360" w:lineRule="auto" w:before="0" w:after="120"/>
        <w:ind w:firstLine="360"/>
        <w:jc w:val="both"/>
      </w:pPr>
      <w:r>
        <w:t>Sau khi xác định stockout là vấn đề trung tâm, đồ án kiểm tra thêm hai tín hiệu có ý nghĩa nghiệp vụ. Tín hiệu velocity/momentum đo xem sản phẩm có bán nhanh hơn nền lịch sử ngay trước hoặc trong giai đoạn stockout hay không. Tín hiệu peer/substitution đo xem các sản phẩm cùng cửa hàng và cùng nhóm hàng có bán tăng lên hoặc cùng gặp stockout hay không.</w:t>
      </w:r>
    </w:p>
    <w:p>
      <w:pPr>
        <w:pStyle w:val="TableCaption"/>
      </w:pPr>
      <w:r>
        <w:t>Bảng 2.6: So sánh tín hiệu velocity và peer/substitution giữa stockout và non-stockout</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Pr>
                <w:b/>
              </w:rPr>
              <w:t>Segment</w:t>
            </w:r>
          </w:p>
        </w:tc>
        <w:tc>
          <w:tcPr>
            <w:tcW w:type="dxa" w:w="1234"/>
          </w:tcPr>
          <w:p>
            <w:r>
              <w:rPr>
                <w:b/>
              </w:rPr>
              <w:t>Rows</w:t>
            </w:r>
          </w:p>
        </w:tc>
        <w:tc>
          <w:tcPr>
            <w:tcW w:type="dxa" w:w="1234"/>
          </w:tcPr>
          <w:p>
            <w:r>
              <w:rPr>
                <w:b/>
              </w:rPr>
              <w:t>Velocity 3h/24h</w:t>
            </w:r>
          </w:p>
        </w:tc>
        <w:tc>
          <w:tcPr>
            <w:tcW w:type="dxa" w:w="1234"/>
          </w:tcPr>
          <w:p>
            <w:r>
              <w:rPr>
                <w:b/>
              </w:rPr>
              <w:t>Momentum 3h-6h</w:t>
            </w:r>
          </w:p>
        </w:tc>
        <w:tc>
          <w:tcPr>
            <w:tcW w:type="dxa" w:w="1234"/>
          </w:tcPr>
          <w:p>
            <w:r>
              <w:rPr>
                <w:b/>
              </w:rPr>
              <w:t>Peer sales</w:t>
            </w:r>
          </w:p>
        </w:tc>
        <w:tc>
          <w:tcPr>
            <w:tcW w:type="dxa" w:w="1234"/>
          </w:tcPr>
          <w:p>
            <w:r>
              <w:rPr>
                <w:b/>
              </w:rPr>
              <w:t>Peer velocity 3h/24h</w:t>
            </w:r>
          </w:p>
        </w:tc>
        <w:tc>
          <w:tcPr>
            <w:tcW w:type="dxa" w:w="1234"/>
          </w:tcPr>
          <w:p>
            <w:r>
              <w:rPr>
                <w:b/>
              </w:rPr>
              <w:t>Peer stockout rate</w:t>
            </w:r>
          </w:p>
        </w:tc>
      </w:tr>
      <w:tr>
        <w:tc>
          <w:tcPr>
            <w:tcW w:type="dxa" w:w="1234"/>
          </w:tcPr>
          <w:p>
            <w:r>
              <w:t>stockout_rows</w:t>
            </w:r>
          </w:p>
        </w:tc>
        <w:tc>
          <w:tcPr>
            <w:tcW w:type="dxa" w:w="1234"/>
          </w:tcPr>
          <w:p>
            <w:r>
              <w:t>2839923</w:t>
            </w:r>
          </w:p>
        </w:tc>
        <w:tc>
          <w:tcPr>
            <w:tcW w:type="dxa" w:w="1234"/>
          </w:tcPr>
          <w:p>
            <w:r>
              <w:t>0.5489</w:t>
            </w:r>
          </w:p>
        </w:tc>
        <w:tc>
          <w:tcPr>
            <w:tcW w:type="dxa" w:w="1234"/>
          </w:tcPr>
          <w:p>
            <w:r>
              <w:t>-0.0090</w:t>
            </w:r>
          </w:p>
        </w:tc>
        <w:tc>
          <w:tcPr>
            <w:tcW w:type="dxa" w:w="1234"/>
          </w:tcPr>
          <w:p>
            <w:r>
              <w:t>0.0019</w:t>
            </w:r>
          </w:p>
        </w:tc>
        <w:tc>
          <w:tcPr>
            <w:tcW w:type="dxa" w:w="1234"/>
          </w:tcPr>
          <w:p>
            <w:r>
              <w:t>0.0519</w:t>
            </w:r>
          </w:p>
        </w:tc>
        <w:tc>
          <w:tcPr>
            <w:tcW w:type="dxa" w:w="1234"/>
          </w:tcPr>
          <w:p>
            <w:r>
              <w:t>2.63%</w:t>
            </w:r>
          </w:p>
        </w:tc>
      </w:tr>
      <w:tr>
        <w:tc>
          <w:tcPr>
            <w:tcW w:type="dxa" w:w="1234"/>
          </w:tcPr>
          <w:p>
            <w:r>
              <w:t>non_stockout_rows</w:t>
            </w:r>
          </w:p>
        </w:tc>
        <w:tc>
          <w:tcPr>
            <w:tcW w:type="dxa" w:w="1234"/>
          </w:tcPr>
          <w:p>
            <w:r>
              <w:t>8680077</w:t>
            </w:r>
          </w:p>
        </w:tc>
        <w:tc>
          <w:tcPr>
            <w:tcW w:type="dxa" w:w="1234"/>
          </w:tcPr>
          <w:p>
            <w:r>
              <w:t>1.1268</w:t>
            </w:r>
          </w:p>
        </w:tc>
        <w:tc>
          <w:tcPr>
            <w:tcW w:type="dxa" w:w="1234"/>
          </w:tcPr>
          <w:p>
            <w:r>
              <w:t>0.0030</w:t>
            </w:r>
          </w:p>
        </w:tc>
        <w:tc>
          <w:tcPr>
            <w:tcW w:type="dxa" w:w="1234"/>
          </w:tcPr>
          <w:p>
            <w:r>
              <w:t>0.0026</w:t>
            </w:r>
          </w:p>
        </w:tc>
        <w:tc>
          <w:tcPr>
            <w:tcW w:type="dxa" w:w="1234"/>
          </w:tcPr>
          <w:p>
            <w:r>
              <w:t>0.0572</w:t>
            </w:r>
          </w:p>
        </w:tc>
        <w:tc>
          <w:tcPr>
            <w:tcW w:type="dxa" w:w="1234"/>
          </w:tcPr>
          <w:p>
            <w:r>
              <w:t>1.11%</w:t>
            </w:r>
          </w:p>
        </w:tc>
      </w:tr>
    </w:tbl>
    <w:p/>
    <w:p>
      <w:pPr>
        <w:jc w:val="center"/>
      </w:pPr>
      <w:r>
        <w:drawing>
          <wp:inline xmlns:a="http://schemas.openxmlformats.org/drawingml/2006/main" xmlns:pic="http://schemas.openxmlformats.org/drawingml/2006/picture">
            <wp:extent cx="5669280" cy="2822136"/>
            <wp:docPr id="14" name="Picture 14"/>
            <wp:cNvGraphicFramePr>
              <a:graphicFrameLocks noChangeAspect="1"/>
            </wp:cNvGraphicFramePr>
            <a:graphic>
              <a:graphicData uri="http://schemas.openxmlformats.org/drawingml/2006/picture">
                <pic:pic>
                  <pic:nvPicPr>
                    <pic:cNvPr id="0" name="stockout_substitution_velocity_diagnostics.png"/>
                    <pic:cNvPicPr/>
                  </pic:nvPicPr>
                  <pic:blipFill>
                    <a:blip r:embed="rId22"/>
                    <a:stretch>
                      <a:fillRect/>
                    </a:stretch>
                  </pic:blipFill>
                  <pic:spPr>
                    <a:xfrm>
                      <a:off x="0" y="0"/>
                      <a:ext cx="5669280" cy="2822136"/>
                    </a:xfrm>
                    <a:prstGeom prst="rect"/>
                  </pic:spPr>
                </pic:pic>
              </a:graphicData>
            </a:graphic>
          </wp:inline>
        </w:drawing>
      </w:r>
    </w:p>
    <w:p>
      <w:pPr>
        <w:pStyle w:val="Caption"/>
      </w:pPr>
      <w:r>
        <w:t>Hình 2.14: Tín hiệu velocity và peer/substitution quanh stockout</w:t>
      </w:r>
    </w:p>
    <w:p>
      <w:pPr>
        <w:spacing w:line="360" w:lineRule="auto" w:before="0" w:after="120"/>
        <w:ind w:firstLine="360"/>
        <w:jc w:val="both"/>
      </w:pPr>
      <w:r>
        <w:t>Bảng và hình trên không nhằm khẳng định mọi stockout đều đi kèm demand surge. Ngược lại, chúng giúp kiểm tra có hệ thống hai điểm mù của observed sales: nhu cầu có thể tăng trước khi mất quan sát và nhu cầu có thể chuyển sang sản phẩm thay thế. Vì vậy, các feature velocity và peer/substitution được đưa vào giai đoạn recovery để mô hình có thêm bối cảnh khi ước lượng latent demand.</w:t>
      </w:r>
    </w:p>
    <w:p>
      <w:pPr>
        <w:pStyle w:val="Heading2"/>
      </w:pPr>
      <w:r>
        <w:t>Kết luận Chương 2</w:t>
      </w:r>
    </w:p>
    <w:p>
      <w:pPr>
        <w:spacing w:line="360" w:lineRule="auto" w:before="0" w:after="120"/>
        <w:ind w:firstLine="360"/>
        <w:jc w:val="both"/>
      </w:pPr>
      <w:r>
        <w:t>Chương 2 cho thấy bài toán dự báo trên FreshRetailNet-50K không nên được xem như bài toán forecast doanh số quan sát thông thường. Observed sales vừa thưa, vừa lệch, vừa có thể bị kiểm duyệt bởi stockout. Đồng thời, dữ liệu có seasonality rõ theo giờ và theo tuần, nên các baseline mùa vụ và lag features là bắt buộc để đánh giá mô hình một cách công bằng.</w:t>
      </w:r>
    </w:p>
    <w:p>
      <w:pPr>
        <w:spacing w:line="360" w:lineRule="auto" w:before="0" w:after="120"/>
        <w:ind w:firstLine="360"/>
        <w:jc w:val="both"/>
      </w:pPr>
      <w:r>
        <w:t>Các phân tích về chuỗi đại diện, tính dừng, ACF/PACF, spectrum, velocity và peer/substitution dẫn đến framing cuối cùng của đồ án: phục hồi latent demand ở cấp giờ bằng cơ chế tránh leakage, tổng hợp lên daily demand, sau đó forecast next-7-day demand bằng seasonal baseline, LightGBM và hybrid seasonal-ML. Như vậy, Chương 2 là cơ sở thực nghiệm trực tiếp cho phương pháp ở Chương 3 và diễn giải kết quả ở Chương 4.</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before="0" w:after="120"/>
    </w:pPr>
    <w:rPr>
      <w:rFonts w:ascii="Times New Roman" w:hAnsi="Times New Roman"/>
      <w:b w:val="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120" w:line="360" w:lineRule="auto"/>
      <w:outlineLvl w:val="0"/>
    </w:pPr>
    <w:rPr>
      <w:rFonts w:asciiTheme="majorHAnsi" w:eastAsiaTheme="majorEastAsia" w:hAnsiTheme="majorHAnsi" w:cstheme="majorBidi" w:ascii="Times New Roman" w:hAnsi="Times New Roman"/>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0" w:after="120" w:line="360" w:lineRule="auto"/>
      <w:outlineLvl w:val="1"/>
    </w:pPr>
    <w:rPr>
      <w:rFonts w:asciiTheme="majorHAnsi" w:eastAsiaTheme="majorEastAsia" w:hAnsiTheme="majorHAnsi" w:cstheme="majorBidi" w:ascii="Times New Roman" w:hAnsi="Times New Roman"/>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0" w:after="120" w:line="360" w:lineRule="auto"/>
      <w:outlineLvl w:val="2"/>
    </w:pPr>
    <w:rPr>
      <w:rFonts w:asciiTheme="majorHAnsi" w:eastAsiaTheme="majorEastAsia" w:hAnsiTheme="majorHAnsi" w:cstheme="majorBidi" w:ascii="Times New Roman" w:hAnsi="Times New Roman"/>
      <w:b/>
      <w:bCs/>
      <w:color w:val="4F81BD" w:themeColor="accent1"/>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360" w:lineRule="auto" w:before="0" w:after="120"/>
      <w:jc w:val="center"/>
    </w:pPr>
    <w:rPr>
      <w:rFonts w:ascii="Times New Roman" w:hAnsi="Times New Roman"/>
      <w:b w:val="0"/>
      <w:bCs/>
      <w:i/>
      <w:color w:val="4F81BD" w:themeColor="accent1"/>
      <w:sz w:val="22"/>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ableCaption">
    <w:name w:val="Table Caption"/>
    <w:pPr>
      <w:spacing w:line="360" w:lineRule="auto" w:before="0" w:after="120"/>
      <w:jc w:val="center"/>
    </w:pPr>
    <w:rPr>
      <w:rFonts w:ascii="Times New Roman" w:hAnsi="Times New Roman"/>
      <w:b/>
      <w:i w:val="0"/>
      <w:sz w:val="22"/>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