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7: TỔNG KẾT VÀ HƯỚNG PHÁT TRIỂN</w:t>
      </w:r>
    </w:p>
    <w:p>
      <w:pPr>
        <w:spacing w:line="360" w:lineRule="auto" w:before="0" w:after="120"/>
        <w:ind w:firstLine="360"/>
        <w:jc w:val="both"/>
      </w:pPr>
      <w:r>
        <w:t>Chương cuối không lặp lại toàn bộ kết quả đã trình bày ở các chương trước, mà đóng vai trò tổng hợp luận điểm nghiên cứu của đề tài. Trọng tâm của đồ án là chứng minh rằng bài toán dự báo bán lẻ hàng tươi sống không nên được nhìn như một bài toán forecasting thuần túy trên doanh số quan sát. Khi xảy ra hết hàng, doanh số quan sát chỉ phản ánh lượng hàng có thể bán được, không phản ánh đầy đủ nhu cầu thị trường. Vì vậy, đóng góp chính của đề tài nằm ở cách tái định nghĩa mục tiêu dự báo: từ dự báo observed sales sang dự báo latent demand đã được khôi phục có kiểm soát.</w:t>
      </w:r>
    </w:p>
    <w:p>
      <w:pPr>
        <w:spacing w:line="360" w:lineRule="auto" w:before="0" w:after="120"/>
        <w:ind w:firstLine="360"/>
        <w:jc w:val="both"/>
      </w:pPr>
      <w:r>
        <w:t>Toàn bộ pipeline được xây dựng theo logic hai giai đoạn. Giai đoạn thứ nhất xử lý stockout ở cấp độ giờ bằng expanding-window recovery để hạn chế rò rỉ dữ liệu tương lai. Giai đoạn thứ hai tổng hợp nhu cầu đã khôi phục lên cấp độ ngày và xây dựng mô hình dự báo phục vụ bài toán nhập hàng. Cách tiếp cận này giúp liên kết phần phân tích chuỗi thời gian với nhu cầu vận hành thực tế: phát hiện mất doanh số do hết hàng, ước lượng nhu cầu tiềm ẩn, sau đó dự báo nhu cầu tương lai để hỗ trợ replenishment.</w:t>
      </w:r>
    </w:p>
    <w:p>
      <w:pPr>
        <w:pStyle w:val="Heading2"/>
      </w:pPr>
      <w:r>
        <w:t>7.1. Kết luận Chung</w:t>
      </w:r>
    </w:p>
    <w:p>
      <w:pPr>
        <w:spacing w:line="360" w:lineRule="auto" w:before="0" w:after="120"/>
        <w:ind w:firstLine="360"/>
        <w:jc w:val="both"/>
      </w:pPr>
      <w:r>
        <w:t>Về mặt dữ liệu, đề tài sử dụng tập FreshRetailNet-50K được lấy mẫu theo chuỗi với tỷ lệ 10.00%. Cách lấy mẫu này giữ nguyên trục thời gian của từng store-product series, giúp các phân tích mùa vụ, stockout và split train-validation-test không bị phá vỡ. Sau khi tiền xử lý, dữ liệu hourly sample có  dòng, bao phủ  chuỗi,  cửa hàng và  sản phẩm. Tỷ lệ stockout ở cấp độ dòng đạt khoảng 24.65%, đủ lớn để ảnh hưởng đáng kể đến target dự báo nếu chỉ dùng observed sales.</w:t>
      </w:r>
    </w:p>
    <w:p>
      <w:pPr>
        <w:spacing w:line="360" w:lineRule="auto" w:before="0" w:after="120"/>
        <w:ind w:firstLine="360"/>
        <w:jc w:val="both"/>
      </w:pPr>
      <w:r>
        <w:t>Về mặt khôi phục nhu cầu, recovered latent demand đạt 539,898.12, cao hơn observed sales 482,697.09. Phần recovered lost demand đạt 57,201.70, tương ứng mức lift khoảng 11.85%. Kết quả này cho thấy doanh số quan sát đang đánh giá thấp nhu cầu thực tế trong các giai đoạn hết hàng. Tuy nhiên, đề tài không xem recovered demand là ground truth tuyệt đối, mà xem đây là proxy có kiểm soát thông qua calibration, capping và pseudo-stockout validation.</w:t>
      </w:r>
    </w:p>
    <w:p>
      <w:pPr>
        <w:spacing w:line="360" w:lineRule="auto" w:before="0" w:after="120"/>
        <w:ind w:firstLine="360"/>
        <w:jc w:val="both"/>
      </w:pPr>
      <w:r>
        <w:t>Về mặt dự báo, mô hình dự báo trực tiếp trên observed sales đạt WAPE khoảng 24.92% khi đánh giá trên recovered latent demand proxy. Khi chuyển sang target recovered demand, WAPE giảm còn 20.19%. Mô hình hybrid seasonal-ML đạt WAPE tốt nhất, khoảng 19.62%, tương ứng cải thiện tương đối khoảng 21.27% so với mô hình học trên observed sales. Điều này củng cố kết luận rằng xử lý stockout trước khi forecast không chỉ hợp lý về mặt lý thuyết mà còn tạo cải thiện thực nghiệm.</w:t>
      </w:r>
    </w:p>
    <w:p>
      <w:pPr>
        <w:spacing w:line="360" w:lineRule="auto" w:before="0" w:after="120"/>
        <w:ind w:firstLine="360"/>
        <w:jc w:val="both"/>
      </w:pPr>
      <w:r>
        <w:t>Một điểm đáng chú ý là Seasonal Naive 7-day đạt WAPE khoảng 19.85%, rất gần với hybrid. Điều này không phải là điểm yếu của đồ án, mà là một phát hiện quan trọng: dữ liệu bán lẻ hàng tươi sống có mùa vụ tuần rất mạnh. Vì vậy, một mô hình học máy chỉ có ý nghĩa khi vượt qua hoặc bổ sung được baseline mùa vụ. Đề tài giữ Seasonal Naive như baseline trọng yếu và dùng LightGBM theo hướng hiệu chỉnh phi tuyến, không trình bày học máy như lựa chọn mặc định thay thế mọi baseline truyền thống.</w:t>
      </w:r>
    </w:p>
    <w:p>
      <w:pPr>
        <w:pStyle w:val="TableCaption"/>
      </w:pPr>
      <w:r>
        <w:t>Bảng 7.1: Tổng hợp hiệu suất các mô hình trên recovered latent demand proxy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Model</w:t>
            </w:r>
          </w:p>
        </w:tc>
        <w:tc>
          <w:tcPr>
            <w:tcW w:type="dxa" w:w="2160"/>
          </w:tcPr>
          <w:p>
            <w:pPr>
              <w:jc w:val="center"/>
            </w:pPr>
            <w:r>
              <w:rPr>
                <w:b/>
              </w:rPr>
              <w:t>WAPE</w:t>
            </w:r>
          </w:p>
        </w:tc>
        <w:tc>
          <w:tcPr>
            <w:tcW w:type="dxa" w:w="2160"/>
          </w:tcPr>
          <w:p>
            <w:pPr>
              <w:jc w:val="center"/>
            </w:pPr>
            <w:r>
              <w:rPr>
                <w:b/>
              </w:rPr>
              <w:t>WPE</w:t>
            </w:r>
          </w:p>
        </w:tc>
        <w:tc>
          <w:tcPr>
            <w:tcW w:type="dxa" w:w="2160"/>
          </w:tcPr>
          <w:p>
            <w:pPr>
              <w:jc w:val="center"/>
            </w:pPr>
            <w:r>
              <w:rPr>
                <w:b/>
              </w:rPr>
              <w:t>Training target</w:t>
            </w:r>
          </w:p>
        </w:tc>
      </w:tr>
      <w:tr>
        <w:tc>
          <w:tcPr>
            <w:tcW w:type="dxa" w:w="2160"/>
          </w:tcPr>
          <w:p>
            <w:pPr>
              <w:jc w:val="both"/>
            </w:pPr>
            <w:r>
              <w:rPr>
                <w:rFonts w:ascii="Times New Roman" w:hAnsi="Times New Roman"/>
                <w:sz w:val="22"/>
              </w:rPr>
              <w:t>Recovered naive x7</w:t>
            </w:r>
          </w:p>
        </w:tc>
        <w:tc>
          <w:tcPr>
            <w:tcW w:type="dxa" w:w="2160"/>
          </w:tcPr>
          <w:p>
            <w:pPr>
              <w:jc w:val="both"/>
            </w:pPr>
            <w:r>
              <w:rPr>
                <w:rFonts w:ascii="Times New Roman" w:hAnsi="Times New Roman"/>
                <w:sz w:val="22"/>
              </w:rPr>
              <w:t>31.46%</w:t>
            </w:r>
          </w:p>
        </w:tc>
        <w:tc>
          <w:tcPr>
            <w:tcW w:type="dxa" w:w="2160"/>
          </w:tcPr>
          <w:p>
            <w:pPr>
              <w:jc w:val="both"/>
            </w:pPr>
            <w:r>
              <w:rPr>
                <w:rFonts w:ascii="Times New Roman" w:hAnsi="Times New Roman"/>
                <w:sz w:val="22"/>
              </w:rPr>
              <w:t>-2.00%</w:t>
            </w:r>
          </w:p>
        </w:tc>
        <w:tc>
          <w:tcPr>
            <w:tcW w:type="dxa" w:w="2160"/>
          </w:tcPr>
          <w:p>
            <w:pPr>
              <w:jc w:val="both"/>
            </w:pPr>
            <w:r>
              <w:rPr>
                <w:rFonts w:ascii="Times New Roman" w:hAnsi="Times New Roman"/>
                <w:sz w:val="22"/>
              </w:rPr>
              <w:t>baseline_no_training</w:t>
            </w:r>
          </w:p>
        </w:tc>
      </w:tr>
      <w:tr>
        <w:tc>
          <w:tcPr>
            <w:tcW w:type="dxa" w:w="2160"/>
          </w:tcPr>
          <w:p>
            <w:pPr>
              <w:jc w:val="both"/>
            </w:pPr>
            <w:r>
              <w:rPr>
                <w:rFonts w:ascii="Times New Roman" w:hAnsi="Times New Roman"/>
                <w:sz w:val="22"/>
              </w:rPr>
              <w:t>Recovered seasonal naive 7-day</w:t>
            </w:r>
          </w:p>
        </w:tc>
        <w:tc>
          <w:tcPr>
            <w:tcW w:type="dxa" w:w="2160"/>
          </w:tcPr>
          <w:p>
            <w:pPr>
              <w:jc w:val="both"/>
            </w:pPr>
            <w:r>
              <w:rPr>
                <w:rFonts w:ascii="Times New Roman" w:hAnsi="Times New Roman"/>
                <w:sz w:val="22"/>
              </w:rPr>
              <w:t>19.85%</w:t>
            </w:r>
          </w:p>
        </w:tc>
        <w:tc>
          <w:tcPr>
            <w:tcW w:type="dxa" w:w="2160"/>
          </w:tcPr>
          <w:p>
            <w:pPr>
              <w:jc w:val="both"/>
            </w:pPr>
            <w:r>
              <w:rPr>
                <w:rFonts w:ascii="Times New Roman" w:hAnsi="Times New Roman"/>
                <w:sz w:val="22"/>
              </w:rPr>
              <w:t>-6.12%</w:t>
            </w:r>
          </w:p>
        </w:tc>
        <w:tc>
          <w:tcPr>
            <w:tcW w:type="dxa" w:w="2160"/>
          </w:tcPr>
          <w:p>
            <w:pPr>
              <w:jc w:val="both"/>
            </w:pPr>
            <w:r>
              <w:rPr>
                <w:rFonts w:ascii="Times New Roman" w:hAnsi="Times New Roman"/>
                <w:sz w:val="22"/>
              </w:rPr>
              <w:t>baseline_no_training</w:t>
            </w:r>
          </w:p>
        </w:tc>
      </w:tr>
      <w:tr>
        <w:tc>
          <w:tcPr>
            <w:tcW w:type="dxa" w:w="2160"/>
          </w:tcPr>
          <w:p>
            <w:pPr>
              <w:jc w:val="both"/>
            </w:pPr>
            <w:r>
              <w:rPr>
                <w:rFonts w:ascii="Times New Roman" w:hAnsi="Times New Roman"/>
                <w:sz w:val="22"/>
              </w:rPr>
              <w:t>Recovered rolling mean 14-day</w:t>
            </w:r>
          </w:p>
        </w:tc>
        <w:tc>
          <w:tcPr>
            <w:tcW w:type="dxa" w:w="2160"/>
          </w:tcPr>
          <w:p>
            <w:pPr>
              <w:jc w:val="both"/>
            </w:pPr>
            <w:r>
              <w:rPr>
                <w:rFonts w:ascii="Times New Roman" w:hAnsi="Times New Roman"/>
                <w:sz w:val="22"/>
              </w:rPr>
              <w:t>20.53%</w:t>
            </w:r>
          </w:p>
        </w:tc>
        <w:tc>
          <w:tcPr>
            <w:tcW w:type="dxa" w:w="2160"/>
          </w:tcPr>
          <w:p>
            <w:pPr>
              <w:jc w:val="both"/>
            </w:pPr>
            <w:r>
              <w:rPr>
                <w:rFonts w:ascii="Times New Roman" w:hAnsi="Times New Roman"/>
                <w:sz w:val="22"/>
              </w:rPr>
              <w:t>-8.06%</w:t>
            </w:r>
          </w:p>
        </w:tc>
        <w:tc>
          <w:tcPr>
            <w:tcW w:type="dxa" w:w="2160"/>
          </w:tcPr>
          <w:p>
            <w:pPr>
              <w:jc w:val="both"/>
            </w:pPr>
            <w:r>
              <w:rPr>
                <w:rFonts w:ascii="Times New Roman" w:hAnsi="Times New Roman"/>
                <w:sz w:val="22"/>
              </w:rPr>
              <w:t>baseline_no_training</w:t>
            </w:r>
          </w:p>
        </w:tc>
      </w:tr>
      <w:tr>
        <w:tc>
          <w:tcPr>
            <w:tcW w:type="dxa" w:w="2160"/>
          </w:tcPr>
          <w:p>
            <w:pPr>
              <w:jc w:val="both"/>
            </w:pPr>
            <w:r>
              <w:rPr>
                <w:rFonts w:ascii="Times New Roman" w:hAnsi="Times New Roman"/>
                <w:sz w:val="22"/>
              </w:rPr>
              <w:t>Observed-sales forecasting</w:t>
            </w:r>
          </w:p>
        </w:tc>
        <w:tc>
          <w:tcPr>
            <w:tcW w:type="dxa" w:w="2160"/>
          </w:tcPr>
          <w:p>
            <w:pPr>
              <w:jc w:val="both"/>
            </w:pPr>
            <w:r>
              <w:rPr>
                <w:rFonts w:ascii="Times New Roman" w:hAnsi="Times New Roman"/>
                <w:sz w:val="22"/>
              </w:rPr>
              <w:t>24.92%</w:t>
            </w:r>
          </w:p>
        </w:tc>
        <w:tc>
          <w:tcPr>
            <w:tcW w:type="dxa" w:w="2160"/>
          </w:tcPr>
          <w:p>
            <w:pPr>
              <w:jc w:val="both"/>
            </w:pPr>
            <w:r>
              <w:rPr>
                <w:rFonts w:ascii="Times New Roman" w:hAnsi="Times New Roman"/>
                <w:sz w:val="22"/>
              </w:rPr>
              <w:t>-18.74%</w:t>
            </w:r>
          </w:p>
        </w:tc>
        <w:tc>
          <w:tcPr>
            <w:tcW w:type="dxa" w:w="2160"/>
          </w:tcPr>
          <w:p>
            <w:pPr>
              <w:jc w:val="both"/>
            </w:pPr>
            <w:r>
              <w:rPr>
                <w:rFonts w:ascii="Times New Roman" w:hAnsi="Times New Roman"/>
                <w:sz w:val="22"/>
              </w:rPr>
              <w:t>target_next7_observed_daily</w:t>
            </w:r>
          </w:p>
        </w:tc>
      </w:tr>
      <w:tr>
        <w:tc>
          <w:tcPr>
            <w:tcW w:type="dxa" w:w="2160"/>
          </w:tcPr>
          <w:p>
            <w:pPr>
              <w:jc w:val="both"/>
            </w:pPr>
            <w:r>
              <w:rPr>
                <w:rFonts w:ascii="Times New Roman" w:hAnsi="Times New Roman"/>
                <w:sz w:val="22"/>
              </w:rPr>
              <w:t>Recovered-demand forecasting</w:t>
            </w:r>
          </w:p>
        </w:tc>
        <w:tc>
          <w:tcPr>
            <w:tcW w:type="dxa" w:w="2160"/>
          </w:tcPr>
          <w:p>
            <w:pPr>
              <w:jc w:val="both"/>
            </w:pPr>
            <w:r>
              <w:rPr>
                <w:rFonts w:ascii="Times New Roman" w:hAnsi="Times New Roman"/>
                <w:sz w:val="22"/>
              </w:rPr>
              <w:t>20.19%</w:t>
            </w:r>
          </w:p>
        </w:tc>
        <w:tc>
          <w:tcPr>
            <w:tcW w:type="dxa" w:w="2160"/>
          </w:tcPr>
          <w:p>
            <w:pPr>
              <w:jc w:val="both"/>
            </w:pPr>
            <w:r>
              <w:rPr>
                <w:rFonts w:ascii="Times New Roman" w:hAnsi="Times New Roman"/>
                <w:sz w:val="22"/>
              </w:rPr>
              <w:t>-7.84%</w:t>
            </w:r>
          </w:p>
        </w:tc>
        <w:tc>
          <w:tcPr>
            <w:tcW w:type="dxa" w:w="2160"/>
          </w:tcPr>
          <w:p>
            <w:pPr>
              <w:jc w:val="both"/>
            </w:pPr>
            <w:r>
              <w:rPr>
                <w:rFonts w:ascii="Times New Roman" w:hAnsi="Times New Roman"/>
                <w:sz w:val="22"/>
              </w:rPr>
              <w:t>target_next7_recovered_daily</w:t>
            </w:r>
          </w:p>
        </w:tc>
      </w:tr>
      <w:tr>
        <w:tc>
          <w:tcPr>
            <w:tcW w:type="dxa" w:w="2160"/>
          </w:tcPr>
          <w:p>
            <w:pPr>
              <w:jc w:val="both"/>
            </w:pPr>
            <w:r>
              <w:rPr>
                <w:rFonts w:ascii="Times New Roman" w:hAnsi="Times New Roman"/>
                <w:sz w:val="22"/>
              </w:rPr>
              <w:t>Recovered seasonal-ML hybrid</w:t>
            </w:r>
          </w:p>
        </w:tc>
        <w:tc>
          <w:tcPr>
            <w:tcW w:type="dxa" w:w="2160"/>
          </w:tcPr>
          <w:p>
            <w:pPr>
              <w:jc w:val="both"/>
            </w:pPr>
            <w:r>
              <w:rPr>
                <w:rFonts w:ascii="Times New Roman" w:hAnsi="Times New Roman"/>
                <w:sz w:val="22"/>
              </w:rPr>
              <w:t>19.62%</w:t>
            </w:r>
          </w:p>
        </w:tc>
        <w:tc>
          <w:tcPr>
            <w:tcW w:type="dxa" w:w="2160"/>
          </w:tcPr>
          <w:p>
            <w:pPr>
              <w:jc w:val="both"/>
            </w:pPr>
            <w:r>
              <w:rPr>
                <w:rFonts w:ascii="Times New Roman" w:hAnsi="Times New Roman"/>
                <w:sz w:val="22"/>
              </w:rPr>
              <w:t>-7.15%</w:t>
            </w:r>
          </w:p>
        </w:tc>
        <w:tc>
          <w:tcPr>
            <w:tcW w:type="dxa" w:w="2160"/>
          </w:tcPr>
          <w:p>
            <w:pPr>
              <w:jc w:val="both"/>
            </w:pPr>
            <w:r>
              <w:rPr>
                <w:rFonts w:ascii="Times New Roman" w:hAnsi="Times New Roman"/>
                <w:sz w:val="22"/>
              </w:rPr>
              <w:t>seasonal_naive_plus_recovered_lightgbm_alpha_0.60</w:t>
            </w:r>
          </w:p>
        </w:tc>
      </w:tr>
    </w:tbl>
    <w:p/>
    <w:p>
      <w:pPr>
        <w:spacing w:line="360" w:lineRule="auto" w:before="0" w:after="120"/>
        <w:ind w:firstLine="360"/>
        <w:jc w:val="both"/>
      </w:pPr>
      <w:r>
        <w:t>Xét về tổng thể, đóng góp của đề tài có thể tóm gọn ở ba tầng. Tầng thứ nhất là framing đúng bài toán: observed sales bị censoring bởi stockout nên không đồng nhất với true demand. Tầng thứ hai là xây dựng cơ chế recovery có kiểm soát theo thời gian: expanding-window, warm-up, calibration và capping. Tầng thứ ba là nối recovery với forecasting và business insight: mô hình không chỉ xuất ra chỉ số WAPE, mà còn giúp ước lượng lost sales, đánh giá rủi ro hết hàng và hỗ trợ quy trình nhập hàng.</w:t>
      </w:r>
    </w:p>
    <w:p>
      <w:pPr>
        <w:pStyle w:val="TableCaption"/>
      </w:pPr>
      <w:r>
        <w:t>Bảng 7.2: Các tầng đóng góp chính của đề tài</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Tầng đóng góp</w:t>
            </w:r>
          </w:p>
        </w:tc>
        <w:tc>
          <w:tcPr>
            <w:tcW w:type="dxa" w:w="2880"/>
          </w:tcPr>
          <w:p>
            <w:pPr>
              <w:jc w:val="center"/>
            </w:pPr>
            <w:r>
              <w:rPr>
                <w:b/>
              </w:rPr>
              <w:t>Nội dung chính</w:t>
            </w:r>
          </w:p>
        </w:tc>
        <w:tc>
          <w:tcPr>
            <w:tcW w:type="dxa" w:w="2880"/>
          </w:tcPr>
          <w:p>
            <w:pPr>
              <w:jc w:val="center"/>
            </w:pPr>
            <w:r>
              <w:rPr>
                <w:b/>
              </w:rPr>
              <w:t>Ý nghĩa đối với đề tài</w:t>
            </w:r>
          </w:p>
        </w:tc>
      </w:tr>
      <w:tr>
        <w:tc>
          <w:tcPr>
            <w:tcW w:type="dxa" w:w="2880"/>
          </w:tcPr>
          <w:p>
            <w:pPr>
              <w:jc w:val="both"/>
            </w:pPr>
            <w:r>
              <w:rPr>
                <w:rFonts w:ascii="Times New Roman" w:hAnsi="Times New Roman"/>
                <w:sz w:val="22"/>
              </w:rPr>
              <w:t>Framing bài toán</w:t>
            </w:r>
          </w:p>
        </w:tc>
        <w:tc>
          <w:tcPr>
            <w:tcW w:type="dxa" w:w="2880"/>
          </w:tcPr>
          <w:p>
            <w:pPr>
              <w:jc w:val="both"/>
            </w:pPr>
            <w:r>
              <w:rPr>
                <w:rFonts w:ascii="Times New Roman" w:hAnsi="Times New Roman"/>
                <w:sz w:val="22"/>
              </w:rPr>
              <w:t>Phân biệt observed sales và latent demand trong bối cảnh stockout</w:t>
            </w:r>
          </w:p>
        </w:tc>
        <w:tc>
          <w:tcPr>
            <w:tcW w:type="dxa" w:w="2880"/>
          </w:tcPr>
          <w:p>
            <w:pPr>
              <w:jc w:val="both"/>
            </w:pPr>
            <w:r>
              <w:rPr>
                <w:rFonts w:ascii="Times New Roman" w:hAnsi="Times New Roman"/>
                <w:sz w:val="22"/>
              </w:rPr>
              <w:t>Giúp đề tài tránh cách tiếp cận forecast trực tiếp trên dữ liệu bị kiểm duyệt</w:t>
            </w:r>
          </w:p>
        </w:tc>
      </w:tr>
      <w:tr>
        <w:tc>
          <w:tcPr>
            <w:tcW w:type="dxa" w:w="2880"/>
          </w:tcPr>
          <w:p>
            <w:pPr>
              <w:jc w:val="both"/>
            </w:pPr>
            <w:r>
              <w:rPr>
                <w:rFonts w:ascii="Times New Roman" w:hAnsi="Times New Roman"/>
                <w:sz w:val="22"/>
              </w:rPr>
              <w:t>Latent demand recovery</w:t>
            </w:r>
          </w:p>
        </w:tc>
        <w:tc>
          <w:tcPr>
            <w:tcW w:type="dxa" w:w="2880"/>
          </w:tcPr>
          <w:p>
            <w:pPr>
              <w:jc w:val="both"/>
            </w:pPr>
            <w:r>
              <w:rPr>
                <w:rFonts w:ascii="Times New Roman" w:hAnsi="Times New Roman"/>
                <w:sz w:val="22"/>
              </w:rPr>
              <w:t>Khôi phục nhu cầu ở cấp độ giờ bằng expanding-window recovery, calibration và capping</w:t>
            </w:r>
          </w:p>
        </w:tc>
        <w:tc>
          <w:tcPr>
            <w:tcW w:type="dxa" w:w="2880"/>
          </w:tcPr>
          <w:p>
            <w:pPr>
              <w:jc w:val="both"/>
            </w:pPr>
            <w:r>
              <w:rPr>
                <w:rFonts w:ascii="Times New Roman" w:hAnsi="Times New Roman"/>
                <w:sz w:val="22"/>
              </w:rPr>
              <w:t>Giảm rủi ro leakage và hạn chế over-imputation</w:t>
            </w:r>
          </w:p>
        </w:tc>
      </w:tr>
      <w:tr>
        <w:tc>
          <w:tcPr>
            <w:tcW w:type="dxa" w:w="2880"/>
          </w:tcPr>
          <w:p>
            <w:pPr>
              <w:jc w:val="both"/>
            </w:pPr>
            <w:r>
              <w:rPr>
                <w:rFonts w:ascii="Times New Roman" w:hAnsi="Times New Roman"/>
                <w:sz w:val="22"/>
              </w:rPr>
              <w:t>Daily forecasting</w:t>
            </w:r>
          </w:p>
        </w:tc>
        <w:tc>
          <w:tcPr>
            <w:tcW w:type="dxa" w:w="2880"/>
          </w:tcPr>
          <w:p>
            <w:pPr>
              <w:jc w:val="both"/>
            </w:pPr>
            <w:r>
              <w:rPr>
                <w:rFonts w:ascii="Times New Roman" w:hAnsi="Times New Roman"/>
                <w:sz w:val="22"/>
              </w:rPr>
              <w:t>Dự báo nhu cầu ngày bằng Seasonal Naive, LightGBM và hybrid seasonal-ML</w:t>
            </w:r>
          </w:p>
        </w:tc>
        <w:tc>
          <w:tcPr>
            <w:tcW w:type="dxa" w:w="2880"/>
          </w:tcPr>
          <w:p>
            <w:pPr>
              <w:jc w:val="both"/>
            </w:pPr>
            <w:r>
              <w:rPr>
                <w:rFonts w:ascii="Times New Roman" w:hAnsi="Times New Roman"/>
                <w:sz w:val="22"/>
              </w:rPr>
              <w:t>Bám sát bài toán nhập hàng theo ngày và giữ baseline mùa vụ mạnh</w:t>
            </w:r>
          </w:p>
        </w:tc>
      </w:tr>
      <w:tr>
        <w:tc>
          <w:tcPr>
            <w:tcW w:type="dxa" w:w="2880"/>
          </w:tcPr>
          <w:p>
            <w:pPr>
              <w:jc w:val="both"/>
            </w:pPr>
            <w:r>
              <w:rPr>
                <w:rFonts w:ascii="Times New Roman" w:hAnsi="Times New Roman"/>
                <w:sz w:val="22"/>
              </w:rPr>
              <w:t>Diagnostics</w:t>
            </w:r>
          </w:p>
        </w:tc>
        <w:tc>
          <w:tcPr>
            <w:tcW w:type="dxa" w:w="2880"/>
          </w:tcPr>
          <w:p>
            <w:pPr>
              <w:jc w:val="both"/>
            </w:pPr>
            <w:r>
              <w:rPr>
                <w:rFonts w:ascii="Times New Roman" w:hAnsi="Times New Roman"/>
                <w:sz w:val="22"/>
              </w:rPr>
              <w:t>Kiểm tra residual, non-overlap và prediction intervals</w:t>
            </w:r>
          </w:p>
        </w:tc>
        <w:tc>
          <w:tcPr>
            <w:tcW w:type="dxa" w:w="2880"/>
          </w:tcPr>
          <w:p>
            <w:pPr>
              <w:jc w:val="both"/>
            </w:pPr>
            <w:r>
              <w:rPr>
                <w:rFonts w:ascii="Times New Roman" w:hAnsi="Times New Roman"/>
                <w:sz w:val="22"/>
              </w:rPr>
              <w:t>Không chỉ báo cáo điểm số mà còn đánh giá độ tin cậy của mô hình</w:t>
            </w:r>
          </w:p>
        </w:tc>
      </w:tr>
      <w:tr>
        <w:tc>
          <w:tcPr>
            <w:tcW w:type="dxa" w:w="2880"/>
          </w:tcPr>
          <w:p>
            <w:pPr>
              <w:jc w:val="both"/>
            </w:pPr>
            <w:r>
              <w:rPr>
                <w:rFonts w:ascii="Times New Roman" w:hAnsi="Times New Roman"/>
                <w:sz w:val="22"/>
              </w:rPr>
              <w:t>Business insight</w:t>
            </w:r>
          </w:p>
        </w:tc>
        <w:tc>
          <w:tcPr>
            <w:tcW w:type="dxa" w:w="2880"/>
          </w:tcPr>
          <w:p>
            <w:pPr>
              <w:jc w:val="both"/>
            </w:pPr>
            <w:r>
              <w:rPr>
                <w:rFonts w:ascii="Times New Roman" w:hAnsi="Times New Roman"/>
                <w:sz w:val="22"/>
              </w:rPr>
              <w:t>Diễn giải lost sales, stockout risk và replenishment</w:t>
            </w:r>
          </w:p>
        </w:tc>
        <w:tc>
          <w:tcPr>
            <w:tcW w:type="dxa" w:w="2880"/>
          </w:tcPr>
          <w:p>
            <w:pPr>
              <w:jc w:val="both"/>
            </w:pPr>
            <w:r>
              <w:rPr>
                <w:rFonts w:ascii="Times New Roman" w:hAnsi="Times New Roman"/>
                <w:sz w:val="22"/>
              </w:rPr>
              <w:t>Chuyển kết quả kỹ thuật thành khuyến nghị vận hành</w:t>
            </w:r>
          </w:p>
        </w:tc>
      </w:tr>
    </w:tbl>
    <w:p/>
    <w:p>
      <w:pPr>
        <w:spacing w:line="360" w:lineRule="auto" w:before="0" w:after="120"/>
        <w:ind w:firstLine="360"/>
        <w:jc w:val="both"/>
      </w:pPr>
      <w:r>
        <w:t>Do đó, kết luận chung của đồ án là: trong dữ liệu bán lẻ có stockout, việc dự báo trực tiếp doanh số quan sát có thể dẫn đến đánh giá thấp nhu cầu và tạo quyết định nhập hàng thiếu. Một pipeline hai giai đoạn, trong đó latent demand được khôi phục trước rồi mới dùng làm target dự báo, là hướng tiếp cận phù hợp hơn. Mô hình cuối cùng chưa phải là hệ thống tối ưu tuyệt đối, nhưng đã đủ chặt chẽ để thể hiện đầy đủ quy trình nghiên cứu: phát hiện vấn đề dữ liệu, xây dựng phương pháp, kiểm định chất lượng recovery, so sánh baseline, chẩn đoán mô hình và rút ra hàm ý kinh doanh.</w:t>
      </w:r>
    </w:p>
    <w:p>
      <w:pPr>
        <w:pStyle w:val="Heading2"/>
      </w:pPr>
      <w:r>
        <w:t>7.2. Các Hạn chế Tồn đọng của Đề tài</w:t>
      </w:r>
    </w:p>
    <w:p>
      <w:pPr>
        <w:spacing w:line="360" w:lineRule="auto" w:before="0" w:after="120"/>
        <w:ind w:firstLine="360"/>
        <w:jc w:val="both"/>
      </w:pPr>
      <w:r>
        <w:t>Hạn chế đầu tiên là recovered demand vẫn chỉ là proxy. Trong các giờ stockout, nhu cầu thật không được quan sát trực tiếp. Mọi phương pháp khôi phục đều phải dựa trên giả định về hành vi bán trước đó, mùa vụ, peer demand và các tín hiệu lịch sử. Đề tài đã giảm rủi ro bằng expanding-window recovery, chỉ dùng dữ liệu quá khứ trong train-period, giữ 14 ngày warm-up và hiệu chỉnh bằng calibration factor. Tuy vậy, không thể khẳng định recovered demand là true demand tuyệt đối.</w:t>
      </w:r>
    </w:p>
    <w:p>
      <w:pPr>
        <w:spacing w:line="360" w:lineRule="auto" w:before="0" w:after="120"/>
        <w:ind w:firstLine="360"/>
        <w:jc w:val="both"/>
      </w:pPr>
      <w:r>
        <w:t>Hạn chế thứ hai là pseudo-stockout validation vẫn cho thấy xu hướng dự báo cao hơn thực tế. Ở cấp daily aggregate, WAPE của pseudo-stockout validation khoảng 16.56%, trong khi prediction/actual ratio khoảng 1.1152. Điều này cho thấy imputation có thể làm tăng tổng sales nếu không được kiểm soát. Vì vậy, phần recovered lost demand cần được trình bày như một ước lượng có uncertainty, không phải con số doanh thu mất đi chắc chắn.</w:t>
      </w:r>
    </w:p>
    <w:p>
      <w:pPr>
        <w:spacing w:line="360" w:lineRule="auto" w:before="0" w:after="120"/>
        <w:ind w:firstLine="360"/>
        <w:jc w:val="both"/>
      </w:pPr>
      <w:r>
        <w:t>Hạn chế thứ ba nằm ở phần residual diagnostics. Với hybrid seasonal-ML, WPE khoảng -7.15% và Ljung-Box p-value ở lag 7 khoảng 0.0288. Kết quả này cho thấy mô hình đã giảm sai lệch đáng kể so với forecast trên observed sales, nhưng phần dư chưa hoàn toàn độc lập như white noise. Đây là đặc điểm thường gặp trong dữ liệu retail có nhiều zero, spike, sự kiện cục bộ và target next-7-day có tính chồng lấn giữa các forecast origin.</w:t>
      </w:r>
    </w:p>
    <w:p>
      <w:pPr>
        <w:spacing w:line="360" w:lineRule="auto" w:before="0" w:after="120"/>
        <w:ind w:firstLine="360"/>
        <w:jc w:val="both"/>
      </w:pPr>
      <w:r>
        <w:t>Hạn chế thứ tư là mô hình substitution mới chỉ được đưa vào ở mức feature engineering ban đầu. Đề tài đã bổ sung tín hiệu peer sales, nhóm store-category và velocity/momentum trước stockout để xử lý hai điểm mù quan trọng: sản phẩm A hết hàng làm sản phẩm B tăng bất thường, và tốc độ bán 16-18h phản ánh demand tăng mạnh trước khi missing từ 18h trở đi. Tuy nhiên, quan hệ thay thế sản phẩm trong thực tế còn phụ thuộc giá, khuyến mãi, vị trí trưng bày, giỏ hàng và hành vi khách hàng. Các yếu tố này chưa được mô hình hóa đầy đủ.</w:t>
      </w:r>
    </w:p>
    <w:p>
      <w:pPr>
        <w:spacing w:line="360" w:lineRule="auto" w:before="0" w:after="120"/>
        <w:ind w:firstLine="360"/>
        <w:jc w:val="both"/>
      </w:pPr>
      <w:r>
        <w:t>Hạn chế thứ năm là đề tài sử dụng sample 10% thay vì toàn bộ dữ liệu. Lựa chọn này hợp lý trong bối cảnh tài nguyên tính toán giới hạn và mục tiêu đồ án không yêu cầu full data, nhưng nó có thể làm giảm khả năng quan sát đầy đủ các quan hệ peer/substitution trong mạng sản phẩm-cửa hàng. Nếu triển khai thực tế, cần đánh giá lại trên toàn bộ dữ liệu hoặc ít nhất trên sample được thiết kế theo nhóm hàng, thành phố và mức độ stockout.</w:t>
      </w:r>
    </w:p>
    <w:p>
      <w:pPr>
        <w:pStyle w:val="TableCaption"/>
      </w:pPr>
      <w:r>
        <w:t>Bảng 7.3: Hạn chế chính và cách kiểm soát trong phạm vi đồ án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Hạn chế</w:t>
            </w:r>
          </w:p>
        </w:tc>
        <w:tc>
          <w:tcPr>
            <w:tcW w:type="dxa" w:w="2880"/>
          </w:tcPr>
          <w:p>
            <w:pPr>
              <w:jc w:val="center"/>
            </w:pPr>
            <w:r>
              <w:rPr>
                <w:b/>
              </w:rPr>
              <w:t>Ảnh hưởng</w:t>
            </w:r>
          </w:p>
        </w:tc>
        <w:tc>
          <w:tcPr>
            <w:tcW w:type="dxa" w:w="2880"/>
          </w:tcPr>
          <w:p>
            <w:pPr>
              <w:jc w:val="center"/>
            </w:pPr>
            <w:r>
              <w:rPr>
                <w:b/>
              </w:rPr>
              <w:t>Cách đã kiểm soát trong đề tài</w:t>
            </w:r>
          </w:p>
        </w:tc>
      </w:tr>
      <w:tr>
        <w:tc>
          <w:tcPr>
            <w:tcW w:type="dxa" w:w="2880"/>
          </w:tcPr>
          <w:p>
            <w:pPr>
              <w:jc w:val="both"/>
            </w:pPr>
            <w:r>
              <w:rPr>
                <w:rFonts w:ascii="Times New Roman" w:hAnsi="Times New Roman"/>
                <w:sz w:val="22"/>
              </w:rPr>
              <w:t>Recovered demand chỉ là proxy</w:t>
            </w:r>
          </w:p>
        </w:tc>
        <w:tc>
          <w:tcPr>
            <w:tcW w:type="dxa" w:w="2880"/>
          </w:tcPr>
          <w:p>
            <w:pPr>
              <w:jc w:val="both"/>
            </w:pPr>
            <w:r>
              <w:rPr>
                <w:rFonts w:ascii="Times New Roman" w:hAnsi="Times New Roman"/>
                <w:sz w:val="22"/>
              </w:rPr>
              <w:t>Không quan sát trực tiếp nhu cầu thật trong giờ hết hàng</w:t>
            </w:r>
          </w:p>
        </w:tc>
        <w:tc>
          <w:tcPr>
            <w:tcW w:type="dxa" w:w="2880"/>
          </w:tcPr>
          <w:p>
            <w:pPr>
              <w:jc w:val="both"/>
            </w:pPr>
            <w:r>
              <w:rPr>
                <w:rFonts w:ascii="Times New Roman" w:hAnsi="Times New Roman"/>
                <w:sz w:val="22"/>
              </w:rPr>
              <w:t>Expanding-window, warm-up, calibration, capping</w:t>
            </w:r>
          </w:p>
        </w:tc>
      </w:tr>
      <w:tr>
        <w:tc>
          <w:tcPr>
            <w:tcW w:type="dxa" w:w="2880"/>
          </w:tcPr>
          <w:p>
            <w:pPr>
              <w:jc w:val="both"/>
            </w:pPr>
            <w:r>
              <w:rPr>
                <w:rFonts w:ascii="Times New Roman" w:hAnsi="Times New Roman"/>
                <w:sz w:val="22"/>
              </w:rPr>
              <w:t>Imputation có thể over-predict</w:t>
            </w:r>
          </w:p>
        </w:tc>
        <w:tc>
          <w:tcPr>
            <w:tcW w:type="dxa" w:w="2880"/>
          </w:tcPr>
          <w:p>
            <w:pPr>
              <w:jc w:val="both"/>
            </w:pPr>
            <w:r>
              <w:rPr>
                <w:rFonts w:ascii="Times New Roman" w:hAnsi="Times New Roman"/>
                <w:sz w:val="22"/>
              </w:rPr>
              <w:t>Lost sales proxy có thể bị đánh giá cao</w:t>
            </w:r>
          </w:p>
        </w:tc>
        <w:tc>
          <w:tcPr>
            <w:tcW w:type="dxa" w:w="2880"/>
          </w:tcPr>
          <w:p>
            <w:pPr>
              <w:jc w:val="both"/>
            </w:pPr>
            <w:r>
              <w:rPr>
                <w:rFonts w:ascii="Times New Roman" w:hAnsi="Times New Roman"/>
                <w:sz w:val="22"/>
              </w:rPr>
              <w:t>Pseudo-stockout validation và sensitivity analysis theo cap</w:t>
            </w:r>
          </w:p>
        </w:tc>
      </w:tr>
      <w:tr>
        <w:tc>
          <w:tcPr>
            <w:tcW w:type="dxa" w:w="2880"/>
          </w:tcPr>
          <w:p>
            <w:pPr>
              <w:jc w:val="both"/>
            </w:pPr>
            <w:r>
              <w:rPr>
                <w:rFonts w:ascii="Times New Roman" w:hAnsi="Times New Roman"/>
                <w:sz w:val="22"/>
              </w:rPr>
              <w:t>Residual chưa hoàn toàn white noise</w:t>
            </w:r>
          </w:p>
        </w:tc>
        <w:tc>
          <w:tcPr>
            <w:tcW w:type="dxa" w:w="2880"/>
          </w:tcPr>
          <w:p>
            <w:pPr>
              <w:jc w:val="both"/>
            </w:pPr>
            <w:r>
              <w:rPr>
                <w:rFonts w:ascii="Times New Roman" w:hAnsi="Times New Roman"/>
                <w:sz w:val="22"/>
              </w:rPr>
              <w:t>Còn pattern chưa được mô hình học hết</w:t>
            </w:r>
          </w:p>
        </w:tc>
        <w:tc>
          <w:tcPr>
            <w:tcW w:type="dxa" w:w="2880"/>
          </w:tcPr>
          <w:p>
            <w:pPr>
              <w:jc w:val="both"/>
            </w:pPr>
            <w:r>
              <w:rPr>
                <w:rFonts w:ascii="Times New Roman" w:hAnsi="Times New Roman"/>
                <w:sz w:val="22"/>
              </w:rPr>
              <w:t>Residual diagnostics, non-overlap diagnostics và prediction intervals</w:t>
            </w:r>
          </w:p>
        </w:tc>
      </w:tr>
      <w:tr>
        <w:tc>
          <w:tcPr>
            <w:tcW w:type="dxa" w:w="2880"/>
          </w:tcPr>
          <w:p>
            <w:pPr>
              <w:jc w:val="both"/>
            </w:pPr>
            <w:r>
              <w:rPr>
                <w:rFonts w:ascii="Times New Roman" w:hAnsi="Times New Roman"/>
                <w:sz w:val="22"/>
              </w:rPr>
              <w:t>Substitution modeling còn đơn giản</w:t>
            </w:r>
          </w:p>
        </w:tc>
        <w:tc>
          <w:tcPr>
            <w:tcW w:type="dxa" w:w="2880"/>
          </w:tcPr>
          <w:p>
            <w:pPr>
              <w:jc w:val="both"/>
            </w:pPr>
            <w:r>
              <w:rPr>
                <w:rFonts w:ascii="Times New Roman" w:hAnsi="Times New Roman"/>
                <w:sz w:val="22"/>
              </w:rPr>
              <w:t>Chưa mô hình hóa đầy đủ quan hệ thay thế giữa sản phẩm</w:t>
            </w:r>
          </w:p>
        </w:tc>
        <w:tc>
          <w:tcPr>
            <w:tcW w:type="dxa" w:w="2880"/>
          </w:tcPr>
          <w:p>
            <w:pPr>
              <w:jc w:val="both"/>
            </w:pPr>
            <w:r>
              <w:rPr>
                <w:rFonts w:ascii="Times New Roman" w:hAnsi="Times New Roman"/>
                <w:sz w:val="22"/>
              </w:rPr>
              <w:t>Peer/category features và velocity trước stockout</w:t>
            </w:r>
          </w:p>
        </w:tc>
      </w:tr>
      <w:tr>
        <w:tc>
          <w:tcPr>
            <w:tcW w:type="dxa" w:w="2880"/>
          </w:tcPr>
          <w:p>
            <w:pPr>
              <w:jc w:val="both"/>
            </w:pPr>
            <w:r>
              <w:rPr>
                <w:rFonts w:ascii="Times New Roman" w:hAnsi="Times New Roman"/>
                <w:sz w:val="22"/>
              </w:rPr>
              <w:t>Sample 10%</w:t>
            </w:r>
          </w:p>
        </w:tc>
        <w:tc>
          <w:tcPr>
            <w:tcW w:type="dxa" w:w="2880"/>
          </w:tcPr>
          <w:p>
            <w:pPr>
              <w:jc w:val="both"/>
            </w:pPr>
            <w:r>
              <w:rPr>
                <w:rFonts w:ascii="Times New Roman" w:hAnsi="Times New Roman"/>
                <w:sz w:val="22"/>
              </w:rPr>
              <w:t>Có thể thiếu một số quan hệ mạng sản phẩm-cửa hàng</w:t>
            </w:r>
          </w:p>
        </w:tc>
        <w:tc>
          <w:tcPr>
            <w:tcW w:type="dxa" w:w="2880"/>
          </w:tcPr>
          <w:p>
            <w:pPr>
              <w:jc w:val="both"/>
            </w:pPr>
            <w:r>
              <w:rPr>
                <w:rFonts w:ascii="Times New Roman" w:hAnsi="Times New Roman"/>
                <w:sz w:val="22"/>
              </w:rPr>
              <w:t>Lấy mẫu theo chuỗi để giữ nguyên cấu trúc thời gian</w:t>
            </w:r>
          </w:p>
        </w:tc>
      </w:tr>
    </w:tbl>
    <w:p/>
    <w:p>
      <w:pPr>
        <w:spacing w:line="360" w:lineRule="auto" w:before="0" w:after="120"/>
        <w:ind w:firstLine="360"/>
        <w:jc w:val="both"/>
      </w:pPr>
      <w:r>
        <w:t>Những hạn chế này không làm mất giá trị của đề tài, nhưng đặt ra ranh giới diễn giải rõ ràng. Kết quả tốt nhất không nên được hiểu là mô hình đã giải quyết hoàn toàn bài toán demand forecasting cho hàng tươi sống, mà nên được hiểu là một framework nghiên cứu có kiểm soát, đủ để chứng minh stockout-aware forecasting có giá trị hơn forecasting trực tiếp trên observed sales.</w:t>
      </w:r>
    </w:p>
    <w:p>
      <w:pPr>
        <w:pStyle w:val="Heading2"/>
      </w:pPr>
      <w:r>
        <w:t>7.3. Đề xuất Hướng Nghiên cứu và Phát triển Tương lai</w:t>
      </w:r>
    </w:p>
    <w:p>
      <w:pPr>
        <w:spacing w:line="360" w:lineRule="auto" w:before="0" w:after="120"/>
        <w:ind w:firstLine="360"/>
        <w:jc w:val="both"/>
      </w:pPr>
      <w:r>
        <w:t>Hướng phát triển đầu tiên là mở rộng latent demand recovery bằng các mô hình chuyên cho missing hoặc censored time series. Các mô hình như SAITS, CSDI, TimesNet, ImputeFormer, GPVAE, iTransformer hoặc DLinear có thể được thử nghiệm trong tương lai. Tuy nhiên, bài học quan trọng từ đề tài là mô hình phức tạp chỉ nên được dùng khi đi kèm validation chặt chẽ. Nếu không kiểm soát leakage và over-imputation, deep learning có thể tạo ra kết quả có vẻ tốt nhưng khó tin cậy trong vận hành.</w:t>
      </w:r>
    </w:p>
    <w:p>
      <w:pPr>
        <w:spacing w:line="360" w:lineRule="auto" w:before="0" w:after="120"/>
        <w:ind w:firstLine="360"/>
        <w:jc w:val="both"/>
      </w:pPr>
      <w:r>
        <w:t>Hướng thứ hai là xây dựng substitution graph giữa các sản phẩm. Thay vì chỉ dùng peer sales theo store-category, có thể học quan hệ thay thế dựa trên tương quan nhu cầu, similarity danh mục, giá bán, khuyến mãi hoặc co-movement khi một sản phẩm stockout. Khi đó, nếu rau cải A hết hàng và rau cải B tăng bất thường, mô hình có thể phân biệt tốt hơn phần tăng do substitution với phần tăng do demand chung của cửa hàng.</w:t>
      </w:r>
    </w:p>
    <w:p>
      <w:pPr>
        <w:spacing w:line="360" w:lineRule="auto" w:before="0" w:after="120"/>
        <w:ind w:firstLine="360"/>
        <w:jc w:val="both"/>
      </w:pPr>
      <w:r>
        <w:t>Hướng thứ ba là cải thiện mô hình uncertainty. Hiện tại, khoảng dự báo của hybrid có 95% coverage khoảng 93.89% và 80% coverage khoảng 76.77%. Đây là điểm khởi đầu tốt, nhưng để phục vụ nhập hàng, mô hình cần dự báo phân vị hoặc conformal prediction ổn định hơn. Điều này cho phép chuyển forecast thành quyết định safety stock, thay vì chỉ đưa ra một giá trị trung bình.</w:t>
      </w:r>
    </w:p>
    <w:p>
      <w:pPr>
        <w:spacing w:line="360" w:lineRule="auto" w:before="0" w:after="120"/>
        <w:ind w:firstLine="360"/>
        <w:jc w:val="both"/>
      </w:pPr>
      <w:r>
        <w:t>Hướng thứ tư là đánh giá mô hình bằng business metrics. Trong môi trường bán lẻ, một mô hình WAPE thấp chưa chắc là mô hình tốt nhất nếu nó làm tăng hàng tồn, hủy hàng hoặc chi phí vận hành. Do đó, các thí nghiệm tiếp theo nên đo thêm stockout rate sau khuyến nghị nhập hàng, service level, waste rate, inventory turnover và lợi nhuận ròng. Đây là bước cần thiết để chuyển từ mô hình học thuật sang công cụ hỗ trợ quyết định.</w:t>
      </w:r>
    </w:p>
    <w:p>
      <w:pPr>
        <w:spacing w:line="360" w:lineRule="auto" w:before="0" w:after="120"/>
        <w:ind w:firstLine="360"/>
        <w:jc w:val="both"/>
      </w:pPr>
      <w:r>
        <w:t>Hướng thứ năm là triển khai rolling retraining và drift monitoring. Nhu cầu hàng tươi sống có thể thay đổi theo mùa, thời tiết, ngày lễ, khuyến mãi, thay đổi giá và hành vi khách hàng. Vì vậy, mô hình cần dashboard theo dõi sai số theo tuần, store, category và nhóm stockout. Seasonal Naive nên tiếp tục được giữ làm benchmark thường trực: nếu mô hình học máy không còn vượt được baseline mùa vụ, hệ thống cần cảnh báo hoặc tái huấn luyện.</w:t>
      </w:r>
    </w:p>
    <w:p>
      <w:pPr>
        <w:pStyle w:val="TableCaption"/>
      </w:pPr>
      <w:r>
        <w:t>Bảng 7.4: Đề xuất hướng phát triển và mức độ ưu tiên</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Hướng phát triển</w:t>
            </w:r>
          </w:p>
        </w:tc>
        <w:tc>
          <w:tcPr>
            <w:tcW w:type="dxa" w:w="2880"/>
          </w:tcPr>
          <w:p>
            <w:pPr>
              <w:jc w:val="center"/>
            </w:pPr>
            <w:r>
              <w:rPr>
                <w:b/>
              </w:rPr>
              <w:t>Mục tiêu</w:t>
            </w:r>
          </w:p>
        </w:tc>
        <w:tc>
          <w:tcPr>
            <w:tcW w:type="dxa" w:w="2880"/>
          </w:tcPr>
          <w:p>
            <w:pPr>
              <w:jc w:val="center"/>
            </w:pPr>
            <w:r>
              <w:rPr>
                <w:b/>
              </w:rPr>
              <w:t>Ưu tiên</w:t>
            </w:r>
          </w:p>
        </w:tc>
      </w:tr>
      <w:tr>
        <w:tc>
          <w:tcPr>
            <w:tcW w:type="dxa" w:w="2880"/>
          </w:tcPr>
          <w:p>
            <w:pPr>
              <w:jc w:val="both"/>
            </w:pPr>
            <w:r>
              <w:rPr>
                <w:rFonts w:ascii="Times New Roman" w:hAnsi="Times New Roman"/>
                <w:sz w:val="22"/>
              </w:rPr>
              <w:t>Substitution graph</w:t>
            </w:r>
          </w:p>
        </w:tc>
        <w:tc>
          <w:tcPr>
            <w:tcW w:type="dxa" w:w="2880"/>
          </w:tcPr>
          <w:p>
            <w:pPr>
              <w:jc w:val="both"/>
            </w:pPr>
            <w:r>
              <w:rPr>
                <w:rFonts w:ascii="Times New Roman" w:hAnsi="Times New Roman"/>
                <w:sz w:val="22"/>
              </w:rPr>
              <w:t>Mô hình hóa quan hệ thay thế giữa sản phẩm khi stockout</w:t>
            </w:r>
          </w:p>
        </w:tc>
        <w:tc>
          <w:tcPr>
            <w:tcW w:type="dxa" w:w="2880"/>
          </w:tcPr>
          <w:p>
            <w:pPr>
              <w:jc w:val="both"/>
            </w:pPr>
            <w:r>
              <w:rPr>
                <w:rFonts w:ascii="Times New Roman" w:hAnsi="Times New Roman"/>
                <w:sz w:val="22"/>
              </w:rPr>
              <w:t>Cao, vì trực tiếp xử lý điểm mù business</w:t>
            </w:r>
          </w:p>
        </w:tc>
      </w:tr>
      <w:tr>
        <w:tc>
          <w:tcPr>
            <w:tcW w:type="dxa" w:w="2880"/>
          </w:tcPr>
          <w:p>
            <w:pPr>
              <w:jc w:val="both"/>
            </w:pPr>
            <w:r>
              <w:rPr>
                <w:rFonts w:ascii="Times New Roman" w:hAnsi="Times New Roman"/>
                <w:sz w:val="22"/>
              </w:rPr>
              <w:t>Probabilistic forecasting</w:t>
            </w:r>
          </w:p>
        </w:tc>
        <w:tc>
          <w:tcPr>
            <w:tcW w:type="dxa" w:w="2880"/>
          </w:tcPr>
          <w:p>
            <w:pPr>
              <w:jc w:val="both"/>
            </w:pPr>
            <w:r>
              <w:rPr>
                <w:rFonts w:ascii="Times New Roman" w:hAnsi="Times New Roman"/>
                <w:sz w:val="22"/>
              </w:rPr>
              <w:t>Tạo quantile và prediction interval phục vụ safety stock</w:t>
            </w:r>
          </w:p>
        </w:tc>
        <w:tc>
          <w:tcPr>
            <w:tcW w:type="dxa" w:w="2880"/>
          </w:tcPr>
          <w:p>
            <w:pPr>
              <w:jc w:val="both"/>
            </w:pPr>
            <w:r>
              <w:rPr>
                <w:rFonts w:ascii="Times New Roman" w:hAnsi="Times New Roman"/>
                <w:sz w:val="22"/>
              </w:rPr>
              <w:t>Cao, vì cần cho replenishment thực tế</w:t>
            </w:r>
          </w:p>
        </w:tc>
      </w:tr>
      <w:tr>
        <w:tc>
          <w:tcPr>
            <w:tcW w:type="dxa" w:w="2880"/>
          </w:tcPr>
          <w:p>
            <w:pPr>
              <w:jc w:val="both"/>
            </w:pPr>
            <w:r>
              <w:rPr>
                <w:rFonts w:ascii="Times New Roman" w:hAnsi="Times New Roman"/>
                <w:sz w:val="22"/>
              </w:rPr>
              <w:t>Deep imputation</w:t>
            </w:r>
          </w:p>
        </w:tc>
        <w:tc>
          <w:tcPr>
            <w:tcW w:type="dxa" w:w="2880"/>
          </w:tcPr>
          <w:p>
            <w:pPr>
              <w:jc w:val="both"/>
            </w:pPr>
            <w:r>
              <w:rPr>
                <w:rFonts w:ascii="Times New Roman" w:hAnsi="Times New Roman"/>
                <w:sz w:val="22"/>
              </w:rPr>
              <w:t>Cải thiện khôi phục demand trong các block stockout dài</w:t>
            </w:r>
          </w:p>
        </w:tc>
        <w:tc>
          <w:tcPr>
            <w:tcW w:type="dxa" w:w="2880"/>
          </w:tcPr>
          <w:p>
            <w:pPr>
              <w:jc w:val="both"/>
            </w:pPr>
            <w:r>
              <w:rPr>
                <w:rFonts w:ascii="Times New Roman" w:hAnsi="Times New Roman"/>
                <w:sz w:val="22"/>
              </w:rPr>
              <w:t>Trung bình, chỉ triển khai khi có validation chống leakage</w:t>
            </w:r>
          </w:p>
        </w:tc>
      </w:tr>
      <w:tr>
        <w:tc>
          <w:tcPr>
            <w:tcW w:type="dxa" w:w="2880"/>
          </w:tcPr>
          <w:p>
            <w:pPr>
              <w:jc w:val="both"/>
            </w:pPr>
            <w:r>
              <w:rPr>
                <w:rFonts w:ascii="Times New Roman" w:hAnsi="Times New Roman"/>
                <w:sz w:val="22"/>
              </w:rPr>
              <w:t>Business metric evaluation</w:t>
            </w:r>
          </w:p>
        </w:tc>
        <w:tc>
          <w:tcPr>
            <w:tcW w:type="dxa" w:w="2880"/>
          </w:tcPr>
          <w:p>
            <w:pPr>
              <w:jc w:val="both"/>
            </w:pPr>
            <w:r>
              <w:rPr>
                <w:rFonts w:ascii="Times New Roman" w:hAnsi="Times New Roman"/>
                <w:sz w:val="22"/>
              </w:rPr>
              <w:t>Đo tác động đến stockout, waste và lợi nhuận</w:t>
            </w:r>
          </w:p>
        </w:tc>
        <w:tc>
          <w:tcPr>
            <w:tcW w:type="dxa" w:w="2880"/>
          </w:tcPr>
          <w:p>
            <w:pPr>
              <w:jc w:val="both"/>
            </w:pPr>
            <w:r>
              <w:rPr>
                <w:rFonts w:ascii="Times New Roman" w:hAnsi="Times New Roman"/>
                <w:sz w:val="22"/>
              </w:rPr>
              <w:t>Cao, nếu có dữ liệu vận hành bổ sung</w:t>
            </w:r>
          </w:p>
        </w:tc>
      </w:tr>
      <w:tr>
        <w:tc>
          <w:tcPr>
            <w:tcW w:type="dxa" w:w="2880"/>
          </w:tcPr>
          <w:p>
            <w:pPr>
              <w:jc w:val="both"/>
            </w:pPr>
            <w:r>
              <w:rPr>
                <w:rFonts w:ascii="Times New Roman" w:hAnsi="Times New Roman"/>
                <w:sz w:val="22"/>
              </w:rPr>
              <w:t>Full-data retraining</w:t>
            </w:r>
          </w:p>
        </w:tc>
        <w:tc>
          <w:tcPr>
            <w:tcW w:type="dxa" w:w="2880"/>
          </w:tcPr>
          <w:p>
            <w:pPr>
              <w:jc w:val="both"/>
            </w:pPr>
            <w:r>
              <w:rPr>
                <w:rFonts w:ascii="Times New Roman" w:hAnsi="Times New Roman"/>
                <w:sz w:val="22"/>
              </w:rPr>
              <w:t>Kiểm tra độ ổn định khi mở rộng từ sample 10% lên toàn bộ dữ liệu</w:t>
            </w:r>
          </w:p>
        </w:tc>
        <w:tc>
          <w:tcPr>
            <w:tcW w:type="dxa" w:w="2880"/>
          </w:tcPr>
          <w:p>
            <w:pPr>
              <w:jc w:val="both"/>
            </w:pPr>
            <w:r>
              <w:rPr>
                <w:rFonts w:ascii="Times New Roman" w:hAnsi="Times New Roman"/>
                <w:sz w:val="22"/>
              </w:rPr>
              <w:t>Trung bình-cao, phụ thuộc tài nguyên tính toán</w:t>
            </w:r>
          </w:p>
        </w:tc>
      </w:tr>
      <w:tr>
        <w:tc>
          <w:tcPr>
            <w:tcW w:type="dxa" w:w="2880"/>
          </w:tcPr>
          <w:p>
            <w:pPr>
              <w:jc w:val="both"/>
            </w:pPr>
            <w:r>
              <w:rPr>
                <w:rFonts w:ascii="Times New Roman" w:hAnsi="Times New Roman"/>
                <w:sz w:val="22"/>
              </w:rPr>
              <w:t>Drift monitoring</w:t>
            </w:r>
          </w:p>
        </w:tc>
        <w:tc>
          <w:tcPr>
            <w:tcW w:type="dxa" w:w="2880"/>
          </w:tcPr>
          <w:p>
            <w:pPr>
              <w:jc w:val="both"/>
            </w:pPr>
            <w:r>
              <w:rPr>
                <w:rFonts w:ascii="Times New Roman" w:hAnsi="Times New Roman"/>
                <w:sz w:val="22"/>
              </w:rPr>
              <w:t>Theo dõi mô hình sau triển khai và phát hiện thay đổi hành vi nhu cầu</w:t>
            </w:r>
          </w:p>
        </w:tc>
        <w:tc>
          <w:tcPr>
            <w:tcW w:type="dxa" w:w="2880"/>
          </w:tcPr>
          <w:p>
            <w:pPr>
              <w:jc w:val="both"/>
            </w:pPr>
            <w:r>
              <w:rPr>
                <w:rFonts w:ascii="Times New Roman" w:hAnsi="Times New Roman"/>
                <w:sz w:val="22"/>
              </w:rPr>
              <w:t>Cao trong giai đoạn production</w:t>
            </w:r>
          </w:p>
        </w:tc>
      </w:tr>
    </w:tbl>
    <w:p/>
    <w:p>
      <w:pPr>
        <w:spacing w:line="360" w:lineRule="auto" w:before="0" w:after="120"/>
        <w:ind w:firstLine="360"/>
        <w:jc w:val="both"/>
      </w:pPr>
      <w:r>
        <w:t>Nếu tiếp tục phát triển đề tài theo hướng ứng dụng, thứ tự ưu tiên hợp lý không phải là đưa ngay mô hình deep learning phức tạp vào pipeline. Ưu tiên nên là: kiểm định recovery tốt hơn, mô hình hóa substitution rõ hơn, lượng hóa uncertainty tốt hơn và đánh giá bằng business metrics. Sau khi các lớp kiểm định này ổn định, các mô hình sâu mới có ý nghĩa như một bước nâng cấp kỹ thuật.</w:t>
      </w:r>
    </w:p>
    <w:p>
      <w:pPr>
        <w:spacing w:line="360" w:lineRule="auto" w:before="0" w:after="120"/>
        <w:ind w:firstLine="360"/>
        <w:jc w:val="both"/>
      </w:pPr>
      <w:r>
        <w:t>Tóm lại, đề tài đã xây dựng được một hướng tiếp cận nhất quán cho bài toán dự báo chuỗi thời gian bán lẻ trong điều kiện stockout. Thay vì chỉ tối ưu điểm số dự báo, đề tài đặt trọng tâm vào việc hiểu đúng dữ liệu, khôi phục nhu cầu bị che khuất, kiểm soát rủi ro imputation và diễn giải kết quả thành quyết định vận hành. Đây là nền tảng phù hợp để mở rộng sang các mô hình recovery và forecasting nâng cao hơn trong tương lai.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0" w:after="12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spacing w:line="360" w:lineRule="auto" w:before="0" w:after="120"/>
      <w:jc w:val="center"/>
    </w:pPr>
    <w:rPr>
      <w:rFonts w:ascii="Times New Roman" w:hAnsi="Times New Roman"/>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