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9D1E" w14:textId="77777777" w:rsidR="00435894" w:rsidRDefault="00435894">
      <w:pPr>
        <w:spacing w:line="276" w:lineRule="auto"/>
        <w:jc w:val="both"/>
        <w:rPr>
          <w:rFonts w:ascii="Times New Roman" w:eastAsia="Times New Roman" w:hAnsi="Times New Roman" w:cs="Times New Roman"/>
          <w:sz w:val="2"/>
          <w:szCs w:val="2"/>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35894" w14:paraId="0D489F65" w14:textId="77777777">
        <w:trPr>
          <w:trHeight w:val="12900"/>
        </w:trPr>
        <w:tc>
          <w:tcPr>
            <w:tcW w:w="93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6EB5A18" w14:textId="77777777" w:rsidR="00435894" w:rsidRDefault="00136A5C">
            <w:pPr>
              <w:widowControl w:val="0"/>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FOREIGN TRADE UNIVERSITY</w:t>
            </w:r>
          </w:p>
          <w:p w14:paraId="4DEC2E86" w14:textId="77777777" w:rsidR="00435894" w:rsidRDefault="00136A5C">
            <w:pPr>
              <w:widowControl w:val="0"/>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VIETNAM-JAPAN SCHOOL OF BUSINESS AND INNOVATION</w:t>
            </w:r>
          </w:p>
          <w:p w14:paraId="78C1A26B" w14:textId="77777777" w:rsidR="00435894" w:rsidRDefault="00435894">
            <w:pPr>
              <w:widowControl w:val="0"/>
              <w:spacing w:line="276" w:lineRule="auto"/>
              <w:jc w:val="center"/>
              <w:rPr>
                <w:rFonts w:ascii="Times New Roman" w:eastAsia="Times New Roman" w:hAnsi="Times New Roman" w:cs="Times New Roman"/>
                <w:b/>
                <w:bCs/>
                <w:sz w:val="28"/>
                <w:szCs w:val="28"/>
              </w:rPr>
            </w:pPr>
          </w:p>
          <w:p w14:paraId="3780D79C" w14:textId="77777777" w:rsidR="00435894" w:rsidRDefault="00435894">
            <w:pPr>
              <w:widowControl w:val="0"/>
              <w:spacing w:line="276" w:lineRule="auto"/>
              <w:jc w:val="center"/>
              <w:rPr>
                <w:rFonts w:ascii="Times New Roman" w:eastAsia="Times New Roman" w:hAnsi="Times New Roman" w:cs="Times New Roman"/>
                <w:b/>
                <w:bCs/>
                <w:sz w:val="28"/>
                <w:szCs w:val="28"/>
              </w:rPr>
            </w:pPr>
          </w:p>
          <w:p w14:paraId="64DC5582"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3C95442"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ADB56AE" wp14:editId="4B995AA1">
                  <wp:extent cx="1747977" cy="174797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1747977" cy="1747977"/>
                          </a:xfrm>
                          <a:prstGeom prst="rect">
                            <a:avLst/>
                          </a:prstGeom>
                          <a:ln/>
                        </pic:spPr>
                      </pic:pic>
                    </a:graphicData>
                  </a:graphic>
                </wp:inline>
              </w:drawing>
            </w:r>
          </w:p>
          <w:p w14:paraId="0DB267BC" w14:textId="77777777" w:rsidR="00435894" w:rsidRDefault="00435894">
            <w:pPr>
              <w:widowControl w:val="0"/>
              <w:spacing w:line="276" w:lineRule="auto"/>
              <w:jc w:val="center"/>
              <w:rPr>
                <w:rFonts w:ascii="Times New Roman" w:eastAsia="Times New Roman" w:hAnsi="Times New Roman" w:cs="Times New Roman"/>
                <w:b/>
                <w:bCs/>
                <w:sz w:val="30"/>
                <w:szCs w:val="30"/>
              </w:rPr>
            </w:pPr>
          </w:p>
          <w:p w14:paraId="10423F3D" w14:textId="77777777" w:rsidR="00435894" w:rsidRDefault="00435894">
            <w:pPr>
              <w:widowControl w:val="0"/>
              <w:spacing w:line="276" w:lineRule="auto"/>
              <w:jc w:val="center"/>
              <w:rPr>
                <w:rFonts w:ascii="Times New Roman" w:eastAsia="Times New Roman" w:hAnsi="Times New Roman" w:cs="Times New Roman"/>
                <w:b/>
                <w:bCs/>
                <w:sz w:val="30"/>
                <w:szCs w:val="30"/>
              </w:rPr>
            </w:pPr>
          </w:p>
          <w:p w14:paraId="5880B384" w14:textId="77777777" w:rsidR="00435894" w:rsidRDefault="00136A5C">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EXECUTIVE SUMMARY</w:t>
            </w:r>
          </w:p>
          <w:p w14:paraId="5C73BD2C" w14:textId="77777777" w:rsidR="00435894" w:rsidRDefault="00136A5C">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ADVANCED BUSINESS ANALYTICS</w:t>
            </w:r>
          </w:p>
          <w:p w14:paraId="5F2D223D" w14:textId="77777777" w:rsidR="00435894" w:rsidRDefault="00435894">
            <w:pPr>
              <w:widowControl w:val="0"/>
              <w:spacing w:line="276" w:lineRule="auto"/>
              <w:jc w:val="center"/>
              <w:rPr>
                <w:rFonts w:ascii="Times New Roman" w:eastAsia="Times New Roman" w:hAnsi="Times New Roman" w:cs="Times New Roman"/>
                <w:b/>
                <w:bCs/>
                <w:sz w:val="30"/>
                <w:szCs w:val="30"/>
              </w:rPr>
            </w:pPr>
          </w:p>
          <w:p w14:paraId="61877585" w14:textId="77777777" w:rsidR="00435894" w:rsidRDefault="00136A5C">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HOTEL BOOKING CANCELLATION DECISION SUPPORT </w:t>
            </w:r>
          </w:p>
          <w:p w14:paraId="24B456B8" w14:textId="77777777" w:rsidR="00435894" w:rsidRDefault="00136A5C">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CITY HOTEL LISBON</w:t>
            </w:r>
          </w:p>
          <w:p w14:paraId="356F9DCC" w14:textId="77777777" w:rsidR="00435894" w:rsidRDefault="00435894">
            <w:pPr>
              <w:widowControl w:val="0"/>
              <w:spacing w:line="276" w:lineRule="auto"/>
              <w:jc w:val="center"/>
              <w:rPr>
                <w:rFonts w:ascii="Times New Roman" w:eastAsia="Times New Roman" w:hAnsi="Times New Roman" w:cs="Times New Roman"/>
                <w:b/>
                <w:bCs/>
                <w:sz w:val="24"/>
                <w:szCs w:val="24"/>
              </w:rPr>
            </w:pPr>
          </w:p>
          <w:p w14:paraId="1605637E" w14:textId="77777777" w:rsidR="00435894" w:rsidRDefault="00435894">
            <w:pPr>
              <w:widowControl w:val="0"/>
              <w:spacing w:line="276" w:lineRule="auto"/>
              <w:jc w:val="center"/>
              <w:rPr>
                <w:rFonts w:ascii="Times New Roman" w:eastAsia="Times New Roman" w:hAnsi="Times New Roman" w:cs="Times New Roman"/>
                <w:b/>
                <w:bCs/>
                <w:sz w:val="24"/>
                <w:szCs w:val="24"/>
              </w:rPr>
            </w:pPr>
          </w:p>
          <w:p w14:paraId="67C69E14" w14:textId="77777777" w:rsidR="00435894" w:rsidRDefault="00435894">
            <w:pPr>
              <w:widowControl w:val="0"/>
              <w:spacing w:line="276" w:lineRule="auto"/>
              <w:jc w:val="center"/>
              <w:rPr>
                <w:rFonts w:ascii="Times New Roman" w:eastAsia="Times New Roman" w:hAnsi="Times New Roman" w:cs="Times New Roman"/>
                <w:b/>
                <w:bCs/>
                <w:sz w:val="24"/>
                <w:szCs w:val="24"/>
              </w:rPr>
            </w:pPr>
          </w:p>
          <w:p w14:paraId="49AB6624" w14:textId="77777777" w:rsidR="00435894" w:rsidRDefault="00435894">
            <w:pPr>
              <w:widowControl w:val="0"/>
              <w:spacing w:line="276" w:lineRule="auto"/>
              <w:jc w:val="center"/>
              <w:rPr>
                <w:rFonts w:ascii="Times New Roman" w:eastAsia="Times New Roman" w:hAnsi="Times New Roman" w:cs="Times New Roman"/>
                <w:b/>
                <w:bCs/>
                <w:sz w:val="24"/>
                <w:szCs w:val="24"/>
              </w:rPr>
            </w:pPr>
          </w:p>
          <w:p w14:paraId="4F7A5D1A" w14:textId="77777777" w:rsidR="00435894" w:rsidRDefault="00435894">
            <w:pPr>
              <w:widowControl w:val="0"/>
              <w:spacing w:line="276" w:lineRule="auto"/>
              <w:jc w:val="center"/>
              <w:rPr>
                <w:rFonts w:ascii="Times New Roman" w:eastAsia="Times New Roman" w:hAnsi="Times New Roman" w:cs="Times New Roman"/>
                <w:b/>
                <w:bCs/>
                <w:sz w:val="24"/>
                <w:szCs w:val="24"/>
              </w:rPr>
            </w:pPr>
          </w:p>
          <w:p w14:paraId="2452891C" w14:textId="77777777" w:rsidR="00435894" w:rsidRDefault="00136A5C">
            <w:pPr>
              <w:widowControl w:val="0"/>
              <w:spacing w:line="276" w:lineRule="auto"/>
              <w:ind w:left="20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2</w:t>
            </w:r>
          </w:p>
          <w:p w14:paraId="0D62C8C6" w14:textId="77777777" w:rsidR="00435894" w:rsidRDefault="00136A5C">
            <w:pPr>
              <w:widowControl w:val="0"/>
              <w:spacing w:line="276" w:lineRule="auto"/>
              <w:ind w:left="20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Class: DBZ405E(DB-HK1-2627)K62.1</w:t>
            </w:r>
          </w:p>
          <w:p w14:paraId="21BCFFFD" w14:textId="77777777" w:rsidR="00435894" w:rsidRDefault="00136A5C">
            <w:pPr>
              <w:widowControl w:val="0"/>
              <w:spacing w:line="276" w:lineRule="auto"/>
              <w:ind w:left="20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Lecturer: GS. Hồ Tú Bảo, PGS.TS. Trần Thị Oanh</w:t>
            </w:r>
          </w:p>
          <w:p w14:paraId="6AB55F41" w14:textId="77777777" w:rsidR="00435894" w:rsidRDefault="00435894">
            <w:pPr>
              <w:widowControl w:val="0"/>
              <w:spacing w:line="276" w:lineRule="auto"/>
              <w:ind w:left="2070"/>
              <w:jc w:val="both"/>
              <w:rPr>
                <w:rFonts w:ascii="Times New Roman" w:eastAsia="Times New Roman" w:hAnsi="Times New Roman" w:cs="Times New Roman"/>
                <w:b/>
                <w:bCs/>
                <w:sz w:val="28"/>
                <w:szCs w:val="28"/>
              </w:rPr>
            </w:pPr>
          </w:p>
          <w:p w14:paraId="4B14325B" w14:textId="77777777" w:rsidR="00435894" w:rsidRDefault="00435894">
            <w:pPr>
              <w:widowControl w:val="0"/>
              <w:spacing w:line="276" w:lineRule="auto"/>
              <w:ind w:left="2070"/>
              <w:jc w:val="both"/>
              <w:rPr>
                <w:rFonts w:ascii="Times New Roman" w:eastAsia="Times New Roman" w:hAnsi="Times New Roman" w:cs="Times New Roman"/>
                <w:b/>
                <w:bCs/>
                <w:sz w:val="24"/>
                <w:szCs w:val="24"/>
              </w:rPr>
            </w:pPr>
          </w:p>
          <w:p w14:paraId="60DC9C8E" w14:textId="77777777" w:rsidR="00435894" w:rsidRDefault="00435894">
            <w:pPr>
              <w:widowControl w:val="0"/>
              <w:spacing w:line="276" w:lineRule="auto"/>
              <w:ind w:left="2070"/>
              <w:jc w:val="both"/>
              <w:rPr>
                <w:rFonts w:ascii="Times New Roman" w:eastAsia="Times New Roman" w:hAnsi="Times New Roman" w:cs="Times New Roman"/>
                <w:b/>
                <w:bCs/>
                <w:sz w:val="24"/>
                <w:szCs w:val="24"/>
              </w:rPr>
            </w:pPr>
          </w:p>
          <w:p w14:paraId="0A6EE914" w14:textId="77777777" w:rsidR="00435894" w:rsidRDefault="00435894">
            <w:pPr>
              <w:widowControl w:val="0"/>
              <w:spacing w:line="276" w:lineRule="auto"/>
              <w:ind w:left="2070"/>
              <w:jc w:val="both"/>
              <w:rPr>
                <w:rFonts w:ascii="Times New Roman" w:eastAsia="Times New Roman" w:hAnsi="Times New Roman" w:cs="Times New Roman"/>
                <w:b/>
                <w:bCs/>
                <w:sz w:val="24"/>
                <w:szCs w:val="24"/>
              </w:rPr>
            </w:pPr>
          </w:p>
          <w:p w14:paraId="5BF0508C" w14:textId="77777777" w:rsidR="00435894" w:rsidRDefault="00435894">
            <w:pPr>
              <w:widowControl w:val="0"/>
              <w:spacing w:line="276" w:lineRule="auto"/>
              <w:jc w:val="both"/>
              <w:rPr>
                <w:rFonts w:ascii="Times New Roman" w:eastAsia="Times New Roman" w:hAnsi="Times New Roman" w:cs="Times New Roman"/>
                <w:b/>
                <w:bCs/>
                <w:sz w:val="24"/>
                <w:szCs w:val="24"/>
              </w:rPr>
            </w:pPr>
          </w:p>
          <w:p w14:paraId="2D4EF21D" w14:textId="77777777" w:rsidR="00435894" w:rsidRDefault="00435894">
            <w:pPr>
              <w:widowControl w:val="0"/>
              <w:spacing w:line="276" w:lineRule="auto"/>
              <w:ind w:left="2070"/>
              <w:jc w:val="both"/>
              <w:rPr>
                <w:rFonts w:ascii="Times New Roman" w:eastAsia="Times New Roman" w:hAnsi="Times New Roman" w:cs="Times New Roman"/>
                <w:b/>
                <w:bCs/>
                <w:sz w:val="24"/>
                <w:szCs w:val="24"/>
              </w:rPr>
            </w:pPr>
          </w:p>
          <w:p w14:paraId="48AB018D" w14:textId="77777777" w:rsidR="00435894" w:rsidRDefault="00435894">
            <w:pPr>
              <w:widowControl w:val="0"/>
              <w:spacing w:line="276" w:lineRule="auto"/>
              <w:ind w:left="2610"/>
              <w:jc w:val="both"/>
              <w:rPr>
                <w:rFonts w:ascii="Times New Roman" w:eastAsia="Times New Roman" w:hAnsi="Times New Roman" w:cs="Times New Roman"/>
                <w:b/>
                <w:bCs/>
                <w:sz w:val="24"/>
                <w:szCs w:val="24"/>
              </w:rPr>
            </w:pPr>
          </w:p>
          <w:p w14:paraId="63674ED8" w14:textId="77777777" w:rsidR="00435894" w:rsidRDefault="00136A5C">
            <w:pPr>
              <w:widowControl w:val="0"/>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 Noi, 2026</w:t>
            </w:r>
          </w:p>
        </w:tc>
      </w:tr>
    </w:tbl>
    <w:p w14:paraId="3617A0E3" w14:textId="77777777" w:rsidR="00435894" w:rsidRDefault="00136A5C">
      <w:pPr>
        <w:pStyle w:val="Title"/>
        <w:keepNext/>
        <w:keepLines/>
        <w:spacing w:after="200" w:line="276" w:lineRule="auto"/>
        <w:jc w:val="center"/>
        <w:rPr>
          <w:rFonts w:ascii="Times New Roman" w:eastAsia="Times New Roman" w:hAnsi="Times New Roman" w:cs="Times New Roman"/>
          <w:b/>
          <w:bCs/>
          <w:sz w:val="30"/>
          <w:szCs w:val="30"/>
        </w:rPr>
      </w:pPr>
      <w:bookmarkStart w:id="0" w:name="_95dwwxtt5go2" w:colFirst="0" w:colLast="0"/>
      <w:bookmarkEnd w:id="0"/>
      <w:r>
        <w:rPr>
          <w:rFonts w:ascii="Times New Roman" w:eastAsia="Times New Roman" w:hAnsi="Times New Roman" w:cs="Times New Roman"/>
          <w:b/>
          <w:bCs/>
          <w:sz w:val="30"/>
          <w:szCs w:val="30"/>
        </w:rPr>
        <w:lastRenderedPageBreak/>
        <w:t>MEMBER CONTRIBUTION</w:t>
      </w:r>
    </w:p>
    <w:tbl>
      <w:tblPr>
        <w:tblStyle w:val="a0"/>
        <w:tblW w:w="9540" w:type="dxa"/>
        <w:tblInd w:w="-18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600" w:firstRow="0" w:lastRow="0" w:firstColumn="0" w:lastColumn="0" w:noHBand="1" w:noVBand="1"/>
      </w:tblPr>
      <w:tblGrid>
        <w:gridCol w:w="2670"/>
        <w:gridCol w:w="1680"/>
        <w:gridCol w:w="4155"/>
        <w:gridCol w:w="1035"/>
      </w:tblGrid>
      <w:tr w:rsidR="00435894" w14:paraId="6D0F412D" w14:textId="77777777">
        <w:trPr>
          <w:trHeight w:val="484"/>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3EAF9"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A2960"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ID</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21653"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F4ED0"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435894" w14:paraId="552C27FF"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43D5A"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Vũ Minh Trang</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29603" w14:textId="77777777" w:rsidR="00435894" w:rsidRDefault="00136A5C">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2313560046</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1D5B9" w14:textId="77777777" w:rsidR="00435894" w:rsidRDefault="00435894">
            <w:pPr>
              <w:widowControl w:val="0"/>
              <w:spacing w:line="276" w:lineRule="auto"/>
              <w:rPr>
                <w:rFonts w:ascii="Times New Roman" w:eastAsia="Times New Roman" w:hAnsi="Times New Roman" w:cs="Times New Roman"/>
                <w:b/>
                <w:bCs/>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0CB83" w14:textId="77777777" w:rsidR="00435894" w:rsidRDefault="00435894">
            <w:pPr>
              <w:widowControl w:val="0"/>
              <w:spacing w:line="276" w:lineRule="auto"/>
              <w:rPr>
                <w:rFonts w:ascii="Times New Roman" w:eastAsia="Times New Roman" w:hAnsi="Times New Roman" w:cs="Times New Roman"/>
                <w:b/>
                <w:bCs/>
                <w:sz w:val="24"/>
                <w:szCs w:val="24"/>
              </w:rPr>
            </w:pPr>
          </w:p>
        </w:tc>
      </w:tr>
      <w:tr w:rsidR="00435894" w14:paraId="44B689DB"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73F73"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Vũ Minh Thư</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9E224"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2312560044</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53DDF" w14:textId="77777777" w:rsidR="00435894" w:rsidRDefault="00435894">
            <w:pPr>
              <w:widowControl w:val="0"/>
              <w:spacing w:line="276" w:lineRule="auto"/>
              <w:rPr>
                <w:rFonts w:ascii="Times New Roman" w:eastAsia="Times New Roman" w:hAnsi="Times New Roman" w:cs="Times New Roman"/>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34FBA" w14:textId="77777777" w:rsidR="00435894" w:rsidRDefault="00435894">
            <w:pPr>
              <w:widowControl w:val="0"/>
              <w:spacing w:line="276" w:lineRule="auto"/>
              <w:rPr>
                <w:rFonts w:ascii="Times New Roman" w:eastAsia="Times New Roman" w:hAnsi="Times New Roman" w:cs="Times New Roman"/>
                <w:sz w:val="24"/>
                <w:szCs w:val="24"/>
              </w:rPr>
            </w:pPr>
          </w:p>
        </w:tc>
      </w:tr>
      <w:tr w:rsidR="00435894" w14:paraId="6F362471"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376FE"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Lương Duyên</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8BF59" w14:textId="77777777" w:rsidR="00435894" w:rsidRDefault="00136A5C">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2313560009</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18157" w14:textId="77777777" w:rsidR="00435894" w:rsidRDefault="00435894">
            <w:pPr>
              <w:widowControl w:val="0"/>
              <w:spacing w:line="276" w:lineRule="auto"/>
              <w:rPr>
                <w:rFonts w:ascii="Times New Roman" w:eastAsia="Times New Roman" w:hAnsi="Times New Roman" w:cs="Times New Roman"/>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BAF6F" w14:textId="77777777" w:rsidR="00435894" w:rsidRDefault="00435894">
            <w:pPr>
              <w:widowControl w:val="0"/>
              <w:spacing w:line="276" w:lineRule="auto"/>
              <w:rPr>
                <w:rFonts w:ascii="Times New Roman" w:eastAsia="Times New Roman" w:hAnsi="Times New Roman" w:cs="Times New Roman"/>
                <w:sz w:val="24"/>
                <w:szCs w:val="24"/>
              </w:rPr>
            </w:pPr>
          </w:p>
        </w:tc>
      </w:tr>
      <w:tr w:rsidR="00435894" w14:paraId="5621B0B9"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0EB34"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Ngọc Thành</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BEFF4" w14:textId="77777777" w:rsidR="00435894" w:rsidRDefault="00136A5C">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2312560042</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110BF" w14:textId="77777777" w:rsidR="00435894" w:rsidRDefault="00435894">
            <w:pPr>
              <w:widowControl w:val="0"/>
              <w:spacing w:line="276" w:lineRule="auto"/>
              <w:rPr>
                <w:rFonts w:ascii="Times New Roman" w:eastAsia="Times New Roman" w:hAnsi="Times New Roman" w:cs="Times New Roman"/>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C5690" w14:textId="77777777" w:rsidR="00435894" w:rsidRDefault="00435894">
            <w:pPr>
              <w:widowControl w:val="0"/>
              <w:spacing w:line="276" w:lineRule="auto"/>
              <w:rPr>
                <w:rFonts w:ascii="Times New Roman" w:eastAsia="Times New Roman" w:hAnsi="Times New Roman" w:cs="Times New Roman"/>
                <w:sz w:val="24"/>
                <w:szCs w:val="24"/>
              </w:rPr>
            </w:pPr>
          </w:p>
        </w:tc>
      </w:tr>
      <w:tr w:rsidR="00435894" w14:paraId="7ED4EA66"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57DF3"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Thị Minh Thư</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DBDD3" w14:textId="77777777" w:rsidR="00435894" w:rsidRDefault="00136A5C">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2311560045</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82CBB" w14:textId="77777777" w:rsidR="00435894" w:rsidRDefault="00435894">
            <w:pPr>
              <w:widowControl w:val="0"/>
              <w:spacing w:line="276" w:lineRule="auto"/>
              <w:rPr>
                <w:rFonts w:ascii="Times New Roman" w:eastAsia="Times New Roman" w:hAnsi="Times New Roman" w:cs="Times New Roman"/>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8DD0C" w14:textId="77777777" w:rsidR="00435894" w:rsidRDefault="00435894">
            <w:pPr>
              <w:widowControl w:val="0"/>
              <w:spacing w:line="276" w:lineRule="auto"/>
              <w:rPr>
                <w:rFonts w:ascii="Times New Roman" w:eastAsia="Times New Roman" w:hAnsi="Times New Roman" w:cs="Times New Roman"/>
                <w:sz w:val="24"/>
                <w:szCs w:val="24"/>
              </w:rPr>
            </w:pPr>
          </w:p>
        </w:tc>
      </w:tr>
      <w:tr w:rsidR="00435894" w14:paraId="1CD8C19E"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31517A"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Vân Ngọc</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F8A11" w14:textId="77777777" w:rsidR="00435894" w:rsidRDefault="00136A5C">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2314560032</w:t>
            </w: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0725C" w14:textId="77777777" w:rsidR="00435894" w:rsidRDefault="00435894">
            <w:pPr>
              <w:widowControl w:val="0"/>
              <w:spacing w:line="276" w:lineRule="auto"/>
              <w:rPr>
                <w:rFonts w:ascii="Times New Roman" w:eastAsia="Times New Roman" w:hAnsi="Times New Roman" w:cs="Times New Roman"/>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01880" w14:textId="77777777" w:rsidR="00435894" w:rsidRDefault="00435894">
            <w:pPr>
              <w:widowControl w:val="0"/>
              <w:spacing w:line="276" w:lineRule="auto"/>
              <w:rPr>
                <w:rFonts w:ascii="Times New Roman" w:eastAsia="Times New Roman" w:hAnsi="Times New Roman" w:cs="Times New Roman"/>
                <w:sz w:val="24"/>
                <w:szCs w:val="24"/>
              </w:rPr>
            </w:pPr>
          </w:p>
        </w:tc>
      </w:tr>
      <w:tr w:rsidR="00435894" w14:paraId="60325AF5"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87914"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Hoàng Thị Thùy Dương</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9D454" w14:textId="77777777" w:rsidR="00435894" w:rsidRDefault="00435894">
            <w:pPr>
              <w:widowControl w:val="0"/>
              <w:spacing w:line="276" w:lineRule="auto"/>
              <w:rPr>
                <w:rFonts w:ascii="Times New Roman" w:eastAsia="Times New Roman" w:hAnsi="Times New Roman" w:cs="Times New Roman"/>
                <w:sz w:val="24"/>
                <w:szCs w:val="24"/>
              </w:rPr>
            </w:pP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348C0" w14:textId="77777777" w:rsidR="00435894" w:rsidRDefault="00435894">
            <w:pPr>
              <w:widowControl w:val="0"/>
              <w:spacing w:line="276" w:lineRule="auto"/>
              <w:rPr>
                <w:rFonts w:ascii="Times New Roman" w:eastAsia="Times New Roman" w:hAnsi="Times New Roman" w:cs="Times New Roman"/>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AA400" w14:textId="77777777" w:rsidR="00435894" w:rsidRDefault="00435894">
            <w:pPr>
              <w:widowControl w:val="0"/>
              <w:spacing w:line="276" w:lineRule="auto"/>
              <w:rPr>
                <w:rFonts w:ascii="Times New Roman" w:eastAsia="Times New Roman" w:hAnsi="Times New Roman" w:cs="Times New Roman"/>
                <w:sz w:val="24"/>
                <w:szCs w:val="24"/>
              </w:rPr>
            </w:pPr>
          </w:p>
        </w:tc>
      </w:tr>
      <w:tr w:rsidR="00435894" w14:paraId="6F2DACB2"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8435F"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Quốc Tuấn</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D493D" w14:textId="77777777" w:rsidR="00435894" w:rsidRDefault="00435894">
            <w:pPr>
              <w:widowControl w:val="0"/>
              <w:spacing w:line="276" w:lineRule="auto"/>
              <w:rPr>
                <w:rFonts w:ascii="Times New Roman" w:eastAsia="Times New Roman" w:hAnsi="Times New Roman" w:cs="Times New Roman"/>
                <w:sz w:val="24"/>
                <w:szCs w:val="24"/>
              </w:rPr>
            </w:pPr>
          </w:p>
        </w:tc>
        <w:tc>
          <w:tcPr>
            <w:tcW w:w="4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F65B3" w14:textId="77777777" w:rsidR="00435894" w:rsidRDefault="00435894">
            <w:pPr>
              <w:widowControl w:val="0"/>
              <w:spacing w:line="276" w:lineRule="auto"/>
              <w:rPr>
                <w:rFonts w:ascii="Times New Roman" w:eastAsia="Times New Roman" w:hAnsi="Times New Roman" w:cs="Times New Roman"/>
                <w:sz w:val="24"/>
                <w:szCs w:val="24"/>
              </w:rPr>
            </w:pPr>
          </w:p>
        </w:tc>
        <w:tc>
          <w:tcPr>
            <w:tcW w:w="1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D7B3D" w14:textId="77777777" w:rsidR="00435894" w:rsidRDefault="00435894">
            <w:pPr>
              <w:widowControl w:val="0"/>
              <w:spacing w:line="276" w:lineRule="auto"/>
              <w:rPr>
                <w:rFonts w:ascii="Times New Roman" w:eastAsia="Times New Roman" w:hAnsi="Times New Roman" w:cs="Times New Roman"/>
                <w:sz w:val="24"/>
                <w:szCs w:val="24"/>
              </w:rPr>
            </w:pPr>
          </w:p>
        </w:tc>
      </w:tr>
    </w:tbl>
    <w:p w14:paraId="46472B30" w14:textId="77777777" w:rsidR="00435894" w:rsidRDefault="00136A5C">
      <w:pPr>
        <w:pStyle w:val="Heading1"/>
        <w:spacing w:line="276" w:lineRule="auto"/>
      </w:pPr>
      <w:r>
        <w:br w:type="page"/>
      </w:r>
    </w:p>
    <w:p w14:paraId="3350BA76" w14:textId="77777777" w:rsidR="00435894" w:rsidRDefault="00136A5C">
      <w:pPr>
        <w:pStyle w:val="Heading1"/>
        <w:spacing w:line="276" w:lineRule="auto"/>
        <w:rPr>
          <w:color w:val="000000"/>
          <w:sz w:val="26"/>
          <w:szCs w:val="26"/>
        </w:rPr>
      </w:pPr>
      <w:r>
        <w:rPr>
          <w:color w:val="000000"/>
          <w:sz w:val="26"/>
          <w:szCs w:val="26"/>
        </w:rPr>
        <w:lastRenderedPageBreak/>
        <w:t>Introduction</w:t>
      </w:r>
    </w:p>
    <w:p w14:paraId="3B0E1B88" w14:textId="77777777" w:rsidR="00435894" w:rsidRDefault="00136A5C">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City Hotel Lisbon loses sight of 41.7% of its bookings to cancellation or no-show. We propose a decision-support system that scores each booking for risk every week, routes the riskiest and most valuable bookings to staff within their capacity, and measures whether acting on them pays off. On a simulation of the 2017 weekly queue the proposed policy returns about EUR 30.4k a year net once fully rolled out, with a 3-year ROI of 173% and payback in 6.9 months from roll-out, subject to a randomised pilot.</w:t>
      </w:r>
    </w:p>
    <w:tbl>
      <w:tblPr>
        <w:tblStyle w:val="a1"/>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0"/>
        <w:gridCol w:w="7530"/>
      </w:tblGrid>
      <w:tr w:rsidR="00435894" w14:paraId="25C79B5E" w14:textId="77777777">
        <w:trPr>
          <w:trHeight w:val="330"/>
          <w:tblHeader/>
        </w:trPr>
        <w:tc>
          <w:tcPr>
            <w:tcW w:w="1830" w:type="dxa"/>
          </w:tcPr>
          <w:p w14:paraId="27430201"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PDMT stage</w:t>
            </w:r>
          </w:p>
        </w:tc>
        <w:tc>
          <w:tcPr>
            <w:tcW w:w="7530" w:type="dxa"/>
          </w:tcPr>
          <w:p w14:paraId="50B0B2C9"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message</w:t>
            </w:r>
          </w:p>
        </w:tc>
      </w:tr>
      <w:tr w:rsidR="00435894" w14:paraId="4BD3F5B2" w14:textId="77777777">
        <w:tc>
          <w:tcPr>
            <w:tcW w:w="1830" w:type="dxa"/>
          </w:tcPr>
          <w:p w14:paraId="75A0308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w:t>
            </w:r>
          </w:p>
        </w:tc>
        <w:tc>
          <w:tcPr>
            <w:tcW w:w="7530" w:type="dxa"/>
          </w:tcPr>
          <w:p w14:paraId="1D727A8B"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33,102 of 79,330 bookings (Jul 2015 – Aug 2017) did not arrive, tying up EUR 10.9M of EUR 25.3M gross booked room revenue. Risk varies sharply by segment, yet follow-up is not risk-based.</w:t>
            </w:r>
          </w:p>
        </w:tc>
      </w:tr>
      <w:tr w:rsidR="00435894" w14:paraId="6C21F07C" w14:textId="77777777">
        <w:tc>
          <w:tcPr>
            <w:tcW w:w="1830" w:type="dxa"/>
          </w:tcPr>
          <w:p w14:paraId="1D85874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w:t>
            </w:r>
          </w:p>
        </w:tc>
        <w:tc>
          <w:tcPr>
            <w:tcW w:w="7530" w:type="dxa"/>
          </w:tcPr>
          <w:p w14:paraId="26A391ED"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real PMS extract (79,330 bookings) plus labelled synthetic tables for cost, commission, inventory, resale and guest contact, joined on </w:t>
            </w:r>
            <w:r>
              <w:rPr>
                <w:rFonts w:ascii="Times New Roman" w:eastAsia="Times New Roman" w:hAnsi="Times New Roman" w:cs="Times New Roman"/>
                <w:sz w:val="24"/>
                <w:szCs w:val="24"/>
                <w:shd w:val="clear" w:color="auto" w:fill="F5F5F5"/>
              </w:rPr>
              <w:t>booking_id</w:t>
            </w:r>
            <w:r>
              <w:rPr>
                <w:rFonts w:ascii="Times New Roman" w:eastAsia="Times New Roman" w:hAnsi="Times New Roman" w:cs="Times New Roman"/>
                <w:sz w:val="24"/>
                <w:szCs w:val="24"/>
              </w:rPr>
              <w:t xml:space="preserve"> in a PostgreSQL schema.</w:t>
            </w:r>
          </w:p>
        </w:tc>
      </w:tr>
      <w:tr w:rsidR="00435894" w14:paraId="42FB3AA8" w14:textId="77777777">
        <w:tc>
          <w:tcPr>
            <w:tcW w:w="1830" w:type="dxa"/>
          </w:tcPr>
          <w:p w14:paraId="6D13B882"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7530" w:type="dxa"/>
          </w:tcPr>
          <w:p w14:paraId="289A4FF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An XGBoost risk model, validated in time order, ranks bookings better than simple rules (AUC 0.736 vs 0.678). (2) Capacity-limited decision rules turn scores into calls, reminders and group actions, valued on a contribution basis.</w:t>
            </w:r>
          </w:p>
        </w:tc>
      </w:tr>
      <w:tr w:rsidR="00435894" w14:paraId="25094ABC" w14:textId="77777777">
        <w:tc>
          <w:tcPr>
            <w:tcW w:w="1830" w:type="dxa"/>
          </w:tcPr>
          <w:p w14:paraId="3B061D24"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Tools</w:t>
            </w:r>
          </w:p>
        </w:tc>
        <w:tc>
          <w:tcPr>
            <w:tcW w:w="7530" w:type="dxa"/>
          </w:tcPr>
          <w:p w14:paraId="7498CD4F"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for scoring and rules, PostgreSQL/SQLite for data and an approval-guarded action store, Streamlit dashboard for staff, n8n for automation. Built and tested as a retrospective prototype.</w:t>
            </w:r>
          </w:p>
        </w:tc>
      </w:tr>
    </w:tbl>
    <w:p w14:paraId="7084CBA9"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we ask management to approve:</w:t>
      </w:r>
      <w:r>
        <w:rPr>
          <w:rFonts w:ascii="Times New Roman" w:eastAsia="Times New Roman" w:hAnsi="Times New Roman" w:cs="Times New Roman"/>
          <w:sz w:val="24"/>
          <w:szCs w:val="24"/>
        </w:rPr>
        <w:t xml:space="preserve"> a 12-month randomised pilot of the call and reminder policy, with CX guardrails, to confirm the effect before scaling.</w:t>
      </w:r>
    </w:p>
    <w:p w14:paraId="31860988" w14:textId="77777777" w:rsidR="00435894" w:rsidRDefault="00435894">
      <w:pPr>
        <w:spacing w:line="276" w:lineRule="auto"/>
        <w:jc w:val="both"/>
        <w:rPr>
          <w:rFonts w:ascii="Times New Roman" w:eastAsia="Times New Roman" w:hAnsi="Times New Roman" w:cs="Times New Roman"/>
          <w:b/>
          <w:bCs/>
          <w:sz w:val="24"/>
          <w:szCs w:val="24"/>
        </w:rPr>
      </w:pPr>
    </w:p>
    <w:p w14:paraId="7E28790C" w14:textId="77777777" w:rsidR="00435894" w:rsidRDefault="00136A5C">
      <w:pPr>
        <w:pStyle w:val="Heading1"/>
        <w:spacing w:line="276" w:lineRule="auto"/>
        <w:jc w:val="both"/>
        <w:rPr>
          <w:color w:val="000000"/>
          <w:sz w:val="22"/>
          <w:szCs w:val="22"/>
        </w:rPr>
      </w:pPr>
      <w:bookmarkStart w:id="1" w:name="_49bebj2pp98c" w:colFirst="0" w:colLast="0"/>
      <w:bookmarkEnd w:id="1"/>
      <w:r>
        <w:rPr>
          <w:color w:val="000000"/>
          <w:sz w:val="22"/>
          <w:szCs w:val="22"/>
        </w:rPr>
        <w:t>PDMT Map</w:t>
      </w:r>
    </w:p>
    <w:p w14:paraId="71B8CEF9" w14:textId="77777777" w:rsidR="00435894" w:rsidRDefault="00136A5C">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map links the problem to the data, the two methods and the tools summarised in Sections 1–4, and to the expected value in Section 5.</w:t>
      </w:r>
    </w:p>
    <w:p w14:paraId="59E90BFC"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36B16C" wp14:editId="2E415B65">
            <wp:extent cx="5943600" cy="3200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200400"/>
                    </a:xfrm>
                    <a:prstGeom prst="rect">
                      <a:avLst/>
                    </a:prstGeom>
                    <a:ln/>
                  </pic:spPr>
                </pic:pic>
              </a:graphicData>
            </a:graphic>
          </wp:inline>
        </w:drawing>
      </w:r>
    </w:p>
    <w:p w14:paraId="5C7DA12E" w14:textId="77777777" w:rsidR="00435894" w:rsidRDefault="00136A5C">
      <w:pPr>
        <w:pStyle w:val="Heading1"/>
        <w:keepNext/>
        <w:spacing w:line="276" w:lineRule="auto"/>
        <w:ind w:left="0"/>
        <w:jc w:val="both"/>
        <w:rPr>
          <w:color w:val="000000"/>
          <w:sz w:val="26"/>
          <w:szCs w:val="26"/>
        </w:rPr>
      </w:pPr>
      <w:bookmarkStart w:id="2" w:name="_n80jp9v6mpxv" w:colFirst="0" w:colLast="0"/>
      <w:bookmarkEnd w:id="2"/>
      <w:r>
        <w:rPr>
          <w:color w:val="000000"/>
          <w:sz w:val="26"/>
          <w:szCs w:val="26"/>
        </w:rPr>
        <w:t>1. Problem</w:t>
      </w:r>
    </w:p>
    <w:p w14:paraId="5A9D4B5C"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is a strategic revenue-risk problem for City Hotel Lisbon, not just an operational event: revenue stays uncertain until the guest arrives, and blanket responses such as rigid policies or overbooking can harm revenue and reputation (Antonio et al., 2017).</w:t>
      </w:r>
    </w:p>
    <w:p w14:paraId="5F60E69B"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Pain points:</w:t>
      </w:r>
    </w:p>
    <w:p w14:paraId="237BAE83" w14:textId="77777777" w:rsidR="00435894" w:rsidRDefault="00136A5C">
      <w:pPr>
        <w:numPr>
          <w:ilvl w:val="0"/>
          <w:numId w:val="7"/>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visibility of risk.</w:t>
      </w:r>
      <w:r>
        <w:rPr>
          <w:rFonts w:ascii="Times New Roman" w:eastAsia="Times New Roman" w:hAnsi="Times New Roman" w:cs="Times New Roman"/>
          <w:sz w:val="24"/>
          <w:szCs w:val="24"/>
        </w:rPr>
        <w:t xml:space="preserve"> 41.7% of bookings (33,102) were cancelled or no-show. Most cancellations come weeks ahead (median 58 days), which leaves time to act if risk is known early; 12.0% come within 7 days, when resale is hardest.</w:t>
      </w:r>
    </w:p>
    <w:p w14:paraId="5AE2A823" w14:textId="77777777" w:rsidR="00435894" w:rsidRDefault="00136A5C">
      <w:pPr>
        <w:numPr>
          <w:ilvl w:val="0"/>
          <w:numId w:val="7"/>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Follow-up not targeted.</w:t>
      </w:r>
      <w:r>
        <w:rPr>
          <w:rFonts w:ascii="Times New Roman" w:eastAsia="Times New Roman" w:hAnsi="Times New Roman" w:cs="Times New Roman"/>
          <w:sz w:val="24"/>
          <w:szCs w:val="24"/>
        </w:rPr>
        <w:t xml:space="preserve"> Travel agents and operators handle 87% of bookings. Cancellation rates range from 17.3% (Direct) to 37.4% (Online TA) and 68.9% (Groups), yet at-risk guests are not systematically contacted (assumed current practice).</w:t>
      </w:r>
    </w:p>
    <w:p w14:paraId="44592AAB" w14:textId="77777777" w:rsidR="00435894" w:rsidRDefault="00136A5C">
      <w:pPr>
        <w:numPr>
          <w:ilvl w:val="0"/>
          <w:numId w:val="7"/>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Revenue and capacity not optimised.</w:t>
      </w:r>
      <w:r>
        <w:rPr>
          <w:rFonts w:ascii="Times New Roman" w:eastAsia="Times New Roman" w:hAnsi="Times New Roman" w:cs="Times New Roman"/>
          <w:sz w:val="24"/>
          <w:szCs w:val="24"/>
        </w:rPr>
        <w:t xml:space="preserve"> EUR 10.9M of EUR 25.3M gross booked room revenue (43%) sits in bookings that were cancelled. This is exposure, not realised loss, and commission, handling cost and resale are not linked to risk.</w:t>
      </w:r>
    </w:p>
    <w:p w14:paraId="2BC6C7CD"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Stakeholders:</w:t>
      </w:r>
      <w:r>
        <w:rPr>
          <w:rFonts w:ascii="Times New Roman" w:eastAsia="Times New Roman" w:hAnsi="Times New Roman" w:cs="Times New Roman"/>
          <w:sz w:val="24"/>
          <w:szCs w:val="24"/>
        </w:rPr>
        <w:t xml:space="preserve"> The General Manager and Revenue Manager decide; Reservations, CX and Distribution act; Finance judges net value; the Data team owns the model; guests are affected but are not system users.</w:t>
      </w:r>
    </w:p>
    <w:p w14:paraId="03EBC99C" w14:textId="77777777" w:rsidR="00435894" w:rsidRDefault="00136A5C">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Decisions to improve and objectives</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2857"/>
        <w:gridCol w:w="1560"/>
        <w:gridCol w:w="3321"/>
      </w:tblGrid>
      <w:tr w:rsidR="00435894" w14:paraId="1092BB9F" w14:textId="77777777">
        <w:tc>
          <w:tcPr>
            <w:tcW w:w="1622" w:type="dxa"/>
          </w:tcPr>
          <w:p w14:paraId="07A219C0"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w:t>
            </w:r>
          </w:p>
        </w:tc>
        <w:tc>
          <w:tcPr>
            <w:tcW w:w="2857" w:type="dxa"/>
          </w:tcPr>
          <w:p w14:paraId="70C29770"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question</w:t>
            </w:r>
          </w:p>
        </w:tc>
        <w:tc>
          <w:tcPr>
            <w:tcW w:w="1560" w:type="dxa"/>
          </w:tcPr>
          <w:p w14:paraId="7438A8D5"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Supported by</w:t>
            </w:r>
          </w:p>
        </w:tc>
        <w:tc>
          <w:tcPr>
            <w:tcW w:w="3321" w:type="dxa"/>
          </w:tcPr>
          <w:p w14:paraId="3CB1EB0A"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tc>
      </w:tr>
      <w:tr w:rsidR="00435894" w14:paraId="70AE9318" w14:textId="77777777">
        <w:tc>
          <w:tcPr>
            <w:tcW w:w="1622" w:type="dxa"/>
          </w:tcPr>
          <w:p w14:paraId="68348632"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identification</w:t>
            </w:r>
          </w:p>
        </w:tc>
        <w:tc>
          <w:tcPr>
            <w:tcW w:w="2857" w:type="dxa"/>
          </w:tcPr>
          <w:p w14:paraId="420D1849"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bookings are likely to cancel?</w:t>
            </w:r>
          </w:p>
        </w:tc>
        <w:tc>
          <w:tcPr>
            <w:tcW w:w="1560" w:type="dxa"/>
          </w:tcPr>
          <w:p w14:paraId="0B69867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c>
          <w:tcPr>
            <w:tcW w:w="3321" w:type="dxa"/>
          </w:tcPr>
          <w:p w14:paraId="6A58EDFB"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risk at booking time, while there is time to act</w:t>
            </w:r>
          </w:p>
        </w:tc>
      </w:tr>
      <w:tr w:rsidR="00435894" w14:paraId="54C603C3" w14:textId="77777777">
        <w:tc>
          <w:tcPr>
            <w:tcW w:w="1622" w:type="dxa"/>
          </w:tcPr>
          <w:p w14:paraId="744DE28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prioritisation</w:t>
            </w:r>
          </w:p>
        </w:tc>
        <w:tc>
          <w:tcPr>
            <w:tcW w:w="2857" w:type="dxa"/>
          </w:tcPr>
          <w:p w14:paraId="6AF9052D"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bookings should staff handle first?</w:t>
            </w:r>
          </w:p>
        </w:tc>
        <w:tc>
          <w:tcPr>
            <w:tcW w:w="1560" w:type="dxa"/>
          </w:tcPr>
          <w:p w14:paraId="6E4873F9"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score × booking value</w:t>
            </w:r>
          </w:p>
        </w:tc>
        <w:tc>
          <w:tcPr>
            <w:tcW w:w="3321" w:type="dxa"/>
          </w:tcPr>
          <w:p w14:paraId="6C96158F"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 effort on the highest-risk, highest-value bookings</w:t>
            </w:r>
          </w:p>
        </w:tc>
      </w:tr>
      <w:tr w:rsidR="00435894" w14:paraId="0943BDB4" w14:textId="77777777">
        <w:tc>
          <w:tcPr>
            <w:tcW w:w="1622" w:type="dxa"/>
          </w:tcPr>
          <w:p w14:paraId="4B8B3092"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Intervention selection</w:t>
            </w:r>
          </w:p>
        </w:tc>
        <w:tc>
          <w:tcPr>
            <w:tcW w:w="2857" w:type="dxa"/>
          </w:tcPr>
          <w:p w14:paraId="35D33DF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remind or call?</w:t>
            </w:r>
          </w:p>
        </w:tc>
        <w:tc>
          <w:tcPr>
            <w:tcW w:w="1560" w:type="dxa"/>
          </w:tcPr>
          <w:p w14:paraId="03FDCA70"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c>
          <w:tcPr>
            <w:tcW w:w="3321" w:type="dxa"/>
          </w:tcPr>
          <w:p w14:paraId="3A4BCEA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Match action intensity to risk and value</w:t>
            </w:r>
          </w:p>
        </w:tc>
      </w:tr>
      <w:tr w:rsidR="00435894" w14:paraId="5FC87A5F" w14:textId="77777777">
        <w:tc>
          <w:tcPr>
            <w:tcW w:w="1622" w:type="dxa"/>
          </w:tcPr>
          <w:p w14:paraId="06D15E7D"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and capacity</w:t>
            </w:r>
          </w:p>
        </w:tc>
        <w:tc>
          <w:tcPr>
            <w:tcW w:w="2857" w:type="dxa"/>
          </w:tcPr>
          <w:p w14:paraId="29228873"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Which actions raise revenue and occupancy at a justified cost?</w:t>
            </w:r>
          </w:p>
        </w:tc>
        <w:tc>
          <w:tcPr>
            <w:tcW w:w="1560" w:type="dxa"/>
          </w:tcPr>
          <w:p w14:paraId="2CD96F9B"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Rules + ROI analysis</w:t>
            </w:r>
          </w:p>
        </w:tc>
        <w:tc>
          <w:tcPr>
            <w:tcW w:w="3321" w:type="dxa"/>
          </w:tcPr>
          <w:p w14:paraId="2C9B6041"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Optimise revenue net of cost; test pricing as a scenario</w:t>
            </w:r>
          </w:p>
        </w:tc>
      </w:tr>
    </w:tbl>
    <w:p w14:paraId="290B89C5"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xml:space="preserve"> How might City Hotel Lisbon predict cancellation risk early, prioritise high-risk bookings, and recommend proportionate interventions to optimise revenue and room capacity?</w:t>
      </w:r>
    </w:p>
    <w:p w14:paraId="3AB11CB0" w14:textId="77777777" w:rsidR="00435894" w:rsidRDefault="00435894">
      <w:pPr>
        <w:spacing w:line="276" w:lineRule="auto"/>
        <w:jc w:val="both"/>
        <w:rPr>
          <w:rFonts w:ascii="Times New Roman" w:eastAsia="Times New Roman" w:hAnsi="Times New Roman" w:cs="Times New Roman"/>
          <w:sz w:val="24"/>
          <w:szCs w:val="24"/>
        </w:rPr>
      </w:pPr>
    </w:p>
    <w:p w14:paraId="37A668C6" w14:textId="77777777" w:rsidR="00435894" w:rsidRDefault="00136A5C">
      <w:pPr>
        <w:pStyle w:val="Heading1"/>
        <w:keepNext/>
        <w:spacing w:line="276" w:lineRule="auto"/>
        <w:ind w:left="0"/>
        <w:jc w:val="both"/>
      </w:pPr>
      <w:bookmarkStart w:id="3" w:name="_hh00debf5h0" w:colFirst="0" w:colLast="0"/>
      <w:bookmarkEnd w:id="3"/>
      <w:r>
        <w:rPr>
          <w:color w:val="000000"/>
          <w:sz w:val="26"/>
          <w:szCs w:val="26"/>
        </w:rPr>
        <w:t>2. Data</w:t>
      </w:r>
    </w:p>
    <w:p w14:paraId="060E4FCC"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combine one real PMS extract with simulated tables that fill its gaps, and every field is labelled REAL, DERIVED, SYNTHETIC or SYSTEM so simulated figures are never presented as facts.</w:t>
      </w:r>
    </w:p>
    <w:p w14:paraId="6E17ECBE"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Sources</w:t>
      </w:r>
    </w:p>
    <w:tbl>
      <w:tblPr>
        <w:tblStyle w:val="a3"/>
        <w:tblW w:w="93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6"/>
        <w:gridCol w:w="4572"/>
        <w:gridCol w:w="2037"/>
        <w:gridCol w:w="1394"/>
      </w:tblGrid>
      <w:tr w:rsidR="00435894" w14:paraId="40F1F4A8" w14:textId="77777777">
        <w:trPr>
          <w:tblHeader/>
        </w:trPr>
        <w:tc>
          <w:tcPr>
            <w:tcW w:w="1356" w:type="dxa"/>
          </w:tcPr>
          <w:p w14:paraId="26E23899"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w:t>
            </w:r>
          </w:p>
        </w:tc>
        <w:tc>
          <w:tcPr>
            <w:tcW w:w="4573" w:type="dxa"/>
          </w:tcPr>
          <w:p w14:paraId="4FA21DEC"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Content</w:t>
            </w:r>
          </w:p>
        </w:tc>
        <w:tc>
          <w:tcPr>
            <w:tcW w:w="2037" w:type="dxa"/>
          </w:tcPr>
          <w:p w14:paraId="1962C67F"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Grain</w:t>
            </w:r>
          </w:p>
        </w:tc>
        <w:tc>
          <w:tcPr>
            <w:tcW w:w="1394" w:type="dxa"/>
          </w:tcPr>
          <w:p w14:paraId="7D65AEDB"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w:t>
            </w:r>
          </w:p>
        </w:tc>
      </w:tr>
      <w:tr w:rsidR="00435894" w14:paraId="66CDB363" w14:textId="77777777">
        <w:tc>
          <w:tcPr>
            <w:tcW w:w="1356" w:type="dxa"/>
          </w:tcPr>
          <w:p w14:paraId="1D43967E"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PMS extract (Antonio et al., 2019)</w:t>
            </w:r>
          </w:p>
        </w:tc>
        <w:tc>
          <w:tcPr>
            <w:tcW w:w="4573" w:type="dxa"/>
          </w:tcPr>
          <w:p w14:paraId="44F121D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79,330 City Hotel bookings, arrivals Jul 2015 – Aug 2017; timing, stay, party, segment, channel, deposit, agent, guest history, outcome</w:t>
            </w:r>
          </w:p>
        </w:tc>
        <w:tc>
          <w:tcPr>
            <w:tcW w:w="2037" w:type="dxa"/>
          </w:tcPr>
          <w:p w14:paraId="71ACD6B3"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Booking</w:t>
            </w:r>
          </w:p>
        </w:tc>
        <w:tc>
          <w:tcPr>
            <w:tcW w:w="1394" w:type="dxa"/>
          </w:tcPr>
          <w:p w14:paraId="0EB592CE"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features and target</w:t>
            </w:r>
          </w:p>
        </w:tc>
      </w:tr>
      <w:tr w:rsidR="00435894" w14:paraId="202F5425" w14:textId="77777777">
        <w:tc>
          <w:tcPr>
            <w:tcW w:w="1356" w:type="dxa"/>
          </w:tcPr>
          <w:p w14:paraId="7C67D2E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CX</w:t>
            </w:r>
          </w:p>
        </w:tc>
        <w:tc>
          <w:tcPr>
            <w:tcW w:w="4573" w:type="dxa"/>
          </w:tcPr>
          <w:p w14:paraId="3612BE03"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channel, response, satisfaction, cancellation reason</w:t>
            </w:r>
          </w:p>
        </w:tc>
        <w:tc>
          <w:tcPr>
            <w:tcW w:w="2037" w:type="dxa"/>
          </w:tcPr>
          <w:p w14:paraId="081047B2"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Booking</w:t>
            </w:r>
          </w:p>
        </w:tc>
        <w:tc>
          <w:tcPr>
            <w:tcW w:w="1394" w:type="dxa"/>
          </w:tcPr>
          <w:p w14:paraId="739B198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Workflow design only</w:t>
            </w:r>
          </w:p>
        </w:tc>
      </w:tr>
      <w:tr w:rsidR="00435894" w14:paraId="2D4FF1D6" w14:textId="77777777">
        <w:tc>
          <w:tcPr>
            <w:tcW w:w="1356" w:type="dxa"/>
          </w:tcPr>
          <w:p w14:paraId="52BBCBE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Finance</w:t>
            </w:r>
          </w:p>
        </w:tc>
        <w:tc>
          <w:tcPr>
            <w:tcW w:w="4573" w:type="dxa"/>
          </w:tcPr>
          <w:p w14:paraId="098A738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 cost (27% of ADR), commission (Online TA 18%, Offline 20%, Groups 10%), handling cost, resale revenue</w:t>
            </w:r>
          </w:p>
        </w:tc>
        <w:tc>
          <w:tcPr>
            <w:tcW w:w="2037" w:type="dxa"/>
          </w:tcPr>
          <w:p w14:paraId="1F7EB944"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Booking</w:t>
            </w:r>
          </w:p>
        </w:tc>
        <w:tc>
          <w:tcPr>
            <w:tcW w:w="1394" w:type="dxa"/>
          </w:tcPr>
          <w:p w14:paraId="5B963A8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at risk and scenarios</w:t>
            </w:r>
          </w:p>
        </w:tc>
      </w:tr>
      <w:tr w:rsidR="00435894" w14:paraId="302F4C5D" w14:textId="77777777">
        <w:tc>
          <w:tcPr>
            <w:tcW w:w="1356" w:type="dxa"/>
          </w:tcPr>
          <w:p w14:paraId="6EFD595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Synthetic Operations</w:t>
            </w:r>
          </w:p>
        </w:tc>
        <w:tc>
          <w:tcPr>
            <w:tcW w:w="4573" w:type="dxa"/>
          </w:tcPr>
          <w:p w14:paraId="085913B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rooms (252), rooms sold, rooms resold</w:t>
            </w:r>
          </w:p>
        </w:tc>
        <w:tc>
          <w:tcPr>
            <w:tcW w:w="2037" w:type="dxa"/>
          </w:tcPr>
          <w:p w14:paraId="5C56BE8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 room type</w:t>
            </w:r>
          </w:p>
        </w:tc>
        <w:tc>
          <w:tcPr>
            <w:tcW w:w="1394" w:type="dxa"/>
          </w:tcPr>
          <w:p w14:paraId="06D839D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and resale</w:t>
            </w:r>
          </w:p>
        </w:tc>
      </w:tr>
    </w:tbl>
    <w:p w14:paraId="2191572A"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sit in one register, sourced for Lisbon or Portugal 2015–2017 where possible, each with a sensitivity range. Synthetic tables feed value and scenarios, never the classifier.</w:t>
      </w:r>
    </w:p>
    <w:p w14:paraId="5FC9B5C1" w14:textId="77777777" w:rsidR="00435894" w:rsidRDefault="00435894">
      <w:pPr>
        <w:spacing w:line="276" w:lineRule="auto"/>
        <w:jc w:val="both"/>
        <w:rPr>
          <w:rFonts w:ascii="Times New Roman" w:eastAsia="Times New Roman" w:hAnsi="Times New Roman" w:cs="Times New Roman"/>
          <w:sz w:val="24"/>
          <w:szCs w:val="24"/>
        </w:rPr>
      </w:pPr>
    </w:p>
    <w:p w14:paraId="584EA29A"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Architecture:</w:t>
      </w:r>
      <w:r>
        <w:rPr>
          <w:rFonts w:ascii="Times New Roman" w:eastAsia="Times New Roman" w:hAnsi="Times New Roman" w:cs="Times New Roman"/>
          <w:sz w:val="24"/>
          <w:szCs w:val="24"/>
        </w:rPr>
        <w:t xml:space="preserve"> All tables join on </w:t>
      </w:r>
      <w:r>
        <w:rPr>
          <w:rFonts w:ascii="Times New Roman" w:eastAsia="Times New Roman" w:hAnsi="Times New Roman" w:cs="Times New Roman"/>
          <w:sz w:val="24"/>
          <w:szCs w:val="24"/>
          <w:shd w:val="clear" w:color="auto" w:fill="F5F5F5"/>
        </w:rPr>
        <w:t>booking_id</w:t>
      </w:r>
      <w:r>
        <w:rPr>
          <w:rFonts w:ascii="Times New Roman" w:eastAsia="Times New Roman" w:hAnsi="Times New Roman" w:cs="Times New Roman"/>
          <w:sz w:val="24"/>
          <w:szCs w:val="24"/>
        </w:rPr>
        <w:t>; inventory joins through the nights each booking covers. The PostgreSQL schema (10 tables, 2 views) enforces keys and CHECK constraints and passes 30 of 30 load checks; all 100 fields are documented.</w:t>
      </w:r>
    </w:p>
    <w:p w14:paraId="5BC0C097"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Preparation and quality:</w:t>
      </w:r>
    </w:p>
    <w:p w14:paraId="0CA9481C" w14:textId="77777777" w:rsidR="00435894" w:rsidRDefault="00136A5C">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79,330 rows are kept and problems flagged; only 438 impossible rows (0.55%) are excluded, leaving 78,892 for modelling.</w:t>
      </w:r>
    </w:p>
    <w:p w14:paraId="55401930" w14:textId="77777777" w:rsidR="00435894" w:rsidRDefault="00136A5C">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25,902 exact duplicates (mostly group blocks) are kept and flagged; results are reported with and without them.</w:t>
      </w:r>
    </w:p>
    <w:p w14:paraId="17131710" w14:textId="77777777" w:rsidR="00435894" w:rsidRDefault="00136A5C">
      <w:pPr>
        <w:numPr>
          <w:ilvl w:val="0"/>
          <w:numId w:val="1"/>
        </w:numPr>
        <w:spacing w:line="276" w:lineRule="auto"/>
        <w:jc w:val="both"/>
        <w:rPr>
          <w:sz w:val="24"/>
          <w:szCs w:val="24"/>
        </w:rPr>
      </w:pPr>
      <w:r>
        <w:rPr>
          <w:rFonts w:ascii="Times New Roman" w:eastAsia="Times New Roman" w:hAnsi="Times New Roman" w:cs="Times New Roman"/>
          <w:sz w:val="24"/>
          <w:szCs w:val="24"/>
        </w:rPr>
        <w:t xml:space="preserve">Bookings are split into two populations: </w:t>
      </w:r>
      <w:r>
        <w:rPr>
          <w:rFonts w:ascii="Times New Roman" w:eastAsia="Times New Roman" w:hAnsi="Times New Roman" w:cs="Times New Roman"/>
          <w:b/>
          <w:bCs/>
          <w:sz w:val="24"/>
          <w:szCs w:val="24"/>
        </w:rPr>
        <w:t>individual</w:t>
      </w:r>
      <w:r>
        <w:rPr>
          <w:rFonts w:ascii="Times New Roman" w:eastAsia="Times New Roman" w:hAnsi="Times New Roman" w:cs="Times New Roman"/>
          <w:sz w:val="24"/>
          <w:szCs w:val="24"/>
        </w:rPr>
        <w:t xml:space="preserve"> (52,676; cancel rate 28.0% → 34.4% from 2015–16 to 2017) and </w:t>
      </w:r>
      <w:r>
        <w:rPr>
          <w:rFonts w:ascii="Times New Roman" w:eastAsia="Times New Roman" w:hAnsi="Times New Roman" w:cs="Times New Roman"/>
          <w:b/>
          <w:bCs/>
          <w:sz w:val="24"/>
          <w:szCs w:val="24"/>
        </w:rPr>
        <w:t>group/block</w:t>
      </w:r>
      <w:r>
        <w:rPr>
          <w:rFonts w:ascii="Times New Roman" w:eastAsia="Times New Roman" w:hAnsi="Times New Roman" w:cs="Times New Roman"/>
          <w:sz w:val="24"/>
          <w:szCs w:val="24"/>
        </w:rPr>
        <w:t xml:space="preserve"> (26,216; Groups, Non Refund or 5+ identical bookings; 64.2% → 66.7%).</w:t>
      </w:r>
    </w:p>
    <w:p w14:paraId="5268855F" w14:textId="77777777" w:rsidR="00435894" w:rsidRDefault="00136A5C">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are split by arrival date: three rolling folds in 2016 for selection, final fit to 31 Dec 2016, test on Jan–Aug 2017.</w:t>
      </w:r>
    </w:p>
    <w:p w14:paraId="0ED16F12"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Leakage and drift controls:</w:t>
      </w:r>
      <w:r>
        <w:rPr>
          <w:rFonts w:ascii="Times New Roman" w:eastAsia="Times New Roman" w:hAnsi="Times New Roman" w:cs="Times New Roman"/>
          <w:sz w:val="24"/>
          <w:szCs w:val="24"/>
        </w:rPr>
        <w:t xml:space="preserve"> Fields unknown at scoring time (reservation status, booking changes, assigned room, country, ADR) are excluded. New agents (PSI 1.09) and a 16.5% rise in median ADR in 2017 are handled by rebuilding the top-15 agent list inside each fold and leaving price out of the model.</w:t>
      </w:r>
    </w:p>
    <w:p w14:paraId="139ECC0D"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and ethics:</w:t>
      </w:r>
      <w:r>
        <w:rPr>
          <w:rFonts w:ascii="Times New Roman" w:eastAsia="Times New Roman" w:hAnsi="Times New Roman" w:cs="Times New Roman"/>
          <w:sz w:val="24"/>
          <w:szCs w:val="24"/>
        </w:rPr>
        <w:t xml:space="preserve"> Different system IDs are mapped to </w:t>
      </w:r>
      <w:r>
        <w:rPr>
          <w:rFonts w:ascii="Times New Roman" w:eastAsia="Times New Roman" w:hAnsi="Times New Roman" w:cs="Times New Roman"/>
          <w:sz w:val="24"/>
          <w:szCs w:val="24"/>
          <w:shd w:val="clear" w:color="auto" w:fill="F5F5F5"/>
        </w:rPr>
        <w:t>booking_id</w:t>
      </w:r>
      <w:r>
        <w:rPr>
          <w:rFonts w:ascii="Times New Roman" w:eastAsia="Times New Roman" w:hAnsi="Times New Roman" w:cs="Times New Roman"/>
          <w:sz w:val="24"/>
          <w:szCs w:val="24"/>
        </w:rPr>
        <w:t>; scores and actions are time-stamped. Under the GDPR the design minimises personal data, requires human review for deposits and relocations, excludes “country” for fairness, and labels every simulated figure.</w:t>
      </w:r>
    </w:p>
    <w:p w14:paraId="4E06BF47" w14:textId="77777777" w:rsidR="00435894" w:rsidRDefault="00435894">
      <w:pPr>
        <w:spacing w:line="276" w:lineRule="auto"/>
        <w:jc w:val="both"/>
        <w:rPr>
          <w:rFonts w:ascii="Times New Roman" w:eastAsia="Times New Roman" w:hAnsi="Times New Roman" w:cs="Times New Roman"/>
          <w:sz w:val="24"/>
          <w:szCs w:val="24"/>
        </w:rPr>
      </w:pPr>
    </w:p>
    <w:p w14:paraId="73E4D53D" w14:textId="77777777" w:rsidR="00435894" w:rsidRDefault="00136A5C">
      <w:pPr>
        <w:pStyle w:val="Heading1"/>
        <w:keepNext/>
        <w:spacing w:line="276" w:lineRule="auto"/>
        <w:ind w:left="0"/>
        <w:jc w:val="both"/>
      </w:pPr>
      <w:bookmarkStart w:id="4" w:name="_1nx29zeb46jn" w:colFirst="0" w:colLast="0"/>
      <w:bookmarkEnd w:id="4"/>
      <w:r>
        <w:rPr>
          <w:color w:val="000000"/>
          <w:sz w:val="26"/>
          <w:szCs w:val="26"/>
        </w:rPr>
        <w:t>3. Methods</w:t>
      </w:r>
    </w:p>
    <w:p w14:paraId="2CD58C2F"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methods work in sequence: Method 1 estimates who is likely to cancel, and Method 2 decides what to do about it and whether it pays.</w:t>
      </w:r>
    </w:p>
    <w:p w14:paraId="176FA6D7" w14:textId="77777777" w:rsidR="00435894" w:rsidRDefault="00136A5C">
      <w:pPr>
        <w:pStyle w:val="Heading2"/>
        <w:keepNext/>
        <w:spacing w:line="276" w:lineRule="auto"/>
        <w:jc w:val="both"/>
        <w:rPr>
          <w:color w:val="000000"/>
        </w:rPr>
      </w:pPr>
      <w:bookmarkStart w:id="5" w:name="_m5kq7kf3105b" w:colFirst="0" w:colLast="0"/>
      <w:bookmarkEnd w:id="5"/>
      <w:r>
        <w:rPr>
          <w:color w:val="000000"/>
        </w:rPr>
        <w:t>3.1 Method 1: Cancellation risk prediction (machine learning)</w:t>
      </w:r>
    </w:p>
    <w:p w14:paraId="31604FB0" w14:textId="77777777" w:rsidR="00435894" w:rsidRDefault="00136A5C">
      <w:pPr>
        <w:numPr>
          <w:ilvl w:val="0"/>
          <w:numId w:val="6"/>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r>
        <w:rPr>
          <w:rFonts w:ascii="Times New Roman" w:eastAsia="Times New Roman" w:hAnsi="Times New Roman" w:cs="Times New Roman"/>
          <w:sz w:val="24"/>
          <w:szCs w:val="24"/>
        </w:rPr>
        <w:t xml:space="preserve"> Individual bookings only; group blocks follow a separate rule. Target: cancelled or no-show.</w:t>
      </w:r>
    </w:p>
    <w:p w14:paraId="56DDD4A6" w14:textId="77777777" w:rsidR="00435894" w:rsidRDefault="00136A5C">
      <w:pPr>
        <w:numPr>
          <w:ilvl w:val="0"/>
          <w:numId w:val="6"/>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Design:</w:t>
      </w:r>
      <w:r>
        <w:rPr>
          <w:rFonts w:ascii="Times New Roman" w:eastAsia="Times New Roman" w:hAnsi="Times New Roman" w:cs="Times New Roman"/>
          <w:sz w:val="24"/>
          <w:szCs w:val="24"/>
        </w:rPr>
        <w:t xml:space="preserve"> Booking-time features → three time-ordered 2016 folds → logistic regression and XGBoost tuned on log-loss → final fit to 31 Dec 2016 → one test on Jan–Aug 2017 → weekly scoring of bookings still active at the end of their booking week.</w:t>
      </w:r>
    </w:p>
    <w:p w14:paraId="1733C99C" w14:textId="77777777" w:rsidR="00435894" w:rsidRDefault="00136A5C">
      <w:pPr>
        <w:numPr>
          <w:ilvl w:val="0"/>
          <w:numId w:val="6"/>
        </w:num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Models Rationale:</w:t>
      </w:r>
      <w:r>
        <w:rPr>
          <w:rFonts w:ascii="Times New Roman" w:eastAsia="Times New Roman" w:hAnsi="Times New Roman" w:cs="Times New Roman"/>
          <w:sz w:val="24"/>
          <w:szCs w:val="24"/>
        </w:rPr>
        <w:t xml:space="preserve"> Gradient boosting and logistic regression are the families most often used in hotel-cancellation research (e.g., Yoo et al., 2024; Alkan, 2025). XGBoost captures interactions such as agent × lead time; logistic regression is the transparent benchmark. XGBoost won on log-loss (0.551 vs 0.558).</w:t>
      </w:r>
    </w:p>
    <w:tbl>
      <w:tblPr>
        <w:tblStyle w:val="a4"/>
        <w:tblW w:w="9210"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5"/>
        <w:gridCol w:w="990"/>
        <w:gridCol w:w="1320"/>
        <w:gridCol w:w="1950"/>
        <w:gridCol w:w="1395"/>
      </w:tblGrid>
      <w:tr w:rsidR="00435894" w14:paraId="4EFE817D" w14:textId="77777777">
        <w:trPr>
          <w:tblHeader/>
        </w:trPr>
        <w:tc>
          <w:tcPr>
            <w:tcW w:w="3555" w:type="dxa"/>
          </w:tcPr>
          <w:p w14:paraId="38CA2F54" w14:textId="77777777" w:rsidR="00435894" w:rsidRDefault="00136A5C">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2017 test, individual bookings (20,399; 34.4% cancelled)</w:t>
            </w:r>
          </w:p>
        </w:tc>
        <w:tc>
          <w:tcPr>
            <w:tcW w:w="990" w:type="dxa"/>
          </w:tcPr>
          <w:p w14:paraId="3F867232"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AUC</w:t>
            </w:r>
          </w:p>
        </w:tc>
        <w:tc>
          <w:tcPr>
            <w:tcW w:w="1320" w:type="dxa"/>
          </w:tcPr>
          <w:p w14:paraId="23D7C959"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PR-AUC</w:t>
            </w:r>
          </w:p>
        </w:tc>
        <w:tc>
          <w:tcPr>
            <w:tcW w:w="1950" w:type="dxa"/>
          </w:tcPr>
          <w:p w14:paraId="2854255D"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Precision@20%</w:t>
            </w:r>
          </w:p>
        </w:tc>
        <w:tc>
          <w:tcPr>
            <w:tcW w:w="1395" w:type="dxa"/>
          </w:tcPr>
          <w:p w14:paraId="3F2A25F2"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Lift@20%</w:t>
            </w:r>
          </w:p>
        </w:tc>
      </w:tr>
      <w:tr w:rsidR="00435894" w14:paraId="1397EDC2" w14:textId="77777777">
        <w:tc>
          <w:tcPr>
            <w:tcW w:w="3555" w:type="dxa"/>
          </w:tcPr>
          <w:p w14:paraId="14BA8AAE"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XGBoost</w:t>
            </w:r>
          </w:p>
        </w:tc>
        <w:tc>
          <w:tcPr>
            <w:tcW w:w="990" w:type="dxa"/>
          </w:tcPr>
          <w:p w14:paraId="5366E8C3"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0.736</w:t>
            </w:r>
          </w:p>
        </w:tc>
        <w:tc>
          <w:tcPr>
            <w:tcW w:w="1320" w:type="dxa"/>
          </w:tcPr>
          <w:p w14:paraId="2DFC597B"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0.556</w:t>
            </w:r>
          </w:p>
        </w:tc>
        <w:tc>
          <w:tcPr>
            <w:tcW w:w="1950" w:type="dxa"/>
          </w:tcPr>
          <w:p w14:paraId="450198F4"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58.3%</w:t>
            </w:r>
          </w:p>
        </w:tc>
        <w:tc>
          <w:tcPr>
            <w:tcW w:w="1395" w:type="dxa"/>
          </w:tcPr>
          <w:p w14:paraId="6955973D"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1.70</w:t>
            </w:r>
          </w:p>
        </w:tc>
      </w:tr>
      <w:tr w:rsidR="00435894" w14:paraId="606B2407" w14:textId="77777777">
        <w:tc>
          <w:tcPr>
            <w:tcW w:w="3555" w:type="dxa"/>
          </w:tcPr>
          <w:p w14:paraId="4688E2D9"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 segment × lead time</w:t>
            </w:r>
          </w:p>
        </w:tc>
        <w:tc>
          <w:tcPr>
            <w:tcW w:w="990" w:type="dxa"/>
          </w:tcPr>
          <w:p w14:paraId="0C738197"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0.678</w:t>
            </w:r>
          </w:p>
        </w:tc>
        <w:tc>
          <w:tcPr>
            <w:tcW w:w="1320" w:type="dxa"/>
          </w:tcPr>
          <w:p w14:paraId="463F40C4"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0.468</w:t>
            </w:r>
          </w:p>
        </w:tc>
        <w:tc>
          <w:tcPr>
            <w:tcW w:w="1950" w:type="dxa"/>
          </w:tcPr>
          <w:p w14:paraId="03A480EA"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50.8%</w:t>
            </w:r>
          </w:p>
        </w:tc>
        <w:tc>
          <w:tcPr>
            <w:tcW w:w="1395" w:type="dxa"/>
          </w:tcPr>
          <w:p w14:paraId="58F23F16"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435894" w14:paraId="66896D1D" w14:textId="77777777">
        <w:tc>
          <w:tcPr>
            <w:tcW w:w="3555" w:type="dxa"/>
          </w:tcPr>
          <w:p w14:paraId="0952161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w:t>
            </w:r>
          </w:p>
        </w:tc>
        <w:tc>
          <w:tcPr>
            <w:tcW w:w="990" w:type="dxa"/>
          </w:tcPr>
          <w:p w14:paraId="2D26E36D"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0.500</w:t>
            </w:r>
          </w:p>
        </w:tc>
        <w:tc>
          <w:tcPr>
            <w:tcW w:w="1320" w:type="dxa"/>
          </w:tcPr>
          <w:p w14:paraId="47EF895D"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0.344</w:t>
            </w:r>
          </w:p>
        </w:tc>
        <w:tc>
          <w:tcPr>
            <w:tcW w:w="1950" w:type="dxa"/>
          </w:tcPr>
          <w:p w14:paraId="4B759A8A"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34.4%</w:t>
            </w:r>
          </w:p>
        </w:tc>
        <w:tc>
          <w:tcPr>
            <w:tcW w:w="1395" w:type="dxa"/>
          </w:tcPr>
          <w:p w14:paraId="79B66D3B"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412BD4F7" w14:textId="77777777" w:rsidR="00435894" w:rsidRDefault="00136A5C">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top 20% catches 308 more cancellations than the rule; the top risk decile cancels 60.7%, 8.5 times the lowest.</w:t>
      </w:r>
    </w:p>
    <w:p w14:paraId="4995E2FE" w14:textId="77777777" w:rsidR="00435894" w:rsidRDefault="00136A5C">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Ranking by risk × value puts 52% of cancelled revenue in the top 20% of bookings (random: 20%).</w:t>
      </w:r>
    </w:p>
    <w:p w14:paraId="16320D42" w14:textId="77777777" w:rsidR="00435894" w:rsidRDefault="00136A5C">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drivers: travel agent, lead time, customer type and length of stay (associations, not causes).</w:t>
      </w:r>
    </w:p>
    <w:p w14:paraId="19334E6F" w14:textId="77777777" w:rsidR="00435894" w:rsidRDefault="00435894">
      <w:pPr>
        <w:spacing w:line="276" w:lineRule="auto"/>
        <w:ind w:left="720"/>
        <w:jc w:val="both"/>
        <w:rPr>
          <w:rFonts w:ascii="Times New Roman" w:eastAsia="Times New Roman" w:hAnsi="Times New Roman" w:cs="Times New Roman"/>
          <w:sz w:val="24"/>
          <w:szCs w:val="24"/>
        </w:rPr>
      </w:pPr>
    </w:p>
    <w:p w14:paraId="6054A74D" w14:textId="77777777" w:rsidR="00435894" w:rsidRDefault="00136A5C">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plan</w:t>
      </w:r>
    </w:p>
    <w:tbl>
      <w:tblPr>
        <w:tblStyle w:val="a5"/>
        <w:tblW w:w="9435"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2430"/>
        <w:gridCol w:w="3840"/>
      </w:tblGrid>
      <w:tr w:rsidR="00435894" w14:paraId="610191EB" w14:textId="77777777">
        <w:trPr>
          <w:trHeight w:val="437"/>
        </w:trPr>
        <w:tc>
          <w:tcPr>
            <w:tcW w:w="31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AA330E8"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KPI</w:t>
            </w:r>
          </w:p>
        </w:tc>
        <w:tc>
          <w:tcPr>
            <w:tcW w:w="243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5197F864"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w:t>
            </w:r>
          </w:p>
        </w:tc>
        <w:tc>
          <w:tcPr>
            <w:tcW w:w="384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4E20F270" w14:textId="77777777" w:rsidR="00435894" w:rsidRDefault="00136A5C">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2017 result</w:t>
            </w:r>
          </w:p>
        </w:tc>
      </w:tr>
      <w:tr w:rsidR="00435894" w14:paraId="4BBEEC7B"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447DF68" w14:textId="77777777" w:rsidR="00435894" w:rsidRDefault="00136A5C">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Recall@20%</w:t>
            </w:r>
          </w:p>
        </w:tc>
        <w:tc>
          <w:tcPr>
            <w:tcW w:w="243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24525600"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rule</w:t>
            </w:r>
          </w:p>
        </w:tc>
        <w:tc>
          <w:tcPr>
            <w:tcW w:w="384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5BA00D7"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33.9% vs 29.5%</w:t>
            </w:r>
          </w:p>
        </w:tc>
      </w:tr>
      <w:tr w:rsidR="00435894" w14:paraId="4CA88EA4"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683033F" w14:textId="77777777" w:rsidR="00435894" w:rsidRDefault="00136A5C">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Precision@20% / Lift@20%</w:t>
            </w:r>
          </w:p>
        </w:tc>
        <w:tc>
          <w:tcPr>
            <w:tcW w:w="243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B207C8D"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50% / ≥ 1.5</w:t>
            </w:r>
          </w:p>
        </w:tc>
        <w:tc>
          <w:tcPr>
            <w:tcW w:w="384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8570005"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58.3% / 1.70</w:t>
            </w:r>
          </w:p>
        </w:tc>
      </w:tr>
      <w:tr w:rsidR="00435894" w14:paraId="06766D5B"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97506B6" w14:textId="77777777" w:rsidR="00435894" w:rsidRDefault="00136A5C">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PR-AUC, Brier</w:t>
            </w:r>
          </w:p>
        </w:tc>
        <w:tc>
          <w:tcPr>
            <w:tcW w:w="243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98F6BDB"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than baseline LR</w:t>
            </w:r>
          </w:p>
        </w:tc>
        <w:tc>
          <w:tcPr>
            <w:tcW w:w="384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2E296E3A"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0.556, 0.192 vs 0.493, 0.209</w:t>
            </w:r>
          </w:p>
        </w:tc>
      </w:tr>
      <w:tr w:rsidR="00435894" w14:paraId="3C95B89D"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84DFE13" w14:textId="77777777" w:rsidR="00435894" w:rsidRDefault="00136A5C">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Revenue captured@20%</w:t>
            </w:r>
          </w:p>
        </w:tc>
        <w:tc>
          <w:tcPr>
            <w:tcW w:w="243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318D35A"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50% (expected loss)</w:t>
            </w:r>
          </w:p>
        </w:tc>
        <w:tc>
          <w:tcPr>
            <w:tcW w:w="384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5A71033A" w14:textId="77777777" w:rsidR="00435894" w:rsidRDefault="00136A5C">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52.2%</w:t>
            </w:r>
          </w:p>
        </w:tc>
      </w:tr>
    </w:tbl>
    <w:p w14:paraId="56D83221" w14:textId="77777777" w:rsidR="00435894" w:rsidRDefault="00435894">
      <w:pPr>
        <w:pStyle w:val="Heading2"/>
        <w:spacing w:line="276" w:lineRule="auto"/>
        <w:ind w:left="0"/>
        <w:jc w:val="both"/>
      </w:pPr>
      <w:bookmarkStart w:id="6" w:name="_e1qmuveso6mt" w:colFirst="0" w:colLast="0"/>
      <w:bookmarkEnd w:id="6"/>
    </w:p>
    <w:p w14:paraId="3F0806B0" w14:textId="77777777" w:rsidR="00435894" w:rsidRDefault="00136A5C">
      <w:pPr>
        <w:pStyle w:val="Heading2"/>
        <w:keepNext/>
        <w:spacing w:line="276" w:lineRule="auto"/>
        <w:jc w:val="both"/>
        <w:rPr>
          <w:color w:val="000000"/>
        </w:rPr>
      </w:pPr>
      <w:bookmarkStart w:id="7" w:name="_r5lm00xeb9iv" w:colFirst="0" w:colLast="0"/>
      <w:bookmarkEnd w:id="7"/>
      <w:r>
        <w:rPr>
          <w:color w:val="000000"/>
        </w:rPr>
        <w:t>3.2 Method 2: Risk-based decision rules and business value</w:t>
      </w:r>
    </w:p>
    <w:p w14:paraId="31F55A97" w14:textId="77777777" w:rsidR="00435894" w:rsidRDefault="00136A5C">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Tiering:</w:t>
      </w:r>
      <w:r>
        <w:rPr>
          <w:rFonts w:ascii="Times New Roman" w:eastAsia="Times New Roman" w:hAnsi="Times New Roman" w:cs="Times New Roman"/>
          <w:sz w:val="24"/>
          <w:szCs w:val="24"/>
        </w:rPr>
        <w:t xml:space="preserve"> Each weekly batch: the top 15% by risk × booking value get a call; the next bookings up to 60% get personalised reminders; the rest get standard confirmation. Shares were chosen from 42 candidate policies on 2016 data and frozen before 2017.</w:t>
      </w:r>
    </w:p>
    <w:p w14:paraId="2CA125BA" w14:textId="77777777" w:rsidR="00435894" w:rsidRDefault="00136A5C">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Routing:</w:t>
      </w:r>
      <w:r>
        <w:rPr>
          <w:rFonts w:ascii="Times New Roman" w:eastAsia="Times New Roman" w:hAnsi="Times New Roman" w:cs="Times New Roman"/>
          <w:sz w:val="24"/>
          <w:szCs w:val="24"/>
        </w:rPr>
        <w:t xml:space="preserve"> Calls (I3) within 7 days of decision, at least 8 days before arrival, max 20 a day; reminders (I2) at 30 and 14 days (one at once if a milestone has passed); no contact within 7 days (I5, counted in a capacity buffer). Group blocks get capacity reallocation and resale (G2) and price changes (G5) with Revenue Manager approval; confirm/release asks to agents (G1) are valued in scenario S5 but not yet built. Overbooking (G3) is disabled.</w:t>
      </w:r>
    </w:p>
    <w:p w14:paraId="3D31265D" w14:textId="77777777" w:rsidR="00435894" w:rsidRDefault="00136A5C">
      <w:pPr>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Valuation:</w:t>
      </w:r>
      <w:r>
        <w:rPr>
          <w:rFonts w:ascii="Times New Roman" w:eastAsia="Times New Roman" w:hAnsi="Times New Roman" w:cs="Times New Roman"/>
          <w:sz w:val="24"/>
          <w:szCs w:val="24"/>
        </w:rPr>
        <w:t xml:space="preserve"> Contribution basis (revenue net of commission and room cost). Benefit = prevented cancellations × their value minus what resale would recover; reminder backfire is subtracted. Costs: EUR 1.41 per call task, EUR 0.05 per SMS, EUR 15,564 one-off and EUR 3,360 a year to run.</w:t>
      </w:r>
    </w:p>
    <w:p w14:paraId="219996CD"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5BFF65" wp14:editId="10618708">
            <wp:extent cx="5487337" cy="2640909"/>
            <wp:effectExtent l="0" t="0" r="0" b="0"/>
            <wp:docPr id="5" name="image2.png" descr="Final report §5.2.3, scenario comparison · 2017 operational queue, 35 weeks annualised"/>
            <wp:cNvGraphicFramePr/>
            <a:graphic xmlns:a="http://schemas.openxmlformats.org/drawingml/2006/main">
              <a:graphicData uri="http://schemas.openxmlformats.org/drawingml/2006/picture">
                <pic:pic xmlns:pic="http://schemas.openxmlformats.org/drawingml/2006/picture">
                  <pic:nvPicPr>
                    <pic:cNvPr id="0" name="image2.png" descr="Final report §5.2.3, scenario comparison · 2017 operational queue, 35 weeks annualised"/>
                    <pic:cNvPicPr preferRelativeResize="0"/>
                  </pic:nvPicPr>
                  <pic:blipFill>
                    <a:blip r:embed="rId7"/>
                    <a:srcRect/>
                    <a:stretch>
                      <a:fillRect/>
                    </a:stretch>
                  </pic:blipFill>
                  <pic:spPr>
                    <a:xfrm>
                      <a:off x="0" y="0"/>
                      <a:ext cx="5487337" cy="2640909"/>
                    </a:xfrm>
                    <a:prstGeom prst="rect">
                      <a:avLst/>
                    </a:prstGeom>
                    <a:ln/>
                  </pic:spPr>
                </pic:pic>
              </a:graphicData>
            </a:graphic>
          </wp:inline>
        </w:drawing>
      </w:r>
    </w:p>
    <w:p w14:paraId="1C3B0839" w14:textId="77777777" w:rsidR="00435894" w:rsidRDefault="00136A5C">
      <w:pPr>
        <w:pStyle w:val="Heading2"/>
        <w:keepNext/>
        <w:spacing w:after="200" w:line="276" w:lineRule="auto"/>
        <w:ind w:left="0"/>
        <w:rPr>
          <w:color w:val="000000"/>
        </w:rPr>
      </w:pPr>
      <w:bookmarkStart w:id="8" w:name="_91bffpu0f7p1" w:colFirst="0" w:colLast="0"/>
      <w:bookmarkEnd w:id="8"/>
      <w:r>
        <w:rPr>
          <w:color w:val="000000"/>
        </w:rPr>
        <w:t>3.3 Evaluation plan</w:t>
      </w:r>
    </w:p>
    <w:tbl>
      <w:tblPr>
        <w:tblStyle w:val="a6"/>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4845"/>
        <w:gridCol w:w="2640"/>
      </w:tblGrid>
      <w:tr w:rsidR="00435894" w14:paraId="5641F428" w14:textId="77777777">
        <w:tc>
          <w:tcPr>
            <w:tcW w:w="1875" w:type="dxa"/>
          </w:tcPr>
          <w:p w14:paraId="1FB72CB4"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w:t>
            </w:r>
          </w:p>
        </w:tc>
        <w:tc>
          <w:tcPr>
            <w:tcW w:w="4845" w:type="dxa"/>
          </w:tcPr>
          <w:p w14:paraId="513ABF7E"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Measure</w:t>
            </w:r>
          </w:p>
        </w:tc>
        <w:tc>
          <w:tcPr>
            <w:tcW w:w="2640" w:type="dxa"/>
          </w:tcPr>
          <w:p w14:paraId="55D13743"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435894" w14:paraId="19929493" w14:textId="77777777">
        <w:tc>
          <w:tcPr>
            <w:tcW w:w="1875" w:type="dxa"/>
          </w:tcPr>
          <w:p w14:paraId="3B40952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4845" w:type="dxa"/>
          </w:tcPr>
          <w:p w14:paraId="37A78F61"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Precision@20% ≥ 50%, Lift@20% ≥ 1.5, recall ≥ rule, Brier &lt; baseline</w:t>
            </w:r>
          </w:p>
        </w:tc>
        <w:tc>
          <w:tcPr>
            <w:tcW w:w="2640" w:type="dxa"/>
          </w:tcPr>
          <w:p w14:paraId="3234404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 on 2017 test</w:t>
            </w:r>
          </w:p>
        </w:tc>
      </w:tr>
      <w:tr w:rsidR="00435894" w14:paraId="106047C0" w14:textId="77777777">
        <w:tc>
          <w:tcPr>
            <w:tcW w:w="1875" w:type="dxa"/>
          </w:tcPr>
          <w:p w14:paraId="275A886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Targeting</w:t>
            </w:r>
          </w:p>
        </w:tc>
        <w:tc>
          <w:tcPr>
            <w:tcW w:w="4845" w:type="dxa"/>
          </w:tcPr>
          <w:p w14:paraId="572F5EF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rate and value share in contacted tiers</w:t>
            </w:r>
          </w:p>
        </w:tc>
        <w:tc>
          <w:tcPr>
            <w:tcW w:w="2640" w:type="dxa"/>
          </w:tcPr>
          <w:p w14:paraId="4F5BD0A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tier 38.3% vs 24.0% queue rate; 44.8% of cancelled value</w:t>
            </w:r>
          </w:p>
        </w:tc>
      </w:tr>
      <w:tr w:rsidR="00435894" w14:paraId="37CACE19" w14:textId="77777777">
        <w:tc>
          <w:tcPr>
            <w:tcW w:w="1875" w:type="dxa"/>
          </w:tcPr>
          <w:p w14:paraId="58AD4340"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value</w:t>
            </w:r>
          </w:p>
        </w:tc>
        <w:tc>
          <w:tcPr>
            <w:tcW w:w="4845" w:type="dxa"/>
          </w:tcPr>
          <w:p w14:paraId="09F9D86D"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 benefit, ROI, break-even uplift</w:t>
            </w:r>
          </w:p>
        </w:tc>
        <w:tc>
          <w:tcPr>
            <w:tcW w:w="2640" w:type="dxa"/>
          </w:tcPr>
          <w:p w14:paraId="50F08FD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under assumptions</w:t>
            </w:r>
          </w:p>
        </w:tc>
      </w:tr>
      <w:tr w:rsidR="00435894" w14:paraId="2F6BC409" w14:textId="77777777">
        <w:tc>
          <w:tcPr>
            <w:tcW w:w="1875" w:type="dxa"/>
          </w:tcPr>
          <w:p w14:paraId="7A516840"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Causal effect</w:t>
            </w:r>
          </w:p>
        </w:tc>
        <w:tc>
          <w:tcPr>
            <w:tcW w:w="4845" w:type="dxa"/>
          </w:tcPr>
          <w:p w14:paraId="201950EB"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Stay rate and contribution, treatment vs randomised holdout</w:t>
            </w:r>
          </w:p>
        </w:tc>
        <w:tc>
          <w:tcPr>
            <w:tcW w:w="2640" w:type="dxa"/>
          </w:tcPr>
          <w:p w14:paraId="06420FFB"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needed</w:t>
            </w:r>
          </w:p>
        </w:tc>
      </w:tr>
      <w:tr w:rsidR="00435894" w14:paraId="75CC3F83" w14:textId="77777777">
        <w:tc>
          <w:tcPr>
            <w:tcW w:w="1875" w:type="dxa"/>
          </w:tcPr>
          <w:p w14:paraId="544C5B6B"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Guest experience</w:t>
            </w:r>
          </w:p>
        </w:tc>
        <w:tc>
          <w:tcPr>
            <w:tcW w:w="4845" w:type="dxa"/>
          </w:tcPr>
          <w:p w14:paraId="105C030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Opt-outs, complaints, backfire</w:t>
            </w:r>
          </w:p>
        </w:tc>
        <w:tc>
          <w:tcPr>
            <w:tcW w:w="2640" w:type="dxa"/>
          </w:tcPr>
          <w:p w14:paraId="34ECA6EA"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needed</w:t>
            </w:r>
          </w:p>
        </w:tc>
      </w:tr>
    </w:tbl>
    <w:p w14:paraId="37AD82FF" w14:textId="77777777" w:rsidR="00435894" w:rsidRDefault="00136A5C">
      <w:pPr>
        <w:spacing w:before="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Lift@20% and predicted vs actual rate monthly, retraining quarterly (AUC fell from 0.80 to 0.71 during 2017). The dashboard's Model monitoring page recomputes them on the bookings that arrived before today.</w:t>
      </w:r>
    </w:p>
    <w:p w14:paraId="16873499" w14:textId="77777777" w:rsidR="00435894" w:rsidRDefault="00435894">
      <w:pPr>
        <w:spacing w:line="276" w:lineRule="auto"/>
        <w:jc w:val="both"/>
        <w:rPr>
          <w:rFonts w:ascii="Times New Roman" w:eastAsia="Times New Roman" w:hAnsi="Times New Roman" w:cs="Times New Roman"/>
          <w:sz w:val="24"/>
          <w:szCs w:val="24"/>
        </w:rPr>
      </w:pPr>
    </w:p>
    <w:p w14:paraId="5BF9A1C1" w14:textId="77777777" w:rsidR="00435894" w:rsidRDefault="00136A5C">
      <w:pPr>
        <w:pStyle w:val="Heading1"/>
        <w:keepNext/>
        <w:spacing w:line="276" w:lineRule="auto"/>
        <w:ind w:left="0"/>
        <w:jc w:val="both"/>
      </w:pPr>
      <w:bookmarkStart w:id="9" w:name="_ysmg1v2xbldm" w:colFirst="0" w:colLast="0"/>
      <w:bookmarkEnd w:id="9"/>
      <w:r>
        <w:rPr>
          <w:color w:val="000000"/>
          <w:sz w:val="26"/>
          <w:szCs w:val="26"/>
        </w:rPr>
        <w:t>4. Tools</w:t>
      </w:r>
    </w:p>
    <w:p w14:paraId="12BF5098"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prototype links risk scoring, the decision policy and an operational layer for staff, and opens on one fixed working day, Monday 1 May 2017, with the team's history up to yesterday prepared through the same rules; it is built and tested, but contacts no guest and changes no PMS, price or inventory record.</w:t>
      </w:r>
    </w:p>
    <w:p w14:paraId="508384C6" w14:textId="77777777" w:rsidR="00435894" w:rsidRDefault="00136A5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86005F" wp14:editId="17C8F469">
            <wp:extent cx="5486400" cy="1902278"/>
            <wp:effectExtent l="0" t="0" r="0" b="0"/>
            <wp:docPr id="2" name="image4.png" descr="System architecture and workflow · final report §6.3"/>
            <wp:cNvGraphicFramePr/>
            <a:graphic xmlns:a="http://schemas.openxmlformats.org/drawingml/2006/main">
              <a:graphicData uri="http://schemas.openxmlformats.org/drawingml/2006/picture">
                <pic:pic xmlns:pic="http://schemas.openxmlformats.org/drawingml/2006/picture">
                  <pic:nvPicPr>
                    <pic:cNvPr id="0" name="image4.png" descr="System architecture and workflow · final report §6.3"/>
                    <pic:cNvPicPr preferRelativeResize="0"/>
                  </pic:nvPicPr>
                  <pic:blipFill>
                    <a:blip r:embed="rId8"/>
                    <a:srcRect/>
                    <a:stretch>
                      <a:fillRect/>
                    </a:stretch>
                  </pic:blipFill>
                  <pic:spPr>
                    <a:xfrm>
                      <a:off x="0" y="0"/>
                      <a:ext cx="5486400" cy="1902278"/>
                    </a:xfrm>
                    <a:prstGeom prst="rect">
                      <a:avLst/>
                    </a:prstGeom>
                    <a:ln/>
                  </pic:spPr>
                </pic:pic>
              </a:graphicData>
            </a:graphic>
          </wp:inline>
        </w:drawing>
      </w:r>
    </w:p>
    <w:p w14:paraId="60898A8D" w14:textId="77777777" w:rsidR="00435894" w:rsidRDefault="00136A5C">
      <w:pPr>
        <w:spacing w:after="20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System architecture and workflow </w:t>
      </w:r>
    </w:p>
    <w:tbl>
      <w:tblPr>
        <w:tblStyle w:val="a7"/>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9"/>
        <w:gridCol w:w="3382"/>
        <w:gridCol w:w="4479"/>
      </w:tblGrid>
      <w:tr w:rsidR="00435894" w14:paraId="206B6E30" w14:textId="77777777">
        <w:trPr>
          <w:tblHeader/>
        </w:trPr>
        <w:tc>
          <w:tcPr>
            <w:tcW w:w="1499" w:type="dxa"/>
          </w:tcPr>
          <w:p w14:paraId="17952F46"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w:t>
            </w:r>
          </w:p>
        </w:tc>
        <w:tc>
          <w:tcPr>
            <w:tcW w:w="3382" w:type="dxa"/>
          </w:tcPr>
          <w:p w14:paraId="5143410F"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c>
          <w:tcPr>
            <w:tcW w:w="4479" w:type="dxa"/>
          </w:tcPr>
          <w:p w14:paraId="1C23B1DF"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Why it fits </w:t>
            </w:r>
          </w:p>
        </w:tc>
      </w:tr>
      <w:tr w:rsidR="00435894" w14:paraId="2504A409" w14:textId="77777777">
        <w:tc>
          <w:tcPr>
            <w:tcW w:w="1499" w:type="dxa"/>
          </w:tcPr>
          <w:p w14:paraId="546EE76D"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(pandas, scikit-learn, XGBoost)</w:t>
            </w:r>
          </w:p>
        </w:tc>
        <w:tc>
          <w:tcPr>
            <w:tcW w:w="3382" w:type="dxa"/>
          </w:tcPr>
          <w:p w14:paraId="3DB11F1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scoring, G1 tiers, schedule, scenarios</w:t>
            </w:r>
          </w:p>
        </w:tc>
        <w:tc>
          <w:tcPr>
            <w:tcW w:w="4479" w:type="dxa"/>
          </w:tcPr>
          <w:p w14:paraId="4F02445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Reproducible batch runs with run ID and hashes; invisible to managers</w:t>
            </w:r>
          </w:p>
        </w:tc>
      </w:tr>
      <w:tr w:rsidR="00435894" w14:paraId="62D026C2" w14:textId="77777777">
        <w:tc>
          <w:tcPr>
            <w:tcW w:w="1499" w:type="dxa"/>
          </w:tcPr>
          <w:p w14:paraId="3E15AC5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CSV/JSON contract</w:t>
            </w:r>
          </w:p>
        </w:tc>
        <w:tc>
          <w:tcPr>
            <w:tcW w:w="3382" w:type="dxa"/>
          </w:tcPr>
          <w:p w14:paraId="60821D03"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 scores, queue and schedule to the dashboard</w:t>
            </w:r>
          </w:p>
        </w:tc>
        <w:tc>
          <w:tcPr>
            <w:tcW w:w="4479" w:type="dxa"/>
          </w:tcPr>
          <w:p w14:paraId="7A9FE2E3"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Human-readable, versioned; can move to an API later</w:t>
            </w:r>
          </w:p>
        </w:tc>
      </w:tr>
      <w:tr w:rsidR="00435894" w14:paraId="0A9B515C" w14:textId="77777777">
        <w:tc>
          <w:tcPr>
            <w:tcW w:w="1499" w:type="dxa"/>
          </w:tcPr>
          <w:p w14:paraId="666BC9E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16 / SQLite</w:t>
            </w:r>
          </w:p>
        </w:tc>
        <w:tc>
          <w:tcPr>
            <w:tcW w:w="3382" w:type="dxa"/>
          </w:tcPr>
          <w:p w14:paraId="502D6C32"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Hotel data model and shared action store</w:t>
            </w:r>
          </w:p>
        </w:tc>
        <w:tc>
          <w:tcPr>
            <w:tcW w:w="4479" w:type="dxa"/>
          </w:tcPr>
          <w:p w14:paraId="799CACBA"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 and multi-user access; SQLite for a no-setup demo</w:t>
            </w:r>
          </w:p>
        </w:tc>
      </w:tr>
      <w:tr w:rsidR="00435894" w14:paraId="1D81F50F" w14:textId="77777777">
        <w:tc>
          <w:tcPr>
            <w:tcW w:w="1499" w:type="dxa"/>
          </w:tcPr>
          <w:p w14:paraId="038CFE9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c>
          <w:tcPr>
            <w:tcW w:w="3382" w:type="dxa"/>
          </w:tcPr>
          <w:p w14:paraId="530F4A8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Staff dashboard: daily overview, risk queue with batch review, action review and approvals, execution and follow-up, capacity planning, performance, model monitoring</w:t>
            </w:r>
          </w:p>
        </w:tc>
        <w:tc>
          <w:tcPr>
            <w:tcW w:w="4479" w:type="dxa"/>
          </w:tcPr>
          <w:p w14:paraId="0CAB2A49"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Filters and buttons, no coding; needs login for production</w:t>
            </w:r>
          </w:p>
        </w:tc>
      </w:tr>
      <w:tr w:rsidR="00435894" w14:paraId="5693C60C" w14:textId="77777777">
        <w:tc>
          <w:tcPr>
            <w:tcW w:w="1499" w:type="dxa"/>
          </w:tcPr>
          <w:p w14:paraId="1DA2FF51"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n8n</w:t>
            </w:r>
          </w:p>
        </w:tc>
        <w:tc>
          <w:tcPr>
            <w:tcW w:w="3382" w:type="dxa"/>
          </w:tcPr>
          <w:p w14:paraId="1129891D"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 approved actions to a workflow</w:t>
            </w:r>
          </w:p>
        </w:tc>
        <w:tc>
          <w:tcPr>
            <w:tcW w:w="4479" w:type="dxa"/>
          </w:tcPr>
          <w:p w14:paraId="017DEA5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steps that operations staff can review; scales with workers</w:t>
            </w:r>
          </w:p>
        </w:tc>
      </w:tr>
    </w:tbl>
    <w:p w14:paraId="7E21AE45" w14:textId="77777777" w:rsidR="00435894" w:rsidRDefault="00136A5C">
      <w:pPr>
        <w:spacing w:before="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2017 outputs.</w:t>
      </w:r>
      <w:r>
        <w:rPr>
          <w:rFonts w:ascii="Times New Roman" w:eastAsia="Times New Roman" w:hAnsi="Times New Roman" w:cs="Times New Roman"/>
          <w:sz w:val="24"/>
          <w:szCs w:val="24"/>
        </w:rPr>
        <w:t xml:space="preserve"> 13,156 risk scores (12,102 individual, 1,054 group); a decision queue routing 1,761 bookings to calls, 5,186 to reminders and 5,116 to standard confirmation; and 20,563 dated actions. Before showing anything, the dashboard checks that model and policy come from the same run, re-derives every tier and rejects any post-outcome field. Outcomes are shown only for bookings that have already arrived (look-back, performance, model monitoring) and never feed a recommendation.</w:t>
      </w:r>
    </w:p>
    <w:p w14:paraId="6D2798A8" w14:textId="77777777" w:rsidR="00435894" w:rsidRDefault="00136A5C">
      <w:pPr>
        <w:numPr>
          <w:ilvl w:val="0"/>
          <w:numId w:val="5"/>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Controls:</w:t>
      </w:r>
      <w:r>
        <w:rPr>
          <w:rFonts w:ascii="Times New Roman" w:eastAsia="Times New Roman" w:hAnsi="Times New Roman" w:cs="Times New Roman"/>
          <w:sz w:val="24"/>
          <w:szCs w:val="24"/>
        </w:rPr>
        <w:t xml:space="preserve"> Each week's routine plan (calls, reminders, confirmations) is approved by Reservations in a batch before anything is scheduled. Every action is checked for approval, due date, call window, the 20-calls-a-day limit and same-day messaging before n8n receives it. Sensitive actions (price, capacity, deposits) stay pending until a named Revenue Manager approves, and overbooking is refused by the service, n8n and the database.</w:t>
      </w:r>
    </w:p>
    <w:p w14:paraId="23184E28" w14:textId="77777777" w:rsidR="00435894" w:rsidRDefault="00136A5C">
      <w:pPr>
        <w:numPr>
          <w:ilvl w:val="0"/>
          <w:numId w:val="5"/>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Verification:</w:t>
      </w:r>
      <w:r>
        <w:rPr>
          <w:rFonts w:ascii="Times New Roman" w:eastAsia="Times New Roman" w:hAnsi="Times New Roman" w:cs="Times New Roman"/>
          <w:sz w:val="24"/>
          <w:szCs w:val="24"/>
        </w:rPr>
        <w:t xml:space="preserve"> 263 automated tests pass on SQLite (21/10/2026) and 172 on PostgreSQL (20/10/2026); database scripts pass 30/30 load and 19/19 guard checks; the live local n8n workflow accepts approved calls and refuses pending actions.</w:t>
      </w:r>
    </w:p>
    <w:p w14:paraId="767B285F" w14:textId="77777777" w:rsidR="00435894" w:rsidRDefault="00136A5C">
      <w:pPr>
        <w:numPr>
          <w:ilvl w:val="0"/>
          <w:numId w:val="5"/>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Built vs. design:</w:t>
      </w:r>
      <w:r>
        <w:rPr>
          <w:rFonts w:ascii="Times New Roman" w:eastAsia="Times New Roman" w:hAnsi="Times New Roman" w:cs="Times New Roman"/>
          <w:sz w:val="24"/>
          <w:szCs w:val="24"/>
        </w:rPr>
        <w:t xml:space="preserve"> Built: data pipeline, model, decision policy, dashboard, action store and demo n8n workflow. Still a design: login and roles, real message sending, consent data, and pilot treatment/holdout assignment. The dashboard's history up to today is prepared, not observed: guest answers are derived from each booking's real outcome.</w:t>
      </w:r>
    </w:p>
    <w:p w14:paraId="6DC8CE87" w14:textId="77777777" w:rsidR="00435894" w:rsidRDefault="00435894">
      <w:pPr>
        <w:pStyle w:val="Heading1"/>
        <w:spacing w:line="276" w:lineRule="auto"/>
        <w:ind w:left="720"/>
        <w:jc w:val="both"/>
      </w:pPr>
      <w:bookmarkStart w:id="10" w:name="_j2tg8i9n06iu" w:colFirst="0" w:colLast="0"/>
      <w:bookmarkEnd w:id="10"/>
    </w:p>
    <w:p w14:paraId="4BA8015C" w14:textId="77777777" w:rsidR="00435894" w:rsidRDefault="00136A5C">
      <w:pPr>
        <w:pStyle w:val="Heading1"/>
        <w:keepNext/>
        <w:spacing w:line="276" w:lineRule="auto"/>
        <w:ind w:left="0"/>
      </w:pPr>
      <w:bookmarkStart w:id="11" w:name="_viyg0tl3wco1" w:colFirst="0" w:colLast="0"/>
      <w:bookmarkEnd w:id="11"/>
      <w:r>
        <w:rPr>
          <w:color w:val="000000"/>
          <w:sz w:val="26"/>
          <w:szCs w:val="26"/>
        </w:rPr>
        <w:t>5. Expected value, roadmap and risks</w:t>
      </w:r>
    </w:p>
    <w:p w14:paraId="07490B0E" w14:textId="77777777" w:rsidR="00435894" w:rsidRDefault="00136A5C">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value is a simulated, assumption-based estimate; the pilot turns it into a measured result before any scale-up.</w:t>
      </w:r>
    </w:p>
    <w:tbl>
      <w:tblPr>
        <w:tblStyle w:val="a8"/>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9"/>
        <w:gridCol w:w="4397"/>
        <w:gridCol w:w="2424"/>
      </w:tblGrid>
      <w:tr w:rsidR="00435894" w14:paraId="1E619F89" w14:textId="77777777">
        <w:trPr>
          <w:tblHeader/>
        </w:trPr>
        <w:tc>
          <w:tcPr>
            <w:tcW w:w="2539" w:type="dxa"/>
          </w:tcPr>
          <w:p w14:paraId="1839C964"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function</w:t>
            </w:r>
          </w:p>
        </w:tc>
        <w:tc>
          <w:tcPr>
            <w:tcW w:w="4397" w:type="dxa"/>
          </w:tcPr>
          <w:p w14:paraId="7BEFC8BB"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value</w:t>
            </w:r>
          </w:p>
        </w:tc>
        <w:tc>
          <w:tcPr>
            <w:tcW w:w="2424" w:type="dxa"/>
          </w:tcPr>
          <w:p w14:paraId="38F4B21C"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it is measured</w:t>
            </w:r>
          </w:p>
        </w:tc>
      </w:tr>
      <w:tr w:rsidR="00435894" w14:paraId="03B8B974" w14:textId="77777777">
        <w:tc>
          <w:tcPr>
            <w:tcW w:w="2539" w:type="dxa"/>
          </w:tcPr>
          <w:p w14:paraId="22320990"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prediction</w:t>
            </w:r>
          </w:p>
        </w:tc>
        <w:tc>
          <w:tcPr>
            <w:tcW w:w="4397" w:type="dxa"/>
          </w:tcPr>
          <w:p w14:paraId="74A5950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Precision@20% ≥ 50%, Lift@20% ≥ 1.5, recall at least equal to a simple rule (achieved: 58.3%, 1.70)</w:t>
            </w:r>
          </w:p>
        </w:tc>
        <w:tc>
          <w:tcPr>
            <w:tcW w:w="2424" w:type="dxa"/>
          </w:tcPr>
          <w:p w14:paraId="0F5324D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Time-ordered test vs baseline rules</w:t>
            </w:r>
          </w:p>
        </w:tc>
      </w:tr>
      <w:tr w:rsidR="00435894" w14:paraId="123E78F7" w14:textId="77777777">
        <w:tc>
          <w:tcPr>
            <w:tcW w:w="2539" w:type="dxa"/>
          </w:tcPr>
          <w:p w14:paraId="60AF41D9"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Prioritisation</w:t>
            </w:r>
          </w:p>
        </w:tc>
        <w:tc>
          <w:tcPr>
            <w:tcW w:w="4397" w:type="dxa"/>
          </w:tcPr>
          <w:p w14:paraId="3E7E1034"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top 15% by risk × value, remind the next 45%, within 20 calls a day</w:t>
            </w:r>
          </w:p>
        </w:tc>
        <w:tc>
          <w:tcPr>
            <w:tcW w:w="2424" w:type="dxa"/>
          </w:tcPr>
          <w:p w14:paraId="054063BA"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rate and value share in contacted tiers</w:t>
            </w:r>
          </w:p>
        </w:tc>
      </w:tr>
      <w:tr w:rsidR="00435894" w14:paraId="2F2E1D5E" w14:textId="77777777">
        <w:tc>
          <w:tcPr>
            <w:tcW w:w="2539" w:type="dxa"/>
          </w:tcPr>
          <w:p w14:paraId="01B35D8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retention</w:t>
            </w:r>
          </w:p>
        </w:tc>
        <w:tc>
          <w:tcPr>
            <w:tcW w:w="4397" w:type="dxa"/>
          </w:tcPr>
          <w:p w14:paraId="59177D39"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Lower cancellation in treatment than in a randomised holdout, with no rise in opt-outs or complaints</w:t>
            </w:r>
          </w:p>
        </w:tc>
        <w:tc>
          <w:tcPr>
            <w:tcW w:w="2424" w:type="dxa"/>
          </w:tcPr>
          <w:p w14:paraId="752BDF9A"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Stay-rate uplift by assigned arm</w:t>
            </w:r>
          </w:p>
        </w:tc>
      </w:tr>
      <w:tr w:rsidR="00435894" w14:paraId="64C3F2C0" w14:textId="77777777">
        <w:tc>
          <w:tcPr>
            <w:tcW w:w="2539" w:type="dxa"/>
          </w:tcPr>
          <w:p w14:paraId="172973E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Finance</w:t>
            </w:r>
          </w:p>
        </w:tc>
        <w:tc>
          <w:tcPr>
            <w:tcW w:w="4397" w:type="dxa"/>
          </w:tcPr>
          <w:p w14:paraId="2C4FDC61"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EUR 30.4k a year net; 3-year ROI 173%; payback 6.9 months from roll-out (month 23)</w:t>
            </w:r>
          </w:p>
        </w:tc>
        <w:tc>
          <w:tcPr>
            <w:tcW w:w="2424" w:type="dxa"/>
          </w:tcPr>
          <w:p w14:paraId="0EC633F5"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Incremental contribution minus programme cost</w:t>
            </w:r>
          </w:p>
        </w:tc>
      </w:tr>
      <w:tr w:rsidR="00435894" w14:paraId="20033E64" w14:textId="77777777">
        <w:tc>
          <w:tcPr>
            <w:tcW w:w="2539" w:type="dxa"/>
          </w:tcPr>
          <w:p w14:paraId="4C44AB2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Rooms and operations</w:t>
            </w:r>
          </w:p>
        </w:tc>
        <w:tc>
          <w:tcPr>
            <w:tcW w:w="4397" w:type="dxa"/>
          </w:tcPr>
          <w:p w14:paraId="0166FD9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release asks add about EUR 1.1k a year (S5, simulated)</w:t>
            </w:r>
          </w:p>
        </w:tc>
        <w:tc>
          <w:tcPr>
            <w:tcW w:w="2424" w:type="dxa"/>
          </w:tcPr>
          <w:p w14:paraId="671B5E73"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Resale rate, unsold room-nights by date</w:t>
            </w:r>
          </w:p>
        </w:tc>
      </w:tr>
    </w:tbl>
    <w:p w14:paraId="377D54C0" w14:textId="77777777" w:rsidR="00435894" w:rsidRDefault="00435894">
      <w:pPr>
        <w:spacing w:line="276" w:lineRule="auto"/>
        <w:rPr>
          <w:rFonts w:ascii="Times New Roman" w:eastAsia="Times New Roman" w:hAnsi="Times New Roman" w:cs="Times New Roman"/>
          <w:b/>
          <w:bCs/>
          <w:sz w:val="24"/>
          <w:szCs w:val="24"/>
        </w:rPr>
      </w:pPr>
    </w:p>
    <w:p w14:paraId="5E291C1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Implementation Roadmap</w:t>
      </w:r>
    </w:p>
    <w:p w14:paraId="6A27B675" w14:textId="77777777" w:rsidR="00435894" w:rsidRDefault="00136A5C">
      <w:pPr>
        <w:numPr>
          <w:ilvl w:val="0"/>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Offline validation (complete).</w:t>
      </w:r>
      <w:r>
        <w:rPr>
          <w:rFonts w:ascii="Times New Roman" w:eastAsia="Times New Roman" w:hAnsi="Times New Roman" w:cs="Times New Roman"/>
          <w:sz w:val="24"/>
          <w:szCs w:val="24"/>
        </w:rPr>
        <w:t xml:space="preserve"> Model and policy tested on a simulation of the 2017 weekly queue.</w:t>
      </w:r>
    </w:p>
    <w:p w14:paraId="108F9C5F" w14:textId="77777777" w:rsidR="00435894" w:rsidRDefault="00136A5C">
      <w:pPr>
        <w:numPr>
          <w:ilvl w:val="0"/>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Prepare and shadow-score (months 1–5).</w:t>
      </w:r>
      <w:r>
        <w:rPr>
          <w:rFonts w:ascii="Times New Roman" w:eastAsia="Times New Roman" w:hAnsi="Times New Roman" w:cs="Times New Roman"/>
          <w:sz w:val="24"/>
          <w:szCs w:val="24"/>
        </w:rPr>
        <w:t xml:space="preserve"> Integrate the booking feed and train staff; score live bookings weekly for 4–8 weeks without acting, to confirm data are available at booking time.</w:t>
      </w:r>
    </w:p>
    <w:p w14:paraId="706E9145" w14:textId="77777777" w:rsidR="00435894" w:rsidRDefault="00136A5C">
      <w:pPr>
        <w:numPr>
          <w:ilvl w:val="0"/>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Randomised pilot (months 6–17).</w:t>
      </w:r>
      <w:r>
        <w:rPr>
          <w:rFonts w:ascii="Times New Roman" w:eastAsia="Times New Roman" w:hAnsi="Times New Roman" w:cs="Times New Roman"/>
          <w:sz w:val="24"/>
          <w:szCs w:val="24"/>
        </w:rPr>
        <w:t xml:space="preserve"> Assign eligible bookings to treatment or holdout before contact, stratified by tier; measure stay rate, net contribution and CX guardrails.</w:t>
      </w:r>
    </w:p>
    <w:p w14:paraId="5CC7FD13" w14:textId="77777777" w:rsidR="00435894" w:rsidRDefault="00136A5C">
      <w:pPr>
        <w:numPr>
          <w:ilvl w:val="0"/>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Follow-up and evaluation (months 18–22).</w:t>
      </w:r>
      <w:r>
        <w:rPr>
          <w:rFonts w:ascii="Times New Roman" w:eastAsia="Times New Roman" w:hAnsi="Times New Roman" w:cs="Times New Roman"/>
          <w:sz w:val="24"/>
          <w:szCs w:val="24"/>
        </w:rPr>
        <w:t xml:space="preserve"> Four months for pilot bookings to reach their arrival date, then one month to evaluate.</w:t>
      </w:r>
    </w:p>
    <w:p w14:paraId="7F44A93A" w14:textId="77777777" w:rsidR="00435894" w:rsidRDefault="00136A5C">
      <w:pPr>
        <w:numPr>
          <w:ilvl w:val="0"/>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Scale or redesign (from month 23).</w:t>
      </w:r>
      <w:r>
        <w:rPr>
          <w:rFonts w:ascii="Times New Roman" w:eastAsia="Times New Roman" w:hAnsi="Times New Roman" w:cs="Times New Roman"/>
          <w:sz w:val="24"/>
          <w:szCs w:val="24"/>
        </w:rPr>
        <w:t xml:space="preserve"> Scale only with a positive net effect; retrain quarterly and monitor Lift@20% monthly.</w:t>
      </w:r>
    </w:p>
    <w:p w14:paraId="081D026C"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35526F4" wp14:editId="44C42B11">
            <wp:extent cx="5943600" cy="5054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5054600"/>
                    </a:xfrm>
                    <a:prstGeom prst="rect">
                      <a:avLst/>
                    </a:prstGeom>
                    <a:ln/>
                  </pic:spPr>
                </pic:pic>
              </a:graphicData>
            </a:graphic>
          </wp:inline>
        </w:drawing>
      </w:r>
    </w:p>
    <w:p w14:paraId="5BF28F85" w14:textId="77777777" w:rsidR="00435894" w:rsidRDefault="00136A5C">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risks and mitigations</w:t>
      </w:r>
    </w:p>
    <w:tbl>
      <w:tblPr>
        <w:tblStyle w:val="a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40"/>
        <w:gridCol w:w="4920"/>
      </w:tblGrid>
      <w:tr w:rsidR="00435894" w14:paraId="19E35778" w14:textId="77777777">
        <w:tc>
          <w:tcPr>
            <w:tcW w:w="4440" w:type="dxa"/>
          </w:tcPr>
          <w:p w14:paraId="0378DA8E"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Risks</w:t>
            </w:r>
          </w:p>
        </w:tc>
        <w:tc>
          <w:tcPr>
            <w:tcW w:w="4920" w:type="dxa"/>
          </w:tcPr>
          <w:p w14:paraId="4E652904" w14:textId="77777777" w:rsidR="00435894" w:rsidRDefault="00136A5C">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Mitigation</w:t>
            </w:r>
          </w:p>
        </w:tc>
      </w:tr>
      <w:tr w:rsidR="00435894" w14:paraId="1A221AD6" w14:textId="77777777">
        <w:tc>
          <w:tcPr>
            <w:tcW w:w="4440" w:type="dxa"/>
          </w:tcPr>
          <w:p w14:paraId="419F685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uplift is unproven and drives the business case (break-even 1.1%)</w:t>
            </w:r>
          </w:p>
        </w:tc>
        <w:tc>
          <w:tcPr>
            <w:tcW w:w="4920" w:type="dxa"/>
          </w:tcPr>
          <w:p w14:paraId="1B72B1F7"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Randomised pilot with a stop / redesign / scale rule</w:t>
            </w:r>
          </w:p>
        </w:tc>
      </w:tr>
      <w:tr w:rsidR="00435894" w14:paraId="43D655DF" w14:textId="77777777">
        <w:tc>
          <w:tcPr>
            <w:tcW w:w="4440" w:type="dxa"/>
          </w:tcPr>
          <w:p w14:paraId="296C4FDF"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one-hotel, one-year pilot detects only about a 5-point effect, above the assumed 3.5 points</w:t>
            </w:r>
          </w:p>
        </w:tc>
        <w:tc>
          <w:tcPr>
            <w:tcW w:w="4920" w:type="dxa"/>
          </w:tcPr>
          <w:p w14:paraId="3B40E67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Treat the pilot as a go/no-go decision with CX guardrails, or pool across properties</w:t>
            </w:r>
          </w:p>
        </w:tc>
      </w:tr>
      <w:tr w:rsidR="00435894" w14:paraId="7A943010" w14:textId="77777777">
        <w:tc>
          <w:tcPr>
            <w:tcW w:w="4440" w:type="dxa"/>
          </w:tcPr>
          <w:p w14:paraId="10A9226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Snapshot data: values are near-arrival, not booking-time</w:t>
            </w:r>
          </w:p>
        </w:tc>
        <w:tc>
          <w:tcPr>
            <w:tcW w:w="4920" w:type="dxa"/>
          </w:tcPr>
          <w:p w14:paraId="4399B3D1"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Shadow scoring with time-stamped booking history before go-live</w:t>
            </w:r>
          </w:p>
        </w:tc>
      </w:tr>
      <w:tr w:rsidR="00435894" w14:paraId="1391D1E0" w14:textId="77777777">
        <w:tc>
          <w:tcPr>
            <w:tcW w:w="4440" w:type="dxa"/>
          </w:tcPr>
          <w:p w14:paraId="2204DF88"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drift (AUC 0.80 → 0.71 during 2017)</w:t>
            </w:r>
          </w:p>
        </w:tc>
        <w:tc>
          <w:tcPr>
            <w:tcW w:w="4920" w:type="dxa"/>
          </w:tcPr>
          <w:p w14:paraId="300038DA"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Monthly monitoring, quarterly retraining</w:t>
            </w:r>
          </w:p>
        </w:tc>
      </w:tr>
      <w:tr w:rsidR="00435894" w14:paraId="5BB5E690" w14:textId="77777777">
        <w:tc>
          <w:tcPr>
            <w:tcW w:w="4440" w:type="dxa"/>
          </w:tcPr>
          <w:p w14:paraId="5C2D273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Reminders may trigger cancellations (backfire)</w:t>
            </w:r>
          </w:p>
        </w:tc>
        <w:tc>
          <w:tcPr>
            <w:tcW w:w="4920" w:type="dxa"/>
          </w:tcPr>
          <w:p w14:paraId="4B461C3B"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 only the top 60%; track post-reminder cancellations by arm</w:t>
            </w:r>
          </w:p>
        </w:tc>
      </w:tr>
      <w:tr w:rsidR="00435894" w14:paraId="7742172F" w14:textId="77777777">
        <w:tc>
          <w:tcPr>
            <w:tcW w:w="4440" w:type="dxa"/>
          </w:tcPr>
          <w:p w14:paraId="6C5B0810"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Privacy and fairness</w:t>
            </w:r>
          </w:p>
        </w:tc>
        <w:tc>
          <w:tcPr>
            <w:tcW w:w="4920" w:type="dxa"/>
          </w:tcPr>
          <w:p w14:paraId="7B514146" w14:textId="77777777" w:rsidR="00435894" w:rsidRDefault="00136A5C">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GDPR minimisation, human approval for sensitive actions, country excluded</w:t>
            </w:r>
          </w:p>
        </w:tc>
      </w:tr>
    </w:tbl>
    <w:p w14:paraId="3D80508C" w14:textId="77777777" w:rsidR="00435894" w:rsidRDefault="00136A5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Decision requested:</w:t>
      </w:r>
      <w:r>
        <w:rPr>
          <w:rFonts w:ascii="Times New Roman" w:eastAsia="Times New Roman" w:hAnsi="Times New Roman" w:cs="Times New Roman"/>
          <w:sz w:val="24"/>
          <w:szCs w:val="24"/>
        </w:rPr>
        <w:t xml:space="preserve"> Approve a 12-month randomised pilot of the S4 policy (one-off cost about EUR 15.6k, EUR 3.4k a year to run), with Reservations, CX and the Revenue Manager as owners.</w:t>
      </w:r>
    </w:p>
    <w:p w14:paraId="7E9EE90A" w14:textId="77777777" w:rsidR="00435894" w:rsidRDefault="00136A5C">
      <w:pPr>
        <w:pStyle w:val="Heading1"/>
        <w:keepNext/>
        <w:spacing w:before="360" w:line="276" w:lineRule="auto"/>
        <w:ind w:left="0"/>
        <w:jc w:val="both"/>
      </w:pPr>
      <w:r>
        <w:rPr>
          <w:color w:val="000000"/>
          <w:sz w:val="26"/>
          <w:szCs w:val="26"/>
        </w:rPr>
        <w:t>References</w:t>
      </w:r>
    </w:p>
    <w:p w14:paraId="315F3133" w14:textId="0C281448" w:rsidR="00435894" w:rsidRDefault="00136A5C">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Alkan, T. Y. (2025). A comparative study of machine learning and deep learning approaches for hotel booking cancellation prediction. </w:t>
      </w:r>
      <w:r>
        <w:rPr>
          <w:rFonts w:ascii="Times New Roman" w:eastAsia="Times New Roman" w:hAnsi="Times New Roman" w:cs="Times New Roman"/>
          <w:i/>
          <w:iCs/>
          <w:sz w:val="24"/>
          <w:szCs w:val="24"/>
        </w:rPr>
        <w:t>International Journal of Scientific Research in Engineering &amp; Technology, 5</w:t>
      </w:r>
      <w:r>
        <w:rPr>
          <w:rFonts w:ascii="Times New Roman" w:eastAsia="Times New Roman" w:hAnsi="Times New Roman" w:cs="Times New Roman"/>
          <w:sz w:val="24"/>
          <w:szCs w:val="24"/>
        </w:rPr>
        <w:t>(3), 11–18.</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https://doi.org/10.59256/ijsreat.20250503002</w:t>
        </w:r>
      </w:hyperlink>
    </w:p>
    <w:p w14:paraId="2BEF4214" w14:textId="4D4B297B" w:rsidR="00435894" w:rsidRDefault="00136A5C">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Antonio, N., de Almeida, A., &amp; Nunes, L. (2017). Predicting hotel booking cancellations to decrease uncertainty and increase revenue. </w:t>
      </w:r>
      <w:r>
        <w:rPr>
          <w:rFonts w:ascii="Times New Roman" w:eastAsia="Times New Roman" w:hAnsi="Times New Roman" w:cs="Times New Roman"/>
          <w:i/>
          <w:iCs/>
          <w:sz w:val="24"/>
          <w:szCs w:val="24"/>
        </w:rPr>
        <w:t>Tourism &amp; Management Studies, 13</w:t>
      </w:r>
      <w:r>
        <w:rPr>
          <w:rFonts w:ascii="Times New Roman" w:eastAsia="Times New Roman" w:hAnsi="Times New Roman" w:cs="Times New Roman"/>
          <w:sz w:val="24"/>
          <w:szCs w:val="24"/>
        </w:rPr>
        <w:t>(2), 25–39.</w:t>
      </w:r>
      <w:hyperlink r:id="rId12">
        <w:r>
          <w:rPr>
            <w:rFonts w:ascii="Times New Roman" w:eastAsia="Times New Roman" w:hAnsi="Times New Roman" w:cs="Times New Roman"/>
            <w:sz w:val="24"/>
            <w:szCs w:val="24"/>
          </w:rPr>
          <w:t xml:space="preserve"> </w:t>
        </w:r>
      </w:hyperlink>
      <w:hyperlink r:id="rId13">
        <w:r>
          <w:rPr>
            <w:rFonts w:ascii="Times New Roman" w:eastAsia="Times New Roman" w:hAnsi="Times New Roman" w:cs="Times New Roman"/>
            <w:color w:val="1155CC"/>
            <w:sz w:val="24"/>
            <w:szCs w:val="24"/>
            <w:u w:val="single"/>
          </w:rPr>
          <w:t>https://doi.org/10.18089/tms.2017.13203</w:t>
        </w:r>
      </w:hyperlink>
    </w:p>
    <w:p w14:paraId="14C6B6DC" w14:textId="41C15E92" w:rsidR="00435894" w:rsidRDefault="00136A5C">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Antonio, N., de Almeida, A., &amp; Nunes, L. (2019). Hotel booking demand datasets. </w:t>
      </w:r>
      <w:r>
        <w:rPr>
          <w:rFonts w:ascii="Times New Roman" w:eastAsia="Times New Roman" w:hAnsi="Times New Roman" w:cs="Times New Roman"/>
          <w:i/>
          <w:iCs/>
          <w:sz w:val="24"/>
          <w:szCs w:val="24"/>
        </w:rPr>
        <w:t>Data in Brief, 22</w:t>
      </w:r>
      <w:r>
        <w:rPr>
          <w:rFonts w:ascii="Times New Roman" w:eastAsia="Times New Roman" w:hAnsi="Times New Roman" w:cs="Times New Roman"/>
          <w:sz w:val="24"/>
          <w:szCs w:val="24"/>
        </w:rPr>
        <w:t>, 41–49.</w:t>
      </w:r>
      <w:hyperlink r:id="rId14">
        <w:r>
          <w:rPr>
            <w:rFonts w:ascii="Times New Roman" w:eastAsia="Times New Roman" w:hAnsi="Times New Roman" w:cs="Times New Roman"/>
            <w:sz w:val="24"/>
            <w:szCs w:val="24"/>
          </w:rPr>
          <w:t xml:space="preserve"> </w:t>
        </w:r>
      </w:hyperlink>
      <w:hyperlink r:id="rId15">
        <w:r>
          <w:rPr>
            <w:rFonts w:ascii="Times New Roman" w:eastAsia="Times New Roman" w:hAnsi="Times New Roman" w:cs="Times New Roman"/>
            <w:color w:val="1155CC"/>
            <w:sz w:val="24"/>
            <w:szCs w:val="24"/>
            <w:u w:val="single"/>
          </w:rPr>
          <w:t>https://doi.org/10.1016/j.dib.2018.11.126</w:t>
        </w:r>
      </w:hyperlink>
    </w:p>
    <w:p w14:paraId="2661D53D" w14:textId="06E382C8" w:rsidR="00435894" w:rsidRDefault="00136A5C">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Yoo, M., Singh, A. K., &amp; Loewy, N. (2024). Predicting hotel booking cancelation with machine learning techniques. </w:t>
      </w:r>
      <w:r>
        <w:rPr>
          <w:rFonts w:ascii="Times New Roman" w:eastAsia="Times New Roman" w:hAnsi="Times New Roman" w:cs="Times New Roman"/>
          <w:i/>
          <w:iCs/>
          <w:sz w:val="24"/>
          <w:szCs w:val="24"/>
        </w:rPr>
        <w:t>Journal of Hospitality and Tourism Technology, 15</w:t>
      </w:r>
      <w:r>
        <w:rPr>
          <w:rFonts w:ascii="Times New Roman" w:eastAsia="Times New Roman" w:hAnsi="Times New Roman" w:cs="Times New Roman"/>
          <w:sz w:val="24"/>
          <w:szCs w:val="24"/>
        </w:rPr>
        <w:t>(1), 54–69.</w:t>
      </w:r>
      <w:hyperlink r:id="rId16">
        <w:r>
          <w:rPr>
            <w:rFonts w:ascii="Times New Roman" w:eastAsia="Times New Roman" w:hAnsi="Times New Roman" w:cs="Times New Roman"/>
            <w:sz w:val="24"/>
            <w:szCs w:val="24"/>
          </w:rPr>
          <w:t xml:space="preserve"> </w:t>
        </w:r>
      </w:hyperlink>
      <w:hyperlink r:id="rId17">
        <w:r>
          <w:rPr>
            <w:rFonts w:ascii="Times New Roman" w:eastAsia="Times New Roman" w:hAnsi="Times New Roman" w:cs="Times New Roman"/>
            <w:color w:val="1155CC"/>
            <w:sz w:val="24"/>
            <w:szCs w:val="24"/>
            <w:u w:val="single"/>
          </w:rPr>
          <w:t>https://doi.org/10.1108/JHTT-07-2022-0227</w:t>
        </w:r>
      </w:hyperlink>
    </w:p>
    <w:p w14:paraId="123E4B4C" w14:textId="77777777" w:rsidR="00435894" w:rsidRDefault="00435894">
      <w:pPr>
        <w:spacing w:line="276" w:lineRule="auto"/>
        <w:jc w:val="both"/>
        <w:rPr>
          <w:rFonts w:ascii="Times New Roman" w:eastAsia="Times New Roman" w:hAnsi="Times New Roman" w:cs="Times New Roman"/>
          <w:sz w:val="24"/>
          <w:szCs w:val="24"/>
        </w:rPr>
      </w:pPr>
    </w:p>
    <w:sectPr w:rsidR="00435894">
      <w:pgSz w:w="12240" w:h="15840"/>
      <w:pgMar w:top="1200" w:right="1440" w:bottom="12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05263D-F321-4BA2-97D5-A7FA3C0E75AF}"/>
    <w:embedItalic r:id="rId2" w:fontKey="{299C2E95-F342-4E90-9429-C027A35B53F2}"/>
  </w:font>
  <w:font w:name="Georgia">
    <w:panose1 w:val="02040502050405020303"/>
    <w:charset w:val="00"/>
    <w:family w:val="auto"/>
    <w:pitch w:val="default"/>
    <w:embedItalic r:id="rId3" w:fontKey="{1D91A23D-995E-402E-8BD4-5C4708A1B371}"/>
  </w:font>
  <w:font w:name="Cambria">
    <w:panose1 w:val="02040503050406030204"/>
    <w:charset w:val="00"/>
    <w:family w:val="roman"/>
    <w:pitch w:val="variable"/>
    <w:sig w:usb0="E00006FF" w:usb1="420024FF" w:usb2="02000000" w:usb3="00000000" w:csb0="0000019F" w:csb1="00000000"/>
    <w:embedRegular r:id="rId4" w:fontKey="{A47E7CBA-1E7E-4544-8AB4-A08F502EFC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9168B"/>
    <w:multiLevelType w:val="multilevel"/>
    <w:tmpl w:val="E940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0A0DCF"/>
    <w:multiLevelType w:val="multilevel"/>
    <w:tmpl w:val="E11EC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6718F2"/>
    <w:multiLevelType w:val="multilevel"/>
    <w:tmpl w:val="51C66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9E3469"/>
    <w:multiLevelType w:val="multilevel"/>
    <w:tmpl w:val="DC3C6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9F6DDF"/>
    <w:multiLevelType w:val="multilevel"/>
    <w:tmpl w:val="D506EE0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DC46B7"/>
    <w:multiLevelType w:val="multilevel"/>
    <w:tmpl w:val="4D982AD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4F3684"/>
    <w:multiLevelType w:val="multilevel"/>
    <w:tmpl w:val="51627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4842930">
    <w:abstractNumId w:val="4"/>
  </w:num>
  <w:num w:numId="2" w16cid:durableId="131140191">
    <w:abstractNumId w:val="5"/>
  </w:num>
  <w:num w:numId="3" w16cid:durableId="407700050">
    <w:abstractNumId w:val="2"/>
  </w:num>
  <w:num w:numId="4" w16cid:durableId="57822748">
    <w:abstractNumId w:val="6"/>
  </w:num>
  <w:num w:numId="5" w16cid:durableId="315189833">
    <w:abstractNumId w:val="3"/>
  </w:num>
  <w:num w:numId="6" w16cid:durableId="1302270259">
    <w:abstractNumId w:val="1"/>
  </w:num>
  <w:num w:numId="7" w16cid:durableId="106098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894"/>
    <w:rsid w:val="00136A5C"/>
    <w:rsid w:val="00435894"/>
    <w:rsid w:val="00C37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5110"/>
  <w15:docId w15:val="{26570F05-CC2F-42BB-88D7-8250DEB7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25"/>
      <w:outlineLvl w:val="0"/>
    </w:pPr>
    <w:rPr>
      <w:rFonts w:ascii="Times New Roman" w:eastAsia="Times New Roman" w:hAnsi="Times New Roman" w:cs="Times New Roman"/>
      <w:b/>
      <w:bCs/>
      <w:color w:val="0B5394"/>
      <w:sz w:val="24"/>
      <w:szCs w:val="24"/>
    </w:rPr>
  </w:style>
  <w:style w:type="paragraph" w:styleId="Heading2">
    <w:name w:val="heading 2"/>
    <w:basedOn w:val="Normal"/>
    <w:next w:val="Normal"/>
    <w:uiPriority w:val="9"/>
    <w:unhideWhenUsed/>
    <w:qFormat/>
    <w:pPr>
      <w:ind w:left="567"/>
      <w:outlineLvl w:val="1"/>
    </w:pPr>
    <w:rPr>
      <w:rFonts w:ascii="Times New Roman" w:eastAsia="Times New Roman" w:hAnsi="Times New Roman" w:cs="Times New Roman"/>
      <w:b/>
      <w:bCs/>
      <w:color w:val="1F3864"/>
      <w:sz w:val="24"/>
      <w:szCs w:val="24"/>
    </w:rPr>
  </w:style>
  <w:style w:type="paragraph" w:styleId="Heading3">
    <w:name w:val="heading 3"/>
    <w:basedOn w:val="Normal"/>
    <w:next w:val="Normal"/>
    <w:uiPriority w:val="9"/>
    <w:semiHidden/>
    <w:unhideWhenUsed/>
    <w:qFormat/>
    <w:pPr>
      <w:ind w:firstLine="270"/>
      <w:outlineLvl w:val="2"/>
    </w:pPr>
    <w:rPr>
      <w:rFonts w:ascii="Times New Roman" w:eastAsia="Times New Roman" w:hAnsi="Times New Roman" w:cs="Times New Roman"/>
      <w:b/>
      <w:bCs/>
      <w:i/>
      <w:i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8089/tms.2017.1320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8089/tms.2017.13203" TargetMode="External"/><Relationship Id="rId17" Type="http://schemas.openxmlformats.org/officeDocument/2006/relationships/hyperlink" Target="https://doi.org/10.1108/JHTT-07-2022-0227" TargetMode="External"/><Relationship Id="rId2" Type="http://schemas.openxmlformats.org/officeDocument/2006/relationships/styles" Target="styles.xml"/><Relationship Id="rId16" Type="http://schemas.openxmlformats.org/officeDocument/2006/relationships/hyperlink" Target="https://doi.org/10.1108/JHTT-07-2022-022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59256/ijsreat.20250503002" TargetMode="External"/><Relationship Id="rId5" Type="http://schemas.openxmlformats.org/officeDocument/2006/relationships/image" Target="media/image1.png"/><Relationship Id="rId15" Type="http://schemas.openxmlformats.org/officeDocument/2006/relationships/hyperlink" Target="https://doi.org/10.1016/j.dib.2018.11.126" TargetMode="External"/><Relationship Id="rId10" Type="http://schemas.openxmlformats.org/officeDocument/2006/relationships/hyperlink" Target="https://doi.org/10.59256/ijsreat.2025050300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dib.2018.11.1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2485</Words>
  <Characters>14171</Characters>
  <Application>Microsoft Office Word</Application>
  <DocSecurity>0</DocSecurity>
  <Lines>118</Lines>
  <Paragraphs>33</Paragraphs>
  <ScaleCrop>false</ScaleCrop>
  <Company/>
  <LinksUpToDate>false</LinksUpToDate>
  <CharactersWithSpaces>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2312560042-Trần Ngọc Thành</cp:lastModifiedBy>
  <cp:revision>2</cp:revision>
  <dcterms:created xsi:type="dcterms:W3CDTF">2026-10-21T14:02:00Z</dcterms:created>
  <dcterms:modified xsi:type="dcterms:W3CDTF">2026-10-21T14:02:00Z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eyJoZGlkIjoiMzkwNTA4NzMzMjVhYWI1ODI2YWZlZjY1MjNkZGM3ZWIiLCJ1c2VySWQiOiIxMzc0Mzk4MjE1NjQ2In0=</vt:lpwstr>
  </property>
  <property fmtid="{D5CDD505-2E9C-101B-9397-08002B2CF9AE}" pid="3" name="KSOProductBuildVer">
    <vt:lpwstr>1033-12.1.0.29162</vt:lpwstr>
  </property>
  <property fmtid="{D5CDD505-2E9C-101B-9397-08002B2CF9AE}" pid="4" name="ICV">
    <vt:lpwstr>058A1D6D2F2348A7B39BDF9B1935DC0C_12</vt:lpwstr>
  </property>
</Properties>
</file>