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9D8F3" w14:textId="77777777" w:rsidR="00FE41A1" w:rsidRDefault="00FE41A1">
      <w:pPr>
        <w:spacing w:line="312" w:lineRule="auto"/>
        <w:jc w:val="both"/>
        <w:rPr>
          <w:rFonts w:ascii="Times New Roman" w:eastAsia="Times New Roman" w:hAnsi="Times New Roman" w:cs="Times New Roman"/>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E41A1" w14:paraId="630DC229" w14:textId="77777777">
        <w:trPr>
          <w:trHeight w:val="12900"/>
        </w:trPr>
        <w:tc>
          <w:tcPr>
            <w:tcW w:w="936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BF4CF38" w14:textId="77777777" w:rsidR="00FE41A1" w:rsidRDefault="00C20FEB">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FOREIGN TRADE UNIVERSITY</w:t>
            </w:r>
          </w:p>
          <w:p w14:paraId="79BE9B97" w14:textId="77777777" w:rsidR="00FE41A1" w:rsidRDefault="00C20FEB">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VIETNAM-JAPAN SCHOOL OF BUSINESS AND INNOVATION</w:t>
            </w:r>
          </w:p>
          <w:p w14:paraId="2063E0A0" w14:textId="77777777" w:rsidR="00FE41A1" w:rsidRDefault="00FE41A1">
            <w:pPr>
              <w:widowControl w:val="0"/>
              <w:spacing w:line="312" w:lineRule="auto"/>
              <w:jc w:val="center"/>
              <w:rPr>
                <w:rFonts w:ascii="Times New Roman" w:eastAsia="Times New Roman" w:hAnsi="Times New Roman" w:cs="Times New Roman"/>
                <w:b/>
                <w:bCs/>
                <w:sz w:val="24"/>
                <w:szCs w:val="24"/>
              </w:rPr>
            </w:pPr>
          </w:p>
          <w:p w14:paraId="32AD1BD7" w14:textId="77777777" w:rsidR="00FE41A1" w:rsidRDefault="00C20FEB">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3611C60C" w14:textId="77777777" w:rsidR="00FE41A1" w:rsidRDefault="00FE41A1">
            <w:pPr>
              <w:widowControl w:val="0"/>
              <w:spacing w:line="312" w:lineRule="auto"/>
              <w:rPr>
                <w:rFonts w:ascii="Times New Roman" w:eastAsia="Times New Roman" w:hAnsi="Times New Roman" w:cs="Times New Roman"/>
                <w:b/>
                <w:bCs/>
                <w:sz w:val="24"/>
                <w:szCs w:val="24"/>
              </w:rPr>
            </w:pPr>
          </w:p>
          <w:p w14:paraId="62E78403" w14:textId="77777777" w:rsidR="00FE41A1" w:rsidRDefault="00C20FEB">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99822C6" wp14:editId="3C7AE0F8">
                  <wp:extent cx="1747977" cy="1747977"/>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1747977" cy="1747977"/>
                          </a:xfrm>
                          <a:prstGeom prst="rect">
                            <a:avLst/>
                          </a:prstGeom>
                          <a:ln/>
                        </pic:spPr>
                      </pic:pic>
                    </a:graphicData>
                  </a:graphic>
                </wp:inline>
              </w:drawing>
            </w:r>
          </w:p>
          <w:p w14:paraId="66C05622" w14:textId="77777777" w:rsidR="00FE41A1" w:rsidRDefault="00FE41A1">
            <w:pPr>
              <w:widowControl w:val="0"/>
              <w:spacing w:line="312" w:lineRule="auto"/>
              <w:jc w:val="center"/>
              <w:rPr>
                <w:rFonts w:ascii="Times New Roman" w:eastAsia="Times New Roman" w:hAnsi="Times New Roman" w:cs="Times New Roman"/>
                <w:b/>
                <w:bCs/>
                <w:sz w:val="24"/>
                <w:szCs w:val="24"/>
              </w:rPr>
            </w:pPr>
          </w:p>
          <w:p w14:paraId="7BB53788" w14:textId="77777777" w:rsidR="00FE41A1" w:rsidRDefault="00C20FEB">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ADVANCED BUSINESS ANALYST FINAL REPORT</w:t>
            </w:r>
          </w:p>
          <w:p w14:paraId="72204CCC" w14:textId="77777777" w:rsidR="00FE41A1" w:rsidRDefault="00C20FEB">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HOTEL BOOKING CANCELLATION</w:t>
            </w:r>
          </w:p>
          <w:p w14:paraId="5C2F19A1" w14:textId="77777777" w:rsidR="00FE41A1" w:rsidRDefault="00FE41A1">
            <w:pPr>
              <w:widowControl w:val="0"/>
              <w:spacing w:line="312" w:lineRule="auto"/>
              <w:jc w:val="center"/>
              <w:rPr>
                <w:rFonts w:ascii="Times New Roman" w:eastAsia="Times New Roman" w:hAnsi="Times New Roman" w:cs="Times New Roman"/>
                <w:b/>
                <w:bCs/>
                <w:sz w:val="24"/>
                <w:szCs w:val="24"/>
              </w:rPr>
            </w:pPr>
          </w:p>
          <w:p w14:paraId="15F72882" w14:textId="77777777" w:rsidR="00FE41A1" w:rsidRDefault="00FE41A1">
            <w:pPr>
              <w:widowControl w:val="0"/>
              <w:spacing w:line="312" w:lineRule="auto"/>
              <w:jc w:val="center"/>
              <w:rPr>
                <w:rFonts w:ascii="Times New Roman" w:eastAsia="Times New Roman" w:hAnsi="Times New Roman" w:cs="Times New Roman"/>
                <w:b/>
                <w:bCs/>
                <w:sz w:val="24"/>
                <w:szCs w:val="24"/>
              </w:rPr>
            </w:pPr>
          </w:p>
          <w:p w14:paraId="45D9AFBC" w14:textId="77777777" w:rsidR="00FE41A1" w:rsidRDefault="00C20FEB">
            <w:pPr>
              <w:widowControl w:val="0"/>
              <w:spacing w:line="312" w:lineRule="auto"/>
              <w:ind w:left="207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Class: DBZ405E(DB-HK1-2627)K62.1</w:t>
            </w:r>
          </w:p>
          <w:p w14:paraId="4B379517" w14:textId="77777777" w:rsidR="00FE41A1" w:rsidRDefault="00C20FEB">
            <w:pPr>
              <w:widowControl w:val="0"/>
              <w:spacing w:line="312" w:lineRule="auto"/>
              <w:ind w:left="207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Group: 2</w:t>
            </w:r>
          </w:p>
          <w:p w14:paraId="2E5F6C5F" w14:textId="77777777" w:rsidR="00FE41A1" w:rsidRDefault="00C20FEB">
            <w:pPr>
              <w:widowControl w:val="0"/>
              <w:spacing w:line="312" w:lineRule="auto"/>
              <w:ind w:left="207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Lecturer: GS. Hồ Tú Bảo, PGS.TS. Trần Thị Oanh</w:t>
            </w:r>
          </w:p>
          <w:p w14:paraId="1DCD4A43" w14:textId="77777777" w:rsidR="00FE41A1" w:rsidRDefault="00FE41A1">
            <w:pPr>
              <w:widowControl w:val="0"/>
              <w:spacing w:line="312" w:lineRule="auto"/>
              <w:ind w:left="2610"/>
              <w:jc w:val="both"/>
              <w:rPr>
                <w:rFonts w:ascii="Times New Roman" w:eastAsia="Times New Roman" w:hAnsi="Times New Roman" w:cs="Times New Roman"/>
                <w:b/>
                <w:bCs/>
                <w:sz w:val="24"/>
                <w:szCs w:val="24"/>
              </w:rPr>
            </w:pPr>
          </w:p>
          <w:p w14:paraId="67A6A655" w14:textId="77777777" w:rsidR="00FE41A1" w:rsidRDefault="00FE41A1">
            <w:pPr>
              <w:widowControl w:val="0"/>
              <w:spacing w:line="312" w:lineRule="auto"/>
              <w:ind w:left="2610"/>
              <w:jc w:val="both"/>
              <w:rPr>
                <w:rFonts w:ascii="Times New Roman" w:eastAsia="Times New Roman" w:hAnsi="Times New Roman" w:cs="Times New Roman"/>
                <w:b/>
                <w:bCs/>
                <w:sz w:val="24"/>
                <w:szCs w:val="24"/>
              </w:rPr>
            </w:pPr>
          </w:p>
          <w:p w14:paraId="7F47FB58" w14:textId="77777777" w:rsidR="00FE41A1" w:rsidRDefault="00FE41A1">
            <w:pPr>
              <w:widowControl w:val="0"/>
              <w:spacing w:line="312" w:lineRule="auto"/>
              <w:ind w:left="2610"/>
              <w:jc w:val="both"/>
              <w:rPr>
                <w:rFonts w:ascii="Times New Roman" w:eastAsia="Times New Roman" w:hAnsi="Times New Roman" w:cs="Times New Roman"/>
                <w:b/>
                <w:bCs/>
                <w:sz w:val="24"/>
                <w:szCs w:val="24"/>
              </w:rPr>
            </w:pPr>
          </w:p>
          <w:p w14:paraId="07825177" w14:textId="77777777" w:rsidR="00FE41A1" w:rsidRDefault="00FE41A1">
            <w:pPr>
              <w:widowControl w:val="0"/>
              <w:spacing w:line="312" w:lineRule="auto"/>
              <w:ind w:left="2610"/>
              <w:jc w:val="both"/>
              <w:rPr>
                <w:rFonts w:ascii="Times New Roman" w:eastAsia="Times New Roman" w:hAnsi="Times New Roman" w:cs="Times New Roman"/>
                <w:b/>
                <w:bCs/>
                <w:sz w:val="24"/>
                <w:szCs w:val="24"/>
              </w:rPr>
            </w:pPr>
          </w:p>
          <w:p w14:paraId="2D7BE453" w14:textId="77777777" w:rsidR="00FE41A1" w:rsidRDefault="00FE41A1">
            <w:pPr>
              <w:widowControl w:val="0"/>
              <w:spacing w:line="312" w:lineRule="auto"/>
              <w:ind w:left="2610"/>
              <w:jc w:val="both"/>
              <w:rPr>
                <w:rFonts w:ascii="Times New Roman" w:eastAsia="Times New Roman" w:hAnsi="Times New Roman" w:cs="Times New Roman"/>
                <w:b/>
                <w:bCs/>
                <w:sz w:val="24"/>
                <w:szCs w:val="24"/>
              </w:rPr>
            </w:pPr>
          </w:p>
          <w:p w14:paraId="04F3106F" w14:textId="77777777" w:rsidR="00FE41A1" w:rsidRDefault="00FE41A1">
            <w:pPr>
              <w:widowControl w:val="0"/>
              <w:spacing w:line="312" w:lineRule="auto"/>
              <w:ind w:left="2610"/>
              <w:jc w:val="both"/>
              <w:rPr>
                <w:rFonts w:ascii="Times New Roman" w:eastAsia="Times New Roman" w:hAnsi="Times New Roman" w:cs="Times New Roman"/>
                <w:b/>
                <w:bCs/>
                <w:sz w:val="24"/>
                <w:szCs w:val="24"/>
              </w:rPr>
            </w:pPr>
          </w:p>
          <w:p w14:paraId="7BCA225A" w14:textId="77777777" w:rsidR="00FE41A1" w:rsidRDefault="00FE41A1">
            <w:pPr>
              <w:widowControl w:val="0"/>
              <w:spacing w:line="312" w:lineRule="auto"/>
              <w:jc w:val="both"/>
              <w:rPr>
                <w:rFonts w:ascii="Times New Roman" w:eastAsia="Times New Roman" w:hAnsi="Times New Roman" w:cs="Times New Roman"/>
                <w:b/>
                <w:bCs/>
                <w:sz w:val="24"/>
                <w:szCs w:val="24"/>
              </w:rPr>
            </w:pPr>
          </w:p>
          <w:p w14:paraId="1494C119" w14:textId="77777777" w:rsidR="00FE41A1" w:rsidRDefault="00FE41A1">
            <w:pPr>
              <w:widowControl w:val="0"/>
              <w:spacing w:line="312" w:lineRule="auto"/>
              <w:ind w:left="3543"/>
              <w:jc w:val="both"/>
              <w:rPr>
                <w:rFonts w:ascii="Times New Roman" w:eastAsia="Times New Roman" w:hAnsi="Times New Roman" w:cs="Times New Roman"/>
                <w:sz w:val="24"/>
                <w:szCs w:val="24"/>
              </w:rPr>
            </w:pPr>
          </w:p>
          <w:p w14:paraId="29C08CDD" w14:textId="77777777" w:rsidR="00FE41A1" w:rsidRDefault="00FE41A1">
            <w:pPr>
              <w:widowControl w:val="0"/>
              <w:spacing w:line="312" w:lineRule="auto"/>
              <w:rPr>
                <w:rFonts w:ascii="Times New Roman" w:eastAsia="Times New Roman" w:hAnsi="Times New Roman" w:cs="Times New Roman"/>
                <w:sz w:val="24"/>
                <w:szCs w:val="24"/>
              </w:rPr>
            </w:pPr>
          </w:p>
          <w:p w14:paraId="5AE8B747" w14:textId="77777777" w:rsidR="00FE41A1" w:rsidRDefault="00FE41A1">
            <w:pPr>
              <w:widowControl w:val="0"/>
              <w:spacing w:line="312" w:lineRule="auto"/>
              <w:rPr>
                <w:rFonts w:ascii="Times New Roman" w:eastAsia="Times New Roman" w:hAnsi="Times New Roman" w:cs="Times New Roman"/>
                <w:sz w:val="24"/>
                <w:szCs w:val="24"/>
              </w:rPr>
            </w:pPr>
          </w:p>
          <w:p w14:paraId="2CCBF317" w14:textId="77777777" w:rsidR="00FE41A1" w:rsidRDefault="00FE41A1">
            <w:pPr>
              <w:widowControl w:val="0"/>
              <w:spacing w:line="312" w:lineRule="auto"/>
              <w:rPr>
                <w:rFonts w:ascii="Times New Roman" w:eastAsia="Times New Roman" w:hAnsi="Times New Roman" w:cs="Times New Roman"/>
                <w:sz w:val="24"/>
                <w:szCs w:val="24"/>
              </w:rPr>
            </w:pPr>
          </w:p>
          <w:p w14:paraId="27397A18" w14:textId="77777777" w:rsidR="00FE41A1" w:rsidRDefault="00C20FEB">
            <w:pPr>
              <w:widowControl w:val="0"/>
              <w:spacing w:line="312"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Ha Noi, 2026</w:t>
            </w:r>
          </w:p>
        </w:tc>
      </w:tr>
    </w:tbl>
    <w:p w14:paraId="21DE77C3" w14:textId="77777777" w:rsidR="00FE41A1" w:rsidRDefault="00C20FEB">
      <w:pPr>
        <w:jc w:val="center"/>
        <w:rPr>
          <w:rFonts w:ascii="Times New Roman" w:eastAsia="Times New Roman" w:hAnsi="Times New Roman" w:cs="Times New Roman"/>
          <w:b/>
          <w:bCs/>
          <w:color w:val="0B5394"/>
          <w:sz w:val="24"/>
          <w:szCs w:val="24"/>
        </w:rPr>
      </w:pPr>
      <w:r>
        <w:rPr>
          <w:rFonts w:ascii="Times New Roman" w:eastAsia="Times New Roman" w:hAnsi="Times New Roman" w:cs="Times New Roman"/>
          <w:b/>
          <w:bCs/>
          <w:color w:val="0B5394"/>
          <w:sz w:val="24"/>
          <w:szCs w:val="24"/>
        </w:rPr>
        <w:t>TABLE OF CONTENT</w:t>
      </w:r>
    </w:p>
    <w:sdt>
      <w:sdtPr>
        <w:id w:val="274747753"/>
        <w:docPartObj>
          <w:docPartGallery w:val="Table of Contents"/>
          <w:docPartUnique/>
        </w:docPartObj>
      </w:sdtPr>
      <w:sdtEndPr/>
      <w:sdtContent>
        <w:p w14:paraId="402D9B0D" w14:textId="18B219A2" w:rsidR="00C20FEB" w:rsidRDefault="00C20FEB">
          <w:pPr>
            <w:pStyle w:val="TOC1"/>
            <w:tabs>
              <w:tab w:val="left" w:pos="480"/>
              <w:tab w:val="right" w:leader="dot" w:pos="9350"/>
            </w:tabs>
            <w:rPr>
              <w:noProof/>
            </w:rPr>
          </w:pPr>
          <w:r>
            <w:fldChar w:fldCharType="begin"/>
          </w:r>
          <w:r>
            <w:instrText xml:space="preserve"> TOC \h \u \z \t "Heading 1,1,Heading 2,2,Heading 3,3,Heading 4,4,Heading 5,5,Heading 6,6,"</w:instrText>
          </w:r>
          <w:r>
            <w:fldChar w:fldCharType="separate"/>
          </w:r>
          <w:hyperlink w:anchor="_Toc243432480" w:history="1">
            <w:r w:rsidRPr="001D65EF">
              <w:rPr>
                <w:rStyle w:val="Hyperlink"/>
                <w:noProof/>
              </w:rPr>
              <w:t>1.</w:t>
            </w:r>
            <w:r>
              <w:rPr>
                <w:noProof/>
              </w:rPr>
              <w:tab/>
            </w:r>
            <w:r w:rsidRPr="001D65EF">
              <w:rPr>
                <w:rStyle w:val="Hyperlink"/>
                <w:noProof/>
              </w:rPr>
              <w:t>Strategic Problem Statement</w:t>
            </w:r>
            <w:r>
              <w:rPr>
                <w:noProof/>
                <w:webHidden/>
              </w:rPr>
              <w:tab/>
            </w:r>
            <w:r>
              <w:rPr>
                <w:noProof/>
                <w:webHidden/>
              </w:rPr>
              <w:fldChar w:fldCharType="begin"/>
            </w:r>
            <w:r>
              <w:rPr>
                <w:noProof/>
                <w:webHidden/>
              </w:rPr>
              <w:instrText xml:space="preserve"> PAGEREF _Toc243432480 \h </w:instrText>
            </w:r>
            <w:r>
              <w:rPr>
                <w:noProof/>
                <w:webHidden/>
              </w:rPr>
            </w:r>
            <w:r>
              <w:rPr>
                <w:noProof/>
                <w:webHidden/>
              </w:rPr>
              <w:fldChar w:fldCharType="separate"/>
            </w:r>
            <w:r>
              <w:rPr>
                <w:noProof/>
                <w:webHidden/>
              </w:rPr>
              <w:t>4</w:t>
            </w:r>
            <w:r>
              <w:rPr>
                <w:noProof/>
                <w:webHidden/>
              </w:rPr>
              <w:fldChar w:fldCharType="end"/>
            </w:r>
          </w:hyperlink>
        </w:p>
        <w:p w14:paraId="30A20EFA" w14:textId="7EAC3BA1" w:rsidR="00C20FEB" w:rsidRDefault="00C20FEB">
          <w:pPr>
            <w:pStyle w:val="TOC2"/>
            <w:tabs>
              <w:tab w:val="left" w:pos="960"/>
              <w:tab w:val="right" w:leader="dot" w:pos="9350"/>
            </w:tabs>
            <w:rPr>
              <w:noProof/>
            </w:rPr>
          </w:pPr>
          <w:hyperlink w:anchor="_Toc243432481" w:history="1">
            <w:r w:rsidRPr="001D65EF">
              <w:rPr>
                <w:rStyle w:val="Hyperlink"/>
                <w:noProof/>
              </w:rPr>
              <w:t>1.1.</w:t>
            </w:r>
            <w:r>
              <w:rPr>
                <w:noProof/>
              </w:rPr>
              <w:tab/>
            </w:r>
            <w:r w:rsidRPr="001D65EF">
              <w:rPr>
                <w:rStyle w:val="Hyperlink"/>
                <w:noProof/>
              </w:rPr>
              <w:t>Business Context</w:t>
            </w:r>
            <w:r>
              <w:rPr>
                <w:noProof/>
                <w:webHidden/>
              </w:rPr>
              <w:tab/>
            </w:r>
            <w:r>
              <w:rPr>
                <w:noProof/>
                <w:webHidden/>
              </w:rPr>
              <w:fldChar w:fldCharType="begin"/>
            </w:r>
            <w:r>
              <w:rPr>
                <w:noProof/>
                <w:webHidden/>
              </w:rPr>
              <w:instrText xml:space="preserve"> PAGEREF _Toc243432481 \h </w:instrText>
            </w:r>
            <w:r>
              <w:rPr>
                <w:noProof/>
                <w:webHidden/>
              </w:rPr>
            </w:r>
            <w:r>
              <w:rPr>
                <w:noProof/>
                <w:webHidden/>
              </w:rPr>
              <w:fldChar w:fldCharType="separate"/>
            </w:r>
            <w:r>
              <w:rPr>
                <w:noProof/>
                <w:webHidden/>
              </w:rPr>
              <w:t>4</w:t>
            </w:r>
            <w:r>
              <w:rPr>
                <w:noProof/>
                <w:webHidden/>
              </w:rPr>
              <w:fldChar w:fldCharType="end"/>
            </w:r>
          </w:hyperlink>
        </w:p>
        <w:p w14:paraId="54254AB6" w14:textId="1AE599CB" w:rsidR="00C20FEB" w:rsidRDefault="00C20FEB">
          <w:pPr>
            <w:pStyle w:val="TOC2"/>
            <w:tabs>
              <w:tab w:val="left" w:pos="960"/>
              <w:tab w:val="right" w:leader="dot" w:pos="9350"/>
            </w:tabs>
            <w:rPr>
              <w:noProof/>
            </w:rPr>
          </w:pPr>
          <w:hyperlink w:anchor="_Toc243432482" w:history="1">
            <w:r w:rsidRPr="001D65EF">
              <w:rPr>
                <w:rStyle w:val="Hyperlink"/>
                <w:noProof/>
              </w:rPr>
              <w:t>1.2.</w:t>
            </w:r>
            <w:r>
              <w:rPr>
                <w:noProof/>
              </w:rPr>
              <w:tab/>
            </w:r>
            <w:r w:rsidRPr="001D65EF">
              <w:rPr>
                <w:rStyle w:val="Hyperlink"/>
                <w:noProof/>
              </w:rPr>
              <w:t>Business Pain Points</w:t>
            </w:r>
            <w:r>
              <w:rPr>
                <w:noProof/>
                <w:webHidden/>
              </w:rPr>
              <w:tab/>
            </w:r>
            <w:r>
              <w:rPr>
                <w:noProof/>
                <w:webHidden/>
              </w:rPr>
              <w:fldChar w:fldCharType="begin"/>
            </w:r>
            <w:r>
              <w:rPr>
                <w:noProof/>
                <w:webHidden/>
              </w:rPr>
              <w:instrText xml:space="preserve"> PAGEREF _Toc243432482 \h </w:instrText>
            </w:r>
            <w:r>
              <w:rPr>
                <w:noProof/>
                <w:webHidden/>
              </w:rPr>
            </w:r>
            <w:r>
              <w:rPr>
                <w:noProof/>
                <w:webHidden/>
              </w:rPr>
              <w:fldChar w:fldCharType="separate"/>
            </w:r>
            <w:r>
              <w:rPr>
                <w:noProof/>
                <w:webHidden/>
              </w:rPr>
              <w:t>4</w:t>
            </w:r>
            <w:r>
              <w:rPr>
                <w:noProof/>
                <w:webHidden/>
              </w:rPr>
              <w:fldChar w:fldCharType="end"/>
            </w:r>
          </w:hyperlink>
        </w:p>
        <w:p w14:paraId="35B0034E" w14:textId="29F804D6" w:rsidR="00C20FEB" w:rsidRDefault="00C20FEB">
          <w:pPr>
            <w:pStyle w:val="TOC2"/>
            <w:tabs>
              <w:tab w:val="left" w:pos="960"/>
              <w:tab w:val="right" w:leader="dot" w:pos="9350"/>
            </w:tabs>
            <w:rPr>
              <w:noProof/>
            </w:rPr>
          </w:pPr>
          <w:hyperlink w:anchor="_Toc243432483" w:history="1">
            <w:r w:rsidRPr="001D65EF">
              <w:rPr>
                <w:rStyle w:val="Hyperlink"/>
                <w:noProof/>
              </w:rPr>
              <w:t>1.3.</w:t>
            </w:r>
            <w:r>
              <w:rPr>
                <w:noProof/>
              </w:rPr>
              <w:tab/>
            </w:r>
            <w:r w:rsidRPr="001D65EF">
              <w:rPr>
                <w:rStyle w:val="Hyperlink"/>
                <w:noProof/>
              </w:rPr>
              <w:t>Stakeholders</w:t>
            </w:r>
            <w:r>
              <w:rPr>
                <w:noProof/>
                <w:webHidden/>
              </w:rPr>
              <w:tab/>
            </w:r>
            <w:r>
              <w:rPr>
                <w:noProof/>
                <w:webHidden/>
              </w:rPr>
              <w:fldChar w:fldCharType="begin"/>
            </w:r>
            <w:r>
              <w:rPr>
                <w:noProof/>
                <w:webHidden/>
              </w:rPr>
              <w:instrText xml:space="preserve"> PAGEREF _Toc243432483 \h </w:instrText>
            </w:r>
            <w:r>
              <w:rPr>
                <w:noProof/>
                <w:webHidden/>
              </w:rPr>
            </w:r>
            <w:r>
              <w:rPr>
                <w:noProof/>
                <w:webHidden/>
              </w:rPr>
              <w:fldChar w:fldCharType="separate"/>
            </w:r>
            <w:r>
              <w:rPr>
                <w:noProof/>
                <w:webHidden/>
              </w:rPr>
              <w:t>5</w:t>
            </w:r>
            <w:r>
              <w:rPr>
                <w:noProof/>
                <w:webHidden/>
              </w:rPr>
              <w:fldChar w:fldCharType="end"/>
            </w:r>
          </w:hyperlink>
        </w:p>
        <w:p w14:paraId="3C7BA359" w14:textId="2AE6E3C6" w:rsidR="00C20FEB" w:rsidRDefault="00C20FEB">
          <w:pPr>
            <w:pStyle w:val="TOC2"/>
            <w:tabs>
              <w:tab w:val="left" w:pos="960"/>
              <w:tab w:val="right" w:leader="dot" w:pos="9350"/>
            </w:tabs>
            <w:rPr>
              <w:noProof/>
            </w:rPr>
          </w:pPr>
          <w:hyperlink w:anchor="_Toc243432484" w:history="1">
            <w:r w:rsidRPr="001D65EF">
              <w:rPr>
                <w:rStyle w:val="Hyperlink"/>
                <w:noProof/>
              </w:rPr>
              <w:t>1.4.</w:t>
            </w:r>
            <w:r>
              <w:rPr>
                <w:noProof/>
              </w:rPr>
              <w:tab/>
            </w:r>
            <w:r w:rsidRPr="001D65EF">
              <w:rPr>
                <w:rStyle w:val="Hyperlink"/>
                <w:noProof/>
              </w:rPr>
              <w:t>Decisions to Improve</w:t>
            </w:r>
            <w:r>
              <w:rPr>
                <w:noProof/>
                <w:webHidden/>
              </w:rPr>
              <w:tab/>
            </w:r>
            <w:r>
              <w:rPr>
                <w:noProof/>
                <w:webHidden/>
              </w:rPr>
              <w:fldChar w:fldCharType="begin"/>
            </w:r>
            <w:r>
              <w:rPr>
                <w:noProof/>
                <w:webHidden/>
              </w:rPr>
              <w:instrText xml:space="preserve"> PAGEREF _Toc243432484 \h </w:instrText>
            </w:r>
            <w:r>
              <w:rPr>
                <w:noProof/>
                <w:webHidden/>
              </w:rPr>
            </w:r>
            <w:r>
              <w:rPr>
                <w:noProof/>
                <w:webHidden/>
              </w:rPr>
              <w:fldChar w:fldCharType="separate"/>
            </w:r>
            <w:r>
              <w:rPr>
                <w:noProof/>
                <w:webHidden/>
              </w:rPr>
              <w:t>5</w:t>
            </w:r>
            <w:r>
              <w:rPr>
                <w:noProof/>
                <w:webHidden/>
              </w:rPr>
              <w:fldChar w:fldCharType="end"/>
            </w:r>
          </w:hyperlink>
        </w:p>
        <w:p w14:paraId="6E366944" w14:textId="4B11A50C" w:rsidR="00C20FEB" w:rsidRDefault="00C20FEB">
          <w:pPr>
            <w:pStyle w:val="TOC2"/>
            <w:tabs>
              <w:tab w:val="left" w:pos="960"/>
              <w:tab w:val="right" w:leader="dot" w:pos="9350"/>
            </w:tabs>
            <w:rPr>
              <w:noProof/>
            </w:rPr>
          </w:pPr>
          <w:hyperlink w:anchor="_Toc243432485" w:history="1">
            <w:r w:rsidRPr="001D65EF">
              <w:rPr>
                <w:rStyle w:val="Hyperlink"/>
                <w:noProof/>
              </w:rPr>
              <w:t>1.5.</w:t>
            </w:r>
            <w:r>
              <w:rPr>
                <w:noProof/>
              </w:rPr>
              <w:tab/>
            </w:r>
            <w:r w:rsidRPr="001D65EF">
              <w:rPr>
                <w:rStyle w:val="Hyperlink"/>
                <w:noProof/>
              </w:rPr>
              <w:t>Strategic Objectives</w:t>
            </w:r>
            <w:r>
              <w:rPr>
                <w:noProof/>
                <w:webHidden/>
              </w:rPr>
              <w:tab/>
            </w:r>
            <w:r>
              <w:rPr>
                <w:noProof/>
                <w:webHidden/>
              </w:rPr>
              <w:fldChar w:fldCharType="begin"/>
            </w:r>
            <w:r>
              <w:rPr>
                <w:noProof/>
                <w:webHidden/>
              </w:rPr>
              <w:instrText xml:space="preserve"> PAGEREF _Toc243432485 \h </w:instrText>
            </w:r>
            <w:r>
              <w:rPr>
                <w:noProof/>
                <w:webHidden/>
              </w:rPr>
            </w:r>
            <w:r>
              <w:rPr>
                <w:noProof/>
                <w:webHidden/>
              </w:rPr>
              <w:fldChar w:fldCharType="separate"/>
            </w:r>
            <w:r>
              <w:rPr>
                <w:noProof/>
                <w:webHidden/>
              </w:rPr>
              <w:t>6</w:t>
            </w:r>
            <w:r>
              <w:rPr>
                <w:noProof/>
                <w:webHidden/>
              </w:rPr>
              <w:fldChar w:fldCharType="end"/>
            </w:r>
          </w:hyperlink>
        </w:p>
        <w:p w14:paraId="38715109" w14:textId="318AB09C" w:rsidR="00C20FEB" w:rsidRDefault="00C20FEB">
          <w:pPr>
            <w:pStyle w:val="TOC2"/>
            <w:tabs>
              <w:tab w:val="left" w:pos="960"/>
              <w:tab w:val="right" w:leader="dot" w:pos="9350"/>
            </w:tabs>
            <w:rPr>
              <w:noProof/>
            </w:rPr>
          </w:pPr>
          <w:hyperlink w:anchor="_Toc243432486" w:history="1">
            <w:r w:rsidRPr="001D65EF">
              <w:rPr>
                <w:rStyle w:val="Hyperlink"/>
                <w:noProof/>
              </w:rPr>
              <w:t>1.6.</w:t>
            </w:r>
            <w:r>
              <w:rPr>
                <w:noProof/>
              </w:rPr>
              <w:tab/>
            </w:r>
            <w:r w:rsidRPr="001D65EF">
              <w:rPr>
                <w:rStyle w:val="Hyperlink"/>
                <w:noProof/>
              </w:rPr>
              <w:t>SCQ Framework</w:t>
            </w:r>
            <w:r>
              <w:rPr>
                <w:noProof/>
                <w:webHidden/>
              </w:rPr>
              <w:tab/>
            </w:r>
            <w:r>
              <w:rPr>
                <w:noProof/>
                <w:webHidden/>
              </w:rPr>
              <w:fldChar w:fldCharType="begin"/>
            </w:r>
            <w:r>
              <w:rPr>
                <w:noProof/>
                <w:webHidden/>
              </w:rPr>
              <w:instrText xml:space="preserve"> PAGEREF _Toc243432486 \h </w:instrText>
            </w:r>
            <w:r>
              <w:rPr>
                <w:noProof/>
                <w:webHidden/>
              </w:rPr>
            </w:r>
            <w:r>
              <w:rPr>
                <w:noProof/>
                <w:webHidden/>
              </w:rPr>
              <w:fldChar w:fldCharType="separate"/>
            </w:r>
            <w:r>
              <w:rPr>
                <w:noProof/>
                <w:webHidden/>
              </w:rPr>
              <w:t>6</w:t>
            </w:r>
            <w:r>
              <w:rPr>
                <w:noProof/>
                <w:webHidden/>
              </w:rPr>
              <w:fldChar w:fldCharType="end"/>
            </w:r>
          </w:hyperlink>
        </w:p>
        <w:p w14:paraId="6E3E9F82" w14:textId="7146BA6F" w:rsidR="00C20FEB" w:rsidRDefault="00C20FEB">
          <w:pPr>
            <w:pStyle w:val="TOC1"/>
            <w:tabs>
              <w:tab w:val="left" w:pos="480"/>
              <w:tab w:val="right" w:leader="dot" w:pos="9350"/>
            </w:tabs>
            <w:rPr>
              <w:noProof/>
            </w:rPr>
          </w:pPr>
          <w:hyperlink w:anchor="_Toc243432487" w:history="1">
            <w:r w:rsidRPr="001D65EF">
              <w:rPr>
                <w:rStyle w:val="Hyperlink"/>
                <w:noProof/>
              </w:rPr>
              <w:t>2.</w:t>
            </w:r>
            <w:r>
              <w:rPr>
                <w:noProof/>
              </w:rPr>
              <w:tab/>
            </w:r>
            <w:r w:rsidRPr="001D65EF">
              <w:rPr>
                <w:rStyle w:val="Hyperlink"/>
                <w:noProof/>
              </w:rPr>
              <w:t>PDMT Map</w:t>
            </w:r>
            <w:r>
              <w:rPr>
                <w:noProof/>
                <w:webHidden/>
              </w:rPr>
              <w:tab/>
            </w:r>
            <w:r>
              <w:rPr>
                <w:noProof/>
                <w:webHidden/>
              </w:rPr>
              <w:fldChar w:fldCharType="begin"/>
            </w:r>
            <w:r>
              <w:rPr>
                <w:noProof/>
                <w:webHidden/>
              </w:rPr>
              <w:instrText xml:space="preserve"> PAGEREF _Toc243432487 \h </w:instrText>
            </w:r>
            <w:r>
              <w:rPr>
                <w:noProof/>
                <w:webHidden/>
              </w:rPr>
            </w:r>
            <w:r>
              <w:rPr>
                <w:noProof/>
                <w:webHidden/>
              </w:rPr>
              <w:fldChar w:fldCharType="separate"/>
            </w:r>
            <w:r>
              <w:rPr>
                <w:noProof/>
                <w:webHidden/>
              </w:rPr>
              <w:t>6</w:t>
            </w:r>
            <w:r>
              <w:rPr>
                <w:noProof/>
                <w:webHidden/>
              </w:rPr>
              <w:fldChar w:fldCharType="end"/>
            </w:r>
          </w:hyperlink>
        </w:p>
        <w:p w14:paraId="737A24E0" w14:textId="44AEE01F" w:rsidR="00C20FEB" w:rsidRDefault="00C20FEB">
          <w:pPr>
            <w:pStyle w:val="TOC1"/>
            <w:tabs>
              <w:tab w:val="left" w:pos="480"/>
              <w:tab w:val="right" w:leader="dot" w:pos="9350"/>
            </w:tabs>
            <w:rPr>
              <w:noProof/>
            </w:rPr>
          </w:pPr>
          <w:hyperlink w:anchor="_Toc243432488" w:history="1">
            <w:r w:rsidRPr="001D65EF">
              <w:rPr>
                <w:rStyle w:val="Hyperlink"/>
                <w:noProof/>
              </w:rPr>
              <w:t>3.</w:t>
            </w:r>
            <w:r>
              <w:rPr>
                <w:noProof/>
              </w:rPr>
              <w:tab/>
            </w:r>
            <w:r w:rsidRPr="001D65EF">
              <w:rPr>
                <w:rStyle w:val="Hyperlink"/>
                <w:noProof/>
              </w:rPr>
              <w:t>Detailed Expected Business Value</w:t>
            </w:r>
            <w:r>
              <w:rPr>
                <w:noProof/>
                <w:webHidden/>
              </w:rPr>
              <w:tab/>
            </w:r>
            <w:r>
              <w:rPr>
                <w:noProof/>
                <w:webHidden/>
              </w:rPr>
              <w:fldChar w:fldCharType="begin"/>
            </w:r>
            <w:r>
              <w:rPr>
                <w:noProof/>
                <w:webHidden/>
              </w:rPr>
              <w:instrText xml:space="preserve"> PAGEREF _Toc243432488 \h </w:instrText>
            </w:r>
            <w:r>
              <w:rPr>
                <w:noProof/>
                <w:webHidden/>
              </w:rPr>
            </w:r>
            <w:r>
              <w:rPr>
                <w:noProof/>
                <w:webHidden/>
              </w:rPr>
              <w:fldChar w:fldCharType="separate"/>
            </w:r>
            <w:r>
              <w:rPr>
                <w:noProof/>
                <w:webHidden/>
              </w:rPr>
              <w:t>7</w:t>
            </w:r>
            <w:r>
              <w:rPr>
                <w:noProof/>
                <w:webHidden/>
              </w:rPr>
              <w:fldChar w:fldCharType="end"/>
            </w:r>
          </w:hyperlink>
        </w:p>
        <w:p w14:paraId="2FE59FE2" w14:textId="34BF79EB" w:rsidR="00C20FEB" w:rsidRDefault="00C20FEB">
          <w:pPr>
            <w:pStyle w:val="TOC1"/>
            <w:tabs>
              <w:tab w:val="left" w:pos="480"/>
              <w:tab w:val="right" w:leader="dot" w:pos="9350"/>
            </w:tabs>
            <w:rPr>
              <w:noProof/>
            </w:rPr>
          </w:pPr>
          <w:hyperlink w:anchor="_Toc243432489" w:history="1">
            <w:r w:rsidRPr="001D65EF">
              <w:rPr>
                <w:rStyle w:val="Hyperlink"/>
                <w:noProof/>
              </w:rPr>
              <w:t>4.</w:t>
            </w:r>
            <w:r>
              <w:rPr>
                <w:noProof/>
              </w:rPr>
              <w:tab/>
            </w:r>
            <w:r w:rsidRPr="001D65EF">
              <w:rPr>
                <w:rStyle w:val="Hyperlink"/>
                <w:noProof/>
              </w:rPr>
              <w:t>Data</w:t>
            </w:r>
            <w:r>
              <w:rPr>
                <w:noProof/>
                <w:webHidden/>
              </w:rPr>
              <w:tab/>
            </w:r>
            <w:r>
              <w:rPr>
                <w:noProof/>
                <w:webHidden/>
              </w:rPr>
              <w:fldChar w:fldCharType="begin"/>
            </w:r>
            <w:r>
              <w:rPr>
                <w:noProof/>
                <w:webHidden/>
              </w:rPr>
              <w:instrText xml:space="preserve"> PAGEREF _Toc243432489 \h </w:instrText>
            </w:r>
            <w:r>
              <w:rPr>
                <w:noProof/>
                <w:webHidden/>
              </w:rPr>
            </w:r>
            <w:r>
              <w:rPr>
                <w:noProof/>
                <w:webHidden/>
              </w:rPr>
              <w:fldChar w:fldCharType="separate"/>
            </w:r>
            <w:r>
              <w:rPr>
                <w:noProof/>
                <w:webHidden/>
              </w:rPr>
              <w:t>9</w:t>
            </w:r>
            <w:r>
              <w:rPr>
                <w:noProof/>
                <w:webHidden/>
              </w:rPr>
              <w:fldChar w:fldCharType="end"/>
            </w:r>
          </w:hyperlink>
        </w:p>
        <w:p w14:paraId="17337A58" w14:textId="275DE999" w:rsidR="00C20FEB" w:rsidRDefault="00C20FEB">
          <w:pPr>
            <w:pStyle w:val="TOC2"/>
            <w:tabs>
              <w:tab w:val="right" w:leader="dot" w:pos="9350"/>
            </w:tabs>
            <w:rPr>
              <w:noProof/>
            </w:rPr>
          </w:pPr>
          <w:hyperlink w:anchor="_Toc243432490" w:history="1">
            <w:r w:rsidRPr="001D65EF">
              <w:rPr>
                <w:rStyle w:val="Hyperlink"/>
                <w:noProof/>
              </w:rPr>
              <w:t>4.1 Data sources and audit</w:t>
            </w:r>
            <w:r>
              <w:rPr>
                <w:noProof/>
                <w:webHidden/>
              </w:rPr>
              <w:tab/>
            </w:r>
            <w:r>
              <w:rPr>
                <w:noProof/>
                <w:webHidden/>
              </w:rPr>
              <w:fldChar w:fldCharType="begin"/>
            </w:r>
            <w:r>
              <w:rPr>
                <w:noProof/>
                <w:webHidden/>
              </w:rPr>
              <w:instrText xml:space="preserve"> PAGEREF _Toc243432490 \h </w:instrText>
            </w:r>
            <w:r>
              <w:rPr>
                <w:noProof/>
                <w:webHidden/>
              </w:rPr>
            </w:r>
            <w:r>
              <w:rPr>
                <w:noProof/>
                <w:webHidden/>
              </w:rPr>
              <w:fldChar w:fldCharType="separate"/>
            </w:r>
            <w:r>
              <w:rPr>
                <w:noProof/>
                <w:webHidden/>
              </w:rPr>
              <w:t>9</w:t>
            </w:r>
            <w:r>
              <w:rPr>
                <w:noProof/>
                <w:webHidden/>
              </w:rPr>
              <w:fldChar w:fldCharType="end"/>
            </w:r>
          </w:hyperlink>
        </w:p>
        <w:p w14:paraId="2CE94242" w14:textId="5A1CABC7" w:rsidR="00C20FEB" w:rsidRDefault="00C20FEB">
          <w:pPr>
            <w:pStyle w:val="TOC2"/>
            <w:tabs>
              <w:tab w:val="right" w:leader="dot" w:pos="9350"/>
            </w:tabs>
            <w:rPr>
              <w:noProof/>
            </w:rPr>
          </w:pPr>
          <w:hyperlink w:anchor="_Toc243432491" w:history="1">
            <w:r w:rsidRPr="001D65EF">
              <w:rPr>
                <w:rStyle w:val="Hyperlink"/>
                <w:noProof/>
              </w:rPr>
              <w:t>4.2 Data architecture and schema</w:t>
            </w:r>
            <w:r>
              <w:rPr>
                <w:noProof/>
                <w:webHidden/>
              </w:rPr>
              <w:tab/>
            </w:r>
            <w:r>
              <w:rPr>
                <w:noProof/>
                <w:webHidden/>
              </w:rPr>
              <w:fldChar w:fldCharType="begin"/>
            </w:r>
            <w:r>
              <w:rPr>
                <w:noProof/>
                <w:webHidden/>
              </w:rPr>
              <w:instrText xml:space="preserve"> PAGEREF _Toc243432491 \h </w:instrText>
            </w:r>
            <w:r>
              <w:rPr>
                <w:noProof/>
                <w:webHidden/>
              </w:rPr>
            </w:r>
            <w:r>
              <w:rPr>
                <w:noProof/>
                <w:webHidden/>
              </w:rPr>
              <w:fldChar w:fldCharType="separate"/>
            </w:r>
            <w:r>
              <w:rPr>
                <w:noProof/>
                <w:webHidden/>
              </w:rPr>
              <w:t>9</w:t>
            </w:r>
            <w:r>
              <w:rPr>
                <w:noProof/>
                <w:webHidden/>
              </w:rPr>
              <w:fldChar w:fldCharType="end"/>
            </w:r>
          </w:hyperlink>
        </w:p>
        <w:p w14:paraId="0B9FB1FA" w14:textId="50D2B264" w:rsidR="00C20FEB" w:rsidRDefault="00C20FEB">
          <w:pPr>
            <w:pStyle w:val="TOC2"/>
            <w:tabs>
              <w:tab w:val="right" w:leader="dot" w:pos="9350"/>
            </w:tabs>
            <w:rPr>
              <w:noProof/>
            </w:rPr>
          </w:pPr>
          <w:hyperlink w:anchor="_Toc243432492" w:history="1">
            <w:r w:rsidRPr="001D65EF">
              <w:rPr>
                <w:rStyle w:val="Hyperlink"/>
                <w:noProof/>
              </w:rPr>
              <w:t>4.3 Data sources and features</w:t>
            </w:r>
            <w:r>
              <w:rPr>
                <w:noProof/>
                <w:webHidden/>
              </w:rPr>
              <w:tab/>
            </w:r>
            <w:r>
              <w:rPr>
                <w:noProof/>
                <w:webHidden/>
              </w:rPr>
              <w:fldChar w:fldCharType="begin"/>
            </w:r>
            <w:r>
              <w:rPr>
                <w:noProof/>
                <w:webHidden/>
              </w:rPr>
              <w:instrText xml:space="preserve"> PAGEREF _Toc243432492 \h </w:instrText>
            </w:r>
            <w:r>
              <w:rPr>
                <w:noProof/>
                <w:webHidden/>
              </w:rPr>
            </w:r>
            <w:r>
              <w:rPr>
                <w:noProof/>
                <w:webHidden/>
              </w:rPr>
              <w:fldChar w:fldCharType="separate"/>
            </w:r>
            <w:r>
              <w:rPr>
                <w:noProof/>
                <w:webHidden/>
              </w:rPr>
              <w:t>10</w:t>
            </w:r>
            <w:r>
              <w:rPr>
                <w:noProof/>
                <w:webHidden/>
              </w:rPr>
              <w:fldChar w:fldCharType="end"/>
            </w:r>
          </w:hyperlink>
        </w:p>
        <w:p w14:paraId="087B68B0" w14:textId="67E296BF" w:rsidR="00C20FEB" w:rsidRDefault="00C20FEB">
          <w:pPr>
            <w:pStyle w:val="TOC2"/>
            <w:tabs>
              <w:tab w:val="right" w:leader="dot" w:pos="9350"/>
            </w:tabs>
            <w:rPr>
              <w:noProof/>
            </w:rPr>
          </w:pPr>
          <w:hyperlink w:anchor="_Toc243432493" w:history="1">
            <w:r w:rsidRPr="001D65EF">
              <w:rPr>
                <w:rStyle w:val="Hyperlink"/>
                <w:noProof/>
              </w:rPr>
              <w:t>4.4 Data preparation</w:t>
            </w:r>
            <w:r>
              <w:rPr>
                <w:noProof/>
                <w:webHidden/>
              </w:rPr>
              <w:tab/>
            </w:r>
            <w:r>
              <w:rPr>
                <w:noProof/>
                <w:webHidden/>
              </w:rPr>
              <w:fldChar w:fldCharType="begin"/>
            </w:r>
            <w:r>
              <w:rPr>
                <w:noProof/>
                <w:webHidden/>
              </w:rPr>
              <w:instrText xml:space="preserve"> PAGEREF _Toc243432493 \h </w:instrText>
            </w:r>
            <w:r>
              <w:rPr>
                <w:noProof/>
                <w:webHidden/>
              </w:rPr>
            </w:r>
            <w:r>
              <w:rPr>
                <w:noProof/>
                <w:webHidden/>
              </w:rPr>
              <w:fldChar w:fldCharType="separate"/>
            </w:r>
            <w:r>
              <w:rPr>
                <w:noProof/>
                <w:webHidden/>
              </w:rPr>
              <w:t>11</w:t>
            </w:r>
            <w:r>
              <w:rPr>
                <w:noProof/>
                <w:webHidden/>
              </w:rPr>
              <w:fldChar w:fldCharType="end"/>
            </w:r>
          </w:hyperlink>
        </w:p>
        <w:p w14:paraId="016BE981" w14:textId="6806B81B" w:rsidR="00C20FEB" w:rsidRDefault="00C20FEB">
          <w:pPr>
            <w:pStyle w:val="TOC2"/>
            <w:tabs>
              <w:tab w:val="right" w:leader="dot" w:pos="9350"/>
            </w:tabs>
            <w:rPr>
              <w:noProof/>
            </w:rPr>
          </w:pPr>
          <w:hyperlink w:anchor="_Toc243432494" w:history="1">
            <w:r w:rsidRPr="001D65EF">
              <w:rPr>
                <w:rStyle w:val="Hyperlink"/>
                <w:noProof/>
              </w:rPr>
              <w:t>4.5 Exploratory analysis and leakage checks</w:t>
            </w:r>
            <w:r>
              <w:rPr>
                <w:noProof/>
                <w:webHidden/>
              </w:rPr>
              <w:tab/>
            </w:r>
            <w:r>
              <w:rPr>
                <w:noProof/>
                <w:webHidden/>
              </w:rPr>
              <w:fldChar w:fldCharType="begin"/>
            </w:r>
            <w:r>
              <w:rPr>
                <w:noProof/>
                <w:webHidden/>
              </w:rPr>
              <w:instrText xml:space="preserve"> PAGEREF _Toc243432494 \h </w:instrText>
            </w:r>
            <w:r>
              <w:rPr>
                <w:noProof/>
                <w:webHidden/>
              </w:rPr>
            </w:r>
            <w:r>
              <w:rPr>
                <w:noProof/>
                <w:webHidden/>
              </w:rPr>
              <w:fldChar w:fldCharType="separate"/>
            </w:r>
            <w:r>
              <w:rPr>
                <w:noProof/>
                <w:webHidden/>
              </w:rPr>
              <w:t>11</w:t>
            </w:r>
            <w:r>
              <w:rPr>
                <w:noProof/>
                <w:webHidden/>
              </w:rPr>
              <w:fldChar w:fldCharType="end"/>
            </w:r>
          </w:hyperlink>
        </w:p>
        <w:p w14:paraId="23E9AADE" w14:textId="61986A9B" w:rsidR="00C20FEB" w:rsidRDefault="00C20FEB">
          <w:pPr>
            <w:pStyle w:val="TOC2"/>
            <w:tabs>
              <w:tab w:val="right" w:leader="dot" w:pos="9350"/>
            </w:tabs>
            <w:rPr>
              <w:noProof/>
            </w:rPr>
          </w:pPr>
          <w:hyperlink w:anchor="_Toc243432495" w:history="1">
            <w:r w:rsidRPr="001D65EF">
              <w:rPr>
                <w:rStyle w:val="Hyperlink"/>
                <w:noProof/>
              </w:rPr>
              <w:t>4.6 Example data extract</w:t>
            </w:r>
            <w:r>
              <w:rPr>
                <w:noProof/>
                <w:webHidden/>
              </w:rPr>
              <w:tab/>
            </w:r>
            <w:r>
              <w:rPr>
                <w:noProof/>
                <w:webHidden/>
              </w:rPr>
              <w:fldChar w:fldCharType="begin"/>
            </w:r>
            <w:r>
              <w:rPr>
                <w:noProof/>
                <w:webHidden/>
              </w:rPr>
              <w:instrText xml:space="preserve"> PAGEREF _Toc243432495 \h </w:instrText>
            </w:r>
            <w:r>
              <w:rPr>
                <w:noProof/>
                <w:webHidden/>
              </w:rPr>
            </w:r>
            <w:r>
              <w:rPr>
                <w:noProof/>
                <w:webHidden/>
              </w:rPr>
              <w:fldChar w:fldCharType="separate"/>
            </w:r>
            <w:r>
              <w:rPr>
                <w:noProof/>
                <w:webHidden/>
              </w:rPr>
              <w:t>12</w:t>
            </w:r>
            <w:r>
              <w:rPr>
                <w:noProof/>
                <w:webHidden/>
              </w:rPr>
              <w:fldChar w:fldCharType="end"/>
            </w:r>
          </w:hyperlink>
        </w:p>
        <w:p w14:paraId="564CD88C" w14:textId="13BECBAE" w:rsidR="00C20FEB" w:rsidRDefault="00C20FEB">
          <w:pPr>
            <w:pStyle w:val="TOC2"/>
            <w:tabs>
              <w:tab w:val="right" w:leader="dot" w:pos="9350"/>
            </w:tabs>
            <w:rPr>
              <w:noProof/>
            </w:rPr>
          </w:pPr>
          <w:hyperlink w:anchor="_Toc243432496" w:history="1">
            <w:r w:rsidRPr="001D65EF">
              <w:rPr>
                <w:rStyle w:val="Hyperlink"/>
                <w:noProof/>
              </w:rPr>
              <w:t>4.7 Integration challenges</w:t>
            </w:r>
            <w:r>
              <w:rPr>
                <w:noProof/>
                <w:webHidden/>
              </w:rPr>
              <w:tab/>
            </w:r>
            <w:r>
              <w:rPr>
                <w:noProof/>
                <w:webHidden/>
              </w:rPr>
              <w:fldChar w:fldCharType="begin"/>
            </w:r>
            <w:r>
              <w:rPr>
                <w:noProof/>
                <w:webHidden/>
              </w:rPr>
              <w:instrText xml:space="preserve"> PAGEREF _Toc243432496 \h </w:instrText>
            </w:r>
            <w:r>
              <w:rPr>
                <w:noProof/>
                <w:webHidden/>
              </w:rPr>
            </w:r>
            <w:r>
              <w:rPr>
                <w:noProof/>
                <w:webHidden/>
              </w:rPr>
              <w:fldChar w:fldCharType="separate"/>
            </w:r>
            <w:r>
              <w:rPr>
                <w:noProof/>
                <w:webHidden/>
              </w:rPr>
              <w:t>12</w:t>
            </w:r>
            <w:r>
              <w:rPr>
                <w:noProof/>
                <w:webHidden/>
              </w:rPr>
              <w:fldChar w:fldCharType="end"/>
            </w:r>
          </w:hyperlink>
        </w:p>
        <w:p w14:paraId="5D1C464A" w14:textId="0D082EB2" w:rsidR="00C20FEB" w:rsidRDefault="00C20FEB">
          <w:pPr>
            <w:pStyle w:val="TOC2"/>
            <w:tabs>
              <w:tab w:val="right" w:leader="dot" w:pos="9350"/>
            </w:tabs>
            <w:rPr>
              <w:noProof/>
            </w:rPr>
          </w:pPr>
          <w:hyperlink w:anchor="_Toc243432497" w:history="1">
            <w:r w:rsidRPr="001D65EF">
              <w:rPr>
                <w:rStyle w:val="Hyperlink"/>
                <w:noProof/>
              </w:rPr>
              <w:t>4.8 Privacy and ethics</w:t>
            </w:r>
            <w:r>
              <w:rPr>
                <w:noProof/>
                <w:webHidden/>
              </w:rPr>
              <w:tab/>
            </w:r>
            <w:r>
              <w:rPr>
                <w:noProof/>
                <w:webHidden/>
              </w:rPr>
              <w:fldChar w:fldCharType="begin"/>
            </w:r>
            <w:r>
              <w:rPr>
                <w:noProof/>
                <w:webHidden/>
              </w:rPr>
              <w:instrText xml:space="preserve"> PAGEREF _Toc243432497 \h </w:instrText>
            </w:r>
            <w:r>
              <w:rPr>
                <w:noProof/>
                <w:webHidden/>
              </w:rPr>
            </w:r>
            <w:r>
              <w:rPr>
                <w:noProof/>
                <w:webHidden/>
              </w:rPr>
              <w:fldChar w:fldCharType="separate"/>
            </w:r>
            <w:r>
              <w:rPr>
                <w:noProof/>
                <w:webHidden/>
              </w:rPr>
              <w:t>13</w:t>
            </w:r>
            <w:r>
              <w:rPr>
                <w:noProof/>
                <w:webHidden/>
              </w:rPr>
              <w:fldChar w:fldCharType="end"/>
            </w:r>
          </w:hyperlink>
        </w:p>
        <w:p w14:paraId="20C17BB9" w14:textId="6A919743" w:rsidR="00C20FEB" w:rsidRDefault="00C20FEB">
          <w:pPr>
            <w:pStyle w:val="TOC1"/>
            <w:tabs>
              <w:tab w:val="left" w:pos="480"/>
              <w:tab w:val="right" w:leader="dot" w:pos="9350"/>
            </w:tabs>
            <w:rPr>
              <w:noProof/>
            </w:rPr>
          </w:pPr>
          <w:hyperlink w:anchor="_Toc243432498" w:history="1">
            <w:r w:rsidRPr="001D65EF">
              <w:rPr>
                <w:rStyle w:val="Hyperlink"/>
                <w:noProof/>
              </w:rPr>
              <w:t>5.</w:t>
            </w:r>
            <w:r>
              <w:rPr>
                <w:noProof/>
              </w:rPr>
              <w:tab/>
            </w:r>
            <w:r w:rsidRPr="001D65EF">
              <w:rPr>
                <w:rStyle w:val="Hyperlink"/>
                <w:noProof/>
              </w:rPr>
              <w:t>Method</w:t>
            </w:r>
            <w:r>
              <w:rPr>
                <w:noProof/>
                <w:webHidden/>
              </w:rPr>
              <w:tab/>
            </w:r>
            <w:r>
              <w:rPr>
                <w:noProof/>
                <w:webHidden/>
              </w:rPr>
              <w:fldChar w:fldCharType="begin"/>
            </w:r>
            <w:r>
              <w:rPr>
                <w:noProof/>
                <w:webHidden/>
              </w:rPr>
              <w:instrText xml:space="preserve"> PAGEREF _Toc243432498 \h </w:instrText>
            </w:r>
            <w:r>
              <w:rPr>
                <w:noProof/>
                <w:webHidden/>
              </w:rPr>
            </w:r>
            <w:r>
              <w:rPr>
                <w:noProof/>
                <w:webHidden/>
              </w:rPr>
              <w:fldChar w:fldCharType="separate"/>
            </w:r>
            <w:r>
              <w:rPr>
                <w:noProof/>
                <w:webHidden/>
              </w:rPr>
              <w:t>13</w:t>
            </w:r>
            <w:r>
              <w:rPr>
                <w:noProof/>
                <w:webHidden/>
              </w:rPr>
              <w:fldChar w:fldCharType="end"/>
            </w:r>
          </w:hyperlink>
        </w:p>
        <w:p w14:paraId="39B41ED5" w14:textId="2CE13889" w:rsidR="00C20FEB" w:rsidRDefault="00C20FEB">
          <w:pPr>
            <w:pStyle w:val="TOC2"/>
            <w:tabs>
              <w:tab w:val="right" w:leader="dot" w:pos="9350"/>
            </w:tabs>
            <w:rPr>
              <w:noProof/>
            </w:rPr>
          </w:pPr>
          <w:hyperlink w:anchor="_Toc243432499" w:history="1">
            <w:r w:rsidRPr="001D65EF">
              <w:rPr>
                <w:rStyle w:val="Hyperlink"/>
                <w:noProof/>
              </w:rPr>
              <w:t>5.1. Method 1: Cancellation Risk Prediction (ML)</w:t>
            </w:r>
            <w:r>
              <w:rPr>
                <w:noProof/>
                <w:webHidden/>
              </w:rPr>
              <w:tab/>
            </w:r>
            <w:r>
              <w:rPr>
                <w:noProof/>
                <w:webHidden/>
              </w:rPr>
              <w:fldChar w:fldCharType="begin"/>
            </w:r>
            <w:r>
              <w:rPr>
                <w:noProof/>
                <w:webHidden/>
              </w:rPr>
              <w:instrText xml:space="preserve"> PAGEREF _Toc243432499 \h </w:instrText>
            </w:r>
            <w:r>
              <w:rPr>
                <w:noProof/>
                <w:webHidden/>
              </w:rPr>
            </w:r>
            <w:r>
              <w:rPr>
                <w:noProof/>
                <w:webHidden/>
              </w:rPr>
              <w:fldChar w:fldCharType="separate"/>
            </w:r>
            <w:r>
              <w:rPr>
                <w:noProof/>
                <w:webHidden/>
              </w:rPr>
              <w:t>13</w:t>
            </w:r>
            <w:r>
              <w:rPr>
                <w:noProof/>
                <w:webHidden/>
              </w:rPr>
              <w:fldChar w:fldCharType="end"/>
            </w:r>
          </w:hyperlink>
        </w:p>
        <w:p w14:paraId="4E0F94D0" w14:textId="34227B01" w:rsidR="00C20FEB" w:rsidRDefault="00C20FEB">
          <w:pPr>
            <w:pStyle w:val="TOC3"/>
            <w:tabs>
              <w:tab w:val="right" w:leader="dot" w:pos="9350"/>
            </w:tabs>
            <w:rPr>
              <w:noProof/>
            </w:rPr>
          </w:pPr>
          <w:hyperlink w:anchor="_Toc243432500" w:history="1">
            <w:r w:rsidRPr="001D65EF">
              <w:rPr>
                <w:rStyle w:val="Hyperlink"/>
                <w:noProof/>
              </w:rPr>
              <w:t>5.1.1. Purpose and scope</w:t>
            </w:r>
            <w:r>
              <w:rPr>
                <w:noProof/>
                <w:webHidden/>
              </w:rPr>
              <w:tab/>
            </w:r>
            <w:r>
              <w:rPr>
                <w:noProof/>
                <w:webHidden/>
              </w:rPr>
              <w:fldChar w:fldCharType="begin"/>
            </w:r>
            <w:r>
              <w:rPr>
                <w:noProof/>
                <w:webHidden/>
              </w:rPr>
              <w:instrText xml:space="preserve"> PAGEREF _Toc243432500 \h </w:instrText>
            </w:r>
            <w:r>
              <w:rPr>
                <w:noProof/>
                <w:webHidden/>
              </w:rPr>
            </w:r>
            <w:r>
              <w:rPr>
                <w:noProof/>
                <w:webHidden/>
              </w:rPr>
              <w:fldChar w:fldCharType="separate"/>
            </w:r>
            <w:r>
              <w:rPr>
                <w:noProof/>
                <w:webHidden/>
              </w:rPr>
              <w:t>13</w:t>
            </w:r>
            <w:r>
              <w:rPr>
                <w:noProof/>
                <w:webHidden/>
              </w:rPr>
              <w:fldChar w:fldCharType="end"/>
            </w:r>
          </w:hyperlink>
        </w:p>
        <w:p w14:paraId="46CCDBAF" w14:textId="01C11CD5" w:rsidR="00C20FEB" w:rsidRDefault="00C20FEB">
          <w:pPr>
            <w:pStyle w:val="TOC3"/>
            <w:tabs>
              <w:tab w:val="right" w:leader="dot" w:pos="9350"/>
            </w:tabs>
            <w:rPr>
              <w:noProof/>
            </w:rPr>
          </w:pPr>
          <w:hyperlink w:anchor="_Toc243432501" w:history="1">
            <w:r w:rsidRPr="001D65EF">
              <w:rPr>
                <w:rStyle w:val="Hyperlink"/>
                <w:noProof/>
              </w:rPr>
              <w:t>5.1.2. Analytical design</w:t>
            </w:r>
            <w:r>
              <w:rPr>
                <w:noProof/>
                <w:webHidden/>
              </w:rPr>
              <w:tab/>
            </w:r>
            <w:r>
              <w:rPr>
                <w:noProof/>
                <w:webHidden/>
              </w:rPr>
              <w:fldChar w:fldCharType="begin"/>
            </w:r>
            <w:r>
              <w:rPr>
                <w:noProof/>
                <w:webHidden/>
              </w:rPr>
              <w:instrText xml:space="preserve"> PAGEREF _Toc243432501 \h </w:instrText>
            </w:r>
            <w:r>
              <w:rPr>
                <w:noProof/>
                <w:webHidden/>
              </w:rPr>
            </w:r>
            <w:r>
              <w:rPr>
                <w:noProof/>
                <w:webHidden/>
              </w:rPr>
              <w:fldChar w:fldCharType="separate"/>
            </w:r>
            <w:r>
              <w:rPr>
                <w:noProof/>
                <w:webHidden/>
              </w:rPr>
              <w:t>13</w:t>
            </w:r>
            <w:r>
              <w:rPr>
                <w:noProof/>
                <w:webHidden/>
              </w:rPr>
              <w:fldChar w:fldCharType="end"/>
            </w:r>
          </w:hyperlink>
        </w:p>
        <w:p w14:paraId="3C14A689" w14:textId="6DC0A0A6" w:rsidR="00C20FEB" w:rsidRDefault="00C20FEB">
          <w:pPr>
            <w:pStyle w:val="TOC3"/>
            <w:tabs>
              <w:tab w:val="right" w:leader="dot" w:pos="9350"/>
            </w:tabs>
            <w:rPr>
              <w:noProof/>
            </w:rPr>
          </w:pPr>
          <w:hyperlink w:anchor="_Toc243432502" w:history="1">
            <w:r w:rsidRPr="001D65EF">
              <w:rPr>
                <w:rStyle w:val="Hyperlink"/>
                <w:noProof/>
              </w:rPr>
              <w:t>5.1.3. Prototype analysis (mock results)</w:t>
            </w:r>
            <w:r>
              <w:rPr>
                <w:noProof/>
                <w:webHidden/>
              </w:rPr>
              <w:tab/>
            </w:r>
            <w:r>
              <w:rPr>
                <w:noProof/>
                <w:webHidden/>
              </w:rPr>
              <w:fldChar w:fldCharType="begin"/>
            </w:r>
            <w:r>
              <w:rPr>
                <w:noProof/>
                <w:webHidden/>
              </w:rPr>
              <w:instrText xml:space="preserve"> PAGEREF _Toc243432502 \h </w:instrText>
            </w:r>
            <w:r>
              <w:rPr>
                <w:noProof/>
                <w:webHidden/>
              </w:rPr>
            </w:r>
            <w:r>
              <w:rPr>
                <w:noProof/>
                <w:webHidden/>
              </w:rPr>
              <w:fldChar w:fldCharType="separate"/>
            </w:r>
            <w:r>
              <w:rPr>
                <w:noProof/>
                <w:webHidden/>
              </w:rPr>
              <w:t>15</w:t>
            </w:r>
            <w:r>
              <w:rPr>
                <w:noProof/>
                <w:webHidden/>
              </w:rPr>
              <w:fldChar w:fldCharType="end"/>
            </w:r>
          </w:hyperlink>
        </w:p>
        <w:p w14:paraId="7F45A710" w14:textId="55D45730" w:rsidR="00C20FEB" w:rsidRDefault="00C20FEB">
          <w:pPr>
            <w:pStyle w:val="TOC3"/>
            <w:tabs>
              <w:tab w:val="right" w:leader="dot" w:pos="9350"/>
            </w:tabs>
            <w:rPr>
              <w:noProof/>
            </w:rPr>
          </w:pPr>
          <w:hyperlink w:anchor="_Toc243432503" w:history="1">
            <w:r w:rsidRPr="001D65EF">
              <w:rPr>
                <w:rStyle w:val="Hyperlink"/>
                <w:noProof/>
              </w:rPr>
              <w:t>5.1.4. Evaluation plan:</w:t>
            </w:r>
            <w:r>
              <w:rPr>
                <w:noProof/>
                <w:webHidden/>
              </w:rPr>
              <w:tab/>
            </w:r>
            <w:r>
              <w:rPr>
                <w:noProof/>
                <w:webHidden/>
              </w:rPr>
              <w:fldChar w:fldCharType="begin"/>
            </w:r>
            <w:r>
              <w:rPr>
                <w:noProof/>
                <w:webHidden/>
              </w:rPr>
              <w:instrText xml:space="preserve"> PAGEREF _Toc243432503 \h </w:instrText>
            </w:r>
            <w:r>
              <w:rPr>
                <w:noProof/>
                <w:webHidden/>
              </w:rPr>
            </w:r>
            <w:r>
              <w:rPr>
                <w:noProof/>
                <w:webHidden/>
              </w:rPr>
              <w:fldChar w:fldCharType="separate"/>
            </w:r>
            <w:r>
              <w:rPr>
                <w:noProof/>
                <w:webHidden/>
              </w:rPr>
              <w:t>15</w:t>
            </w:r>
            <w:r>
              <w:rPr>
                <w:noProof/>
                <w:webHidden/>
              </w:rPr>
              <w:fldChar w:fldCharType="end"/>
            </w:r>
          </w:hyperlink>
        </w:p>
        <w:p w14:paraId="2E271417" w14:textId="7C9E5BD5" w:rsidR="00C20FEB" w:rsidRDefault="00C20FEB">
          <w:pPr>
            <w:pStyle w:val="TOC2"/>
            <w:tabs>
              <w:tab w:val="right" w:leader="dot" w:pos="9350"/>
            </w:tabs>
            <w:rPr>
              <w:noProof/>
            </w:rPr>
          </w:pPr>
          <w:hyperlink w:anchor="_Toc243432504" w:history="1">
            <w:r w:rsidRPr="001D65EF">
              <w:rPr>
                <w:rStyle w:val="Hyperlink"/>
                <w:noProof/>
              </w:rPr>
              <w:t>5.2. Method 2: Risk-Based Decision Rules and Business Value</w:t>
            </w:r>
            <w:r>
              <w:rPr>
                <w:noProof/>
                <w:webHidden/>
              </w:rPr>
              <w:tab/>
            </w:r>
            <w:r>
              <w:rPr>
                <w:noProof/>
                <w:webHidden/>
              </w:rPr>
              <w:fldChar w:fldCharType="begin"/>
            </w:r>
            <w:r>
              <w:rPr>
                <w:noProof/>
                <w:webHidden/>
              </w:rPr>
              <w:instrText xml:space="preserve"> PAGEREF _Toc243432504 \h </w:instrText>
            </w:r>
            <w:r>
              <w:rPr>
                <w:noProof/>
                <w:webHidden/>
              </w:rPr>
            </w:r>
            <w:r>
              <w:rPr>
                <w:noProof/>
                <w:webHidden/>
              </w:rPr>
              <w:fldChar w:fldCharType="separate"/>
            </w:r>
            <w:r>
              <w:rPr>
                <w:noProof/>
                <w:webHidden/>
              </w:rPr>
              <w:t>17</w:t>
            </w:r>
            <w:r>
              <w:rPr>
                <w:noProof/>
                <w:webHidden/>
              </w:rPr>
              <w:fldChar w:fldCharType="end"/>
            </w:r>
          </w:hyperlink>
        </w:p>
        <w:p w14:paraId="2C3A72D3" w14:textId="49D86EF3" w:rsidR="00C20FEB" w:rsidRDefault="00C20FEB">
          <w:pPr>
            <w:pStyle w:val="TOC3"/>
            <w:tabs>
              <w:tab w:val="right" w:leader="dot" w:pos="9350"/>
            </w:tabs>
            <w:rPr>
              <w:noProof/>
            </w:rPr>
          </w:pPr>
          <w:hyperlink w:anchor="_Toc243432505" w:history="1">
            <w:r w:rsidRPr="001D65EF">
              <w:rPr>
                <w:rStyle w:val="Hyperlink"/>
                <w:noProof/>
              </w:rPr>
              <w:t>5.2.1. Purpose and scope</w:t>
            </w:r>
            <w:r>
              <w:rPr>
                <w:noProof/>
                <w:webHidden/>
              </w:rPr>
              <w:tab/>
            </w:r>
            <w:r>
              <w:rPr>
                <w:noProof/>
                <w:webHidden/>
              </w:rPr>
              <w:fldChar w:fldCharType="begin"/>
            </w:r>
            <w:r>
              <w:rPr>
                <w:noProof/>
                <w:webHidden/>
              </w:rPr>
              <w:instrText xml:space="preserve"> PAGEREF _Toc243432505 \h </w:instrText>
            </w:r>
            <w:r>
              <w:rPr>
                <w:noProof/>
                <w:webHidden/>
              </w:rPr>
            </w:r>
            <w:r>
              <w:rPr>
                <w:noProof/>
                <w:webHidden/>
              </w:rPr>
              <w:fldChar w:fldCharType="separate"/>
            </w:r>
            <w:r>
              <w:rPr>
                <w:noProof/>
                <w:webHidden/>
              </w:rPr>
              <w:t>17</w:t>
            </w:r>
            <w:r>
              <w:rPr>
                <w:noProof/>
                <w:webHidden/>
              </w:rPr>
              <w:fldChar w:fldCharType="end"/>
            </w:r>
          </w:hyperlink>
        </w:p>
        <w:p w14:paraId="5953D288" w14:textId="23727438" w:rsidR="00C20FEB" w:rsidRDefault="00C20FEB">
          <w:pPr>
            <w:pStyle w:val="TOC3"/>
            <w:tabs>
              <w:tab w:val="right" w:leader="dot" w:pos="9350"/>
            </w:tabs>
            <w:rPr>
              <w:noProof/>
            </w:rPr>
          </w:pPr>
          <w:hyperlink w:anchor="_Toc243432506" w:history="1">
            <w:r w:rsidRPr="001D65EF">
              <w:rPr>
                <w:rStyle w:val="Hyperlink"/>
                <w:noProof/>
              </w:rPr>
              <w:t>5.2.2. Analytical design</w:t>
            </w:r>
            <w:r>
              <w:rPr>
                <w:noProof/>
                <w:webHidden/>
              </w:rPr>
              <w:tab/>
            </w:r>
            <w:r>
              <w:rPr>
                <w:noProof/>
                <w:webHidden/>
              </w:rPr>
              <w:fldChar w:fldCharType="begin"/>
            </w:r>
            <w:r>
              <w:rPr>
                <w:noProof/>
                <w:webHidden/>
              </w:rPr>
              <w:instrText xml:space="preserve"> PAGEREF _Toc243432506 \h </w:instrText>
            </w:r>
            <w:r>
              <w:rPr>
                <w:noProof/>
                <w:webHidden/>
              </w:rPr>
            </w:r>
            <w:r>
              <w:rPr>
                <w:noProof/>
                <w:webHidden/>
              </w:rPr>
              <w:fldChar w:fldCharType="separate"/>
            </w:r>
            <w:r>
              <w:rPr>
                <w:noProof/>
                <w:webHidden/>
              </w:rPr>
              <w:t>17</w:t>
            </w:r>
            <w:r>
              <w:rPr>
                <w:noProof/>
                <w:webHidden/>
              </w:rPr>
              <w:fldChar w:fldCharType="end"/>
            </w:r>
          </w:hyperlink>
        </w:p>
        <w:p w14:paraId="7FC088FD" w14:textId="741F94B1" w:rsidR="00C20FEB" w:rsidRDefault="00C20FEB">
          <w:pPr>
            <w:pStyle w:val="TOC3"/>
            <w:tabs>
              <w:tab w:val="right" w:leader="dot" w:pos="9350"/>
            </w:tabs>
            <w:rPr>
              <w:noProof/>
            </w:rPr>
          </w:pPr>
          <w:hyperlink w:anchor="_Toc243432507" w:history="1">
            <w:r w:rsidRPr="001D65EF">
              <w:rPr>
                <w:rStyle w:val="Hyperlink"/>
                <w:noProof/>
              </w:rPr>
              <w:t>5.2.3. Prototype analysis (mock results)</w:t>
            </w:r>
            <w:r>
              <w:rPr>
                <w:noProof/>
                <w:webHidden/>
              </w:rPr>
              <w:tab/>
            </w:r>
            <w:r>
              <w:rPr>
                <w:noProof/>
                <w:webHidden/>
              </w:rPr>
              <w:fldChar w:fldCharType="begin"/>
            </w:r>
            <w:r>
              <w:rPr>
                <w:noProof/>
                <w:webHidden/>
              </w:rPr>
              <w:instrText xml:space="preserve"> PAGEREF _Toc243432507 \h </w:instrText>
            </w:r>
            <w:r>
              <w:rPr>
                <w:noProof/>
                <w:webHidden/>
              </w:rPr>
            </w:r>
            <w:r>
              <w:rPr>
                <w:noProof/>
                <w:webHidden/>
              </w:rPr>
              <w:fldChar w:fldCharType="separate"/>
            </w:r>
            <w:r>
              <w:rPr>
                <w:noProof/>
                <w:webHidden/>
              </w:rPr>
              <w:t>20</w:t>
            </w:r>
            <w:r>
              <w:rPr>
                <w:noProof/>
                <w:webHidden/>
              </w:rPr>
              <w:fldChar w:fldCharType="end"/>
            </w:r>
          </w:hyperlink>
        </w:p>
        <w:p w14:paraId="18544D18" w14:textId="3C3EAD57" w:rsidR="00C20FEB" w:rsidRDefault="00C20FEB">
          <w:pPr>
            <w:pStyle w:val="TOC3"/>
            <w:tabs>
              <w:tab w:val="right" w:leader="dot" w:pos="9350"/>
            </w:tabs>
            <w:rPr>
              <w:noProof/>
            </w:rPr>
          </w:pPr>
          <w:hyperlink w:anchor="_Toc243432508" w:history="1">
            <w:r w:rsidRPr="001D65EF">
              <w:rPr>
                <w:rStyle w:val="Hyperlink"/>
                <w:noProof/>
              </w:rPr>
              <w:t>5.2.4. Evaluation plan</w:t>
            </w:r>
            <w:r>
              <w:rPr>
                <w:noProof/>
                <w:webHidden/>
              </w:rPr>
              <w:tab/>
            </w:r>
            <w:r>
              <w:rPr>
                <w:noProof/>
                <w:webHidden/>
              </w:rPr>
              <w:fldChar w:fldCharType="begin"/>
            </w:r>
            <w:r>
              <w:rPr>
                <w:noProof/>
                <w:webHidden/>
              </w:rPr>
              <w:instrText xml:space="preserve"> PAGEREF _Toc243432508 \h </w:instrText>
            </w:r>
            <w:r>
              <w:rPr>
                <w:noProof/>
                <w:webHidden/>
              </w:rPr>
            </w:r>
            <w:r>
              <w:rPr>
                <w:noProof/>
                <w:webHidden/>
              </w:rPr>
              <w:fldChar w:fldCharType="separate"/>
            </w:r>
            <w:r>
              <w:rPr>
                <w:noProof/>
                <w:webHidden/>
              </w:rPr>
              <w:t>22</w:t>
            </w:r>
            <w:r>
              <w:rPr>
                <w:noProof/>
                <w:webHidden/>
              </w:rPr>
              <w:fldChar w:fldCharType="end"/>
            </w:r>
          </w:hyperlink>
        </w:p>
        <w:p w14:paraId="751E5CDE" w14:textId="6F4EC84B" w:rsidR="00C20FEB" w:rsidRDefault="00C20FEB">
          <w:pPr>
            <w:pStyle w:val="TOC1"/>
            <w:tabs>
              <w:tab w:val="right" w:leader="dot" w:pos="9350"/>
            </w:tabs>
            <w:rPr>
              <w:noProof/>
            </w:rPr>
          </w:pPr>
          <w:hyperlink w:anchor="_Toc243432509" w:history="1">
            <w:r w:rsidRPr="001D65EF">
              <w:rPr>
                <w:rStyle w:val="Hyperlink"/>
                <w:noProof/>
              </w:rPr>
              <w:t>REFERENCES</w:t>
            </w:r>
            <w:r>
              <w:rPr>
                <w:noProof/>
                <w:webHidden/>
              </w:rPr>
              <w:tab/>
            </w:r>
            <w:r>
              <w:rPr>
                <w:noProof/>
                <w:webHidden/>
              </w:rPr>
              <w:fldChar w:fldCharType="begin"/>
            </w:r>
            <w:r>
              <w:rPr>
                <w:noProof/>
                <w:webHidden/>
              </w:rPr>
              <w:instrText xml:space="preserve"> PAGEREF _Toc243432509 \h </w:instrText>
            </w:r>
            <w:r>
              <w:rPr>
                <w:noProof/>
                <w:webHidden/>
              </w:rPr>
            </w:r>
            <w:r>
              <w:rPr>
                <w:noProof/>
                <w:webHidden/>
              </w:rPr>
              <w:fldChar w:fldCharType="separate"/>
            </w:r>
            <w:r>
              <w:rPr>
                <w:noProof/>
                <w:webHidden/>
              </w:rPr>
              <w:t>23</w:t>
            </w:r>
            <w:r>
              <w:rPr>
                <w:noProof/>
                <w:webHidden/>
              </w:rPr>
              <w:fldChar w:fldCharType="end"/>
            </w:r>
          </w:hyperlink>
        </w:p>
        <w:p w14:paraId="730C84B8" w14:textId="28DDB7F8" w:rsidR="00FE41A1" w:rsidRDefault="00C20FEB">
          <w:pPr>
            <w:widowControl w:val="0"/>
            <w:tabs>
              <w:tab w:val="right" w:leader="dot" w:pos="12000"/>
            </w:tabs>
            <w:spacing w:before="60"/>
            <w:rPr>
              <w:rFonts w:ascii="Times New Roman" w:eastAsia="Times New Roman" w:hAnsi="Times New Roman" w:cs="Times New Roman"/>
              <w:b/>
              <w:bCs/>
              <w:color w:val="000000"/>
              <w:sz w:val="22"/>
              <w:szCs w:val="22"/>
            </w:rPr>
          </w:pPr>
          <w:r>
            <w:fldChar w:fldCharType="end"/>
          </w:r>
        </w:p>
      </w:sdtContent>
    </w:sdt>
    <w:p w14:paraId="424C766A" w14:textId="77777777" w:rsidR="00FE41A1" w:rsidRDefault="00C20FEB">
      <w:pPr>
        <w:pStyle w:val="Heading1"/>
        <w:ind w:left="0"/>
      </w:pPr>
      <w:r>
        <w:br w:type="page"/>
      </w:r>
    </w:p>
    <w:p w14:paraId="0A6785D2" w14:textId="77777777" w:rsidR="00FE41A1" w:rsidRDefault="00C20FEB">
      <w:pPr>
        <w:pStyle w:val="Heading1"/>
        <w:numPr>
          <w:ilvl w:val="0"/>
          <w:numId w:val="13"/>
        </w:numPr>
      </w:pPr>
      <w:bookmarkStart w:id="0" w:name="_Toc243432480"/>
      <w:r>
        <w:lastRenderedPageBreak/>
        <w:t>Strategic Problem Statement</w:t>
      </w:r>
      <w:bookmarkEnd w:id="0"/>
    </w:p>
    <w:p w14:paraId="40857D70" w14:textId="77777777" w:rsidR="00FE41A1" w:rsidRDefault="00C20FEB">
      <w:pPr>
        <w:pStyle w:val="Heading2"/>
        <w:numPr>
          <w:ilvl w:val="1"/>
          <w:numId w:val="13"/>
        </w:numPr>
      </w:pPr>
      <w:bookmarkStart w:id="1" w:name="_Toc243432481"/>
      <w:r>
        <w:t>Business Context</w:t>
      </w:r>
      <w:bookmarkEnd w:id="1"/>
    </w:p>
    <w:p w14:paraId="5C2A1BB6"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Scenario: </w:t>
      </w:r>
      <w:r>
        <w:rPr>
          <w:rFonts w:ascii="Times New Roman" w:eastAsia="Times New Roman" w:hAnsi="Times New Roman" w:cs="Times New Roman"/>
          <w:sz w:val="24"/>
          <w:szCs w:val="24"/>
        </w:rPr>
        <w:t>City Hotel Lisbon sells perishable room inventory ahead of arrival, largely through travel agents and operators. Until the guest arrives, revenue is only expected, not secured.</w:t>
      </w:r>
    </w:p>
    <w:p w14:paraId="5675EFC8"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Strategic issue: </w:t>
      </w:r>
      <w:r>
        <w:rPr>
          <w:rFonts w:ascii="Times New Roman" w:eastAsia="Times New Roman" w:hAnsi="Times New Roman" w:cs="Times New Roman"/>
          <w:sz w:val="24"/>
          <w:szCs w:val="24"/>
        </w:rPr>
        <w:t>Revenue-management research identifies booking cancellations as a core source of demand uncertainty: they limit the accuracy of forecasts, and the usual responses, rigid cancellation policies and overbooking, can themselves damage revenue and reputation (Antonio et al., 2017). For City Hotel Lisbon, this means expected revenue and room plans cannot be fully relied on, and blanket policies are an imperfect fix. Cancellation is therefore a strategic revenue-risk problem, not just an operational event. Its sca</w:t>
      </w:r>
      <w:r>
        <w:rPr>
          <w:rFonts w:ascii="Times New Roman" w:eastAsia="Times New Roman" w:hAnsi="Times New Roman" w:cs="Times New Roman"/>
          <w:sz w:val="24"/>
          <w:szCs w:val="24"/>
        </w:rPr>
        <w:t>le is quantified in Section 1.2.</w:t>
      </w:r>
    </w:p>
    <w:p w14:paraId="057C9D42"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Cross-domain impact: </w:t>
      </w:r>
      <w:r>
        <w:rPr>
          <w:rFonts w:ascii="Times New Roman" w:eastAsia="Times New Roman" w:hAnsi="Times New Roman" w:cs="Times New Roman"/>
          <w:sz w:val="24"/>
          <w:szCs w:val="24"/>
        </w:rPr>
        <w:t>One cancellation touches several domains at once, yet each is managed separately today, so no single view supports a joint decision.</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3860"/>
        <w:gridCol w:w="3500"/>
      </w:tblGrid>
      <w:tr w:rsidR="00FE41A1" w14:paraId="3FF0F9CB" w14:textId="77777777">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8A9990A"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Domain</w:t>
            </w:r>
          </w:p>
        </w:tc>
        <w:tc>
          <w:tcPr>
            <w:tcW w:w="38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D60C09E"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Current state</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3CA38C7"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Gap the project addresses</w:t>
            </w:r>
          </w:p>
        </w:tc>
      </w:tr>
      <w:tr w:rsidR="00FE41A1" w14:paraId="7F4E4388"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1AABAFDF"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Distribution / Marketing</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86D0A8"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Cancellation risk differs sharply by channel and segment, but is not used in booking management.</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FFA449"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Channel and segment risk guides booking management.</w:t>
            </w:r>
          </w:p>
        </w:tc>
      </w:tr>
      <w:tr w:rsidR="00FE41A1" w14:paraId="6BDC0D93"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7881AF64"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Customer Experience</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327A41"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At-risk guests are not systematically contacted.</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88CAE3"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Proactive, targeted contact for high-risk bookings only.</w:t>
            </w:r>
          </w:p>
        </w:tc>
      </w:tr>
      <w:tr w:rsidR="00FE41A1" w14:paraId="34B3ED55"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7401B98F"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Finance</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389837"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Commission, handling cost and revenue at risk are not linked.</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3433CB"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 value of actions accounts for cost.</w:t>
            </w:r>
          </w:p>
        </w:tc>
      </w:tr>
      <w:tr w:rsidR="00FE41A1" w14:paraId="38A692A3"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75A49B2F"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Operations</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E25AF3"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Freed rooms are not systematically resold.</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C8064C"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Resale and capacity decisions are guided by cancellation risk.</w:t>
            </w:r>
          </w:p>
        </w:tc>
      </w:tr>
    </w:tbl>
    <w:p w14:paraId="695448F6"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Transformation opportunity. </w:t>
      </w:r>
      <w:r>
        <w:rPr>
          <w:rFonts w:ascii="Times New Roman" w:eastAsia="Times New Roman" w:hAnsi="Times New Roman" w:cs="Times New Roman"/>
          <w:sz w:val="24"/>
          <w:szCs w:val="24"/>
        </w:rPr>
        <w:t>Integrating booking, customer, cost and inventory data into one decision-support system can shift the hotel from reactive handling to risk-based, proactive booking management, optimizing revenue and room capacity.</w:t>
      </w:r>
    </w:p>
    <w:p w14:paraId="617FE5B9" w14:textId="77777777" w:rsidR="00FE41A1" w:rsidRDefault="00FE41A1">
      <w:pPr>
        <w:rPr>
          <w:rFonts w:ascii="Times New Roman" w:eastAsia="Times New Roman" w:hAnsi="Times New Roman" w:cs="Times New Roman"/>
          <w:sz w:val="24"/>
          <w:szCs w:val="24"/>
        </w:rPr>
      </w:pPr>
    </w:p>
    <w:p w14:paraId="029CDAAE" w14:textId="77777777" w:rsidR="00FE41A1" w:rsidRDefault="00C20FEB">
      <w:pPr>
        <w:pStyle w:val="Heading2"/>
        <w:numPr>
          <w:ilvl w:val="1"/>
          <w:numId w:val="13"/>
        </w:numPr>
        <w:ind w:left="845"/>
      </w:pPr>
      <w:bookmarkStart w:id="2" w:name="_Toc243432482"/>
      <w:r>
        <w:t>Business Pain Points</w:t>
      </w:r>
      <w:bookmarkEnd w:id="2"/>
    </w:p>
    <w:p w14:paraId="567DEAF9"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Baseline: City Hotel Lisbon, 79,330 bookings, July 2015 – August 2017 (Antonio, Almeida &amp; Nunes, 2019).</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3300"/>
        <w:gridCol w:w="3760"/>
      </w:tblGrid>
      <w:tr w:rsidR="00FE41A1" w14:paraId="5BB22E4B" w14:textId="77777777">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7AC4147"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Pain point</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6512412"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Supporting data</w:t>
            </w:r>
          </w:p>
        </w:tc>
        <w:tc>
          <w:tcPr>
            <w:tcW w:w="37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1E1BA3A"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Why it matters</w:t>
            </w:r>
          </w:p>
        </w:tc>
      </w:tr>
      <w:tr w:rsidR="00FE41A1" w14:paraId="11C2D58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5DA6CA50"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Limited visibility into cancellation risk</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AC3B73"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41.7% of bookings (about 33,000) were cancelled or no-show. 12% of cancellations occur within 7 days of arrival.</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718332"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Late cancellations leave the least time to resell the room. Early warning is the only way to act before that window closes.</w:t>
            </w:r>
          </w:p>
        </w:tc>
      </w:tr>
      <w:tr w:rsidR="00FE41A1" w14:paraId="39A7ABE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7A867701"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Inefficient allocation of follow-up resources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904ED6"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Travel agents and operators handle 87% of bookings. Cancellation rate ranges from 17.3% (Direct) to 68.9% (Groups). There is no systematic contact with at-risk guests.</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D29C2"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 varies widely across segments, so uniform follow-up wastes effort on safe bookings and misses risky ones. Hospitality churn research supports targeting only high-risk guests rather than contacting everyone (van Leeuwen et al., 2025).</w:t>
            </w:r>
          </w:p>
        </w:tc>
      </w:tr>
      <w:tr w:rsidR="00FE41A1" w14:paraId="36AFBB7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707B82A1"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Limited ability to optimize revenue and room capacity</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4F4B08"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€10.9M of €25.3M gross booked room revenue (about 43%) is tied to cancelled bookings. Freed rooms are not systematically resold. Commission and handling cost are not linked to risk.</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FE4526"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hotel cannot tell which bookings to act on, or how to adjust follow-up, pricing, capacity allocation and resale so that revenue and occupancy are optimized net of intervention cost. Revenue-management studies show that cancellation-aware pricing, allocation and overbooking decisions can raise profit in simulation (Dong &amp; Ling, 2015; Pimentel et al., 2019).</w:t>
            </w:r>
          </w:p>
        </w:tc>
      </w:tr>
    </w:tbl>
    <w:p w14:paraId="0EB6A29D" w14:textId="77777777" w:rsidR="00FE41A1" w:rsidRDefault="00C20FEB">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Note: €10.9M is gross booking value exposed to cancellation, not realized loss. Some of it is resold or recovered through deposits.</w:t>
      </w:r>
    </w:p>
    <w:p w14:paraId="0F891C3B" w14:textId="77777777" w:rsidR="00FE41A1" w:rsidRDefault="00FE41A1">
      <w:pPr>
        <w:rPr>
          <w:rFonts w:ascii="Times New Roman" w:eastAsia="Times New Roman" w:hAnsi="Times New Roman" w:cs="Times New Roman"/>
          <w:i/>
          <w:iCs/>
          <w:sz w:val="24"/>
          <w:szCs w:val="24"/>
        </w:rPr>
      </w:pPr>
    </w:p>
    <w:p w14:paraId="1A0CC9F2" w14:textId="77777777" w:rsidR="00FE41A1" w:rsidRDefault="00C20FEB">
      <w:pPr>
        <w:pStyle w:val="Heading2"/>
        <w:numPr>
          <w:ilvl w:val="1"/>
          <w:numId w:val="13"/>
        </w:numPr>
        <w:ind w:left="845"/>
      </w:pPr>
      <w:bookmarkStart w:id="3" w:name="_Toc243432483"/>
      <w:r>
        <w:t>Stakeholders</w:t>
      </w:r>
      <w:bookmarkEnd w:id="3"/>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1900"/>
        <w:gridCol w:w="4460"/>
      </w:tblGrid>
      <w:tr w:rsidR="00FE41A1" w14:paraId="3F85F184" w14:textId="77777777">
        <w:trPr>
          <w:trHeight w:val="365"/>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7ABF977"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Group</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B8E3F0C"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Role</w:t>
            </w:r>
          </w:p>
        </w:tc>
        <w:tc>
          <w:tcPr>
            <w:tcW w:w="44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B1569BB"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Interest</w:t>
            </w:r>
          </w:p>
        </w:tc>
      </w:tr>
      <w:tr w:rsidR="00FE41A1" w14:paraId="4CF1A884"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108F32D7"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General Manager, Revenue Manager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E2C6F"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Decision-makers</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1B7F5C"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Set priorities, resources and booking-management strategy; optimize revenue and capacity</w:t>
            </w:r>
          </w:p>
        </w:tc>
      </w:tr>
      <w:tr w:rsidR="00FE41A1" w14:paraId="22EE22FC"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6DDA9D5A"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Reservation Team</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D377E2"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users</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AB126A"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risk information to follow up with guests and update room availability</w:t>
            </w:r>
          </w:p>
        </w:tc>
      </w:tr>
      <w:tr w:rsidR="00FE41A1" w14:paraId="1A3C7632"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24C0D30C"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Customer Service / CX</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6D415D"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users</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7143A2"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send guest messages; own opt-outs and CX KPIs</w:t>
            </w:r>
          </w:p>
        </w:tc>
      </w:tr>
      <w:tr w:rsidR="00FE41A1" w14:paraId="41E969D2"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1C8F1590"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Finance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3AEE09"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support</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CA9600"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Own cost and contribution assumptions; judge net value and ROI of interventions</w:t>
            </w:r>
          </w:p>
        </w:tc>
      </w:tr>
      <w:tr w:rsidR="00FE41A1" w14:paraId="17566EC9"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328D85BE"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Distribution / Sales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508570"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users</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1C1B76"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Manage agents, tour operators and group-block contracts (release dates, deposits)</w:t>
            </w:r>
          </w:p>
        </w:tc>
      </w:tr>
      <w:tr w:rsidR="00FE41A1" w14:paraId="310B2A52"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69E4E4AB"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 Analytics Team</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25512F"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owners</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A8427A"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Build, calibrate and monitor the model; maintain the data pipeline and KPI reporting</w:t>
            </w:r>
          </w:p>
        </w:tc>
      </w:tr>
      <w:tr w:rsidR="00FE41A1" w14:paraId="7919CBE8"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14636A20"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Guests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EB1B67"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Affected party</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8706BA"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Experience the interventions; not direct system users</w:t>
            </w:r>
          </w:p>
        </w:tc>
      </w:tr>
    </w:tbl>
    <w:p w14:paraId="6DB08847" w14:textId="77777777" w:rsidR="00FE41A1" w:rsidRDefault="00FE41A1">
      <w:pPr>
        <w:rPr>
          <w:rFonts w:ascii="Times New Roman" w:eastAsia="Times New Roman" w:hAnsi="Times New Roman" w:cs="Times New Roman"/>
          <w:sz w:val="24"/>
          <w:szCs w:val="24"/>
        </w:rPr>
      </w:pPr>
    </w:p>
    <w:p w14:paraId="2868F585" w14:textId="77777777" w:rsidR="00FE41A1" w:rsidRDefault="00C20FEB">
      <w:pPr>
        <w:pStyle w:val="Heading2"/>
        <w:numPr>
          <w:ilvl w:val="1"/>
          <w:numId w:val="13"/>
        </w:numPr>
        <w:ind w:left="845"/>
      </w:pPr>
      <w:bookmarkStart w:id="4" w:name="_Toc243432484"/>
      <w:r>
        <w:t>Decisions to Improve</w:t>
      </w:r>
      <w:bookmarkEnd w:id="4"/>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4560"/>
        <w:gridCol w:w="2600"/>
      </w:tblGrid>
      <w:tr w:rsidR="00FE41A1" w14:paraId="081AA064" w14:textId="77777777">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D9FAE2E"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Decision</w:t>
            </w:r>
          </w:p>
        </w:tc>
        <w:tc>
          <w:tcPr>
            <w:tcW w:w="45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1EA03C2"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Business question</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99F1CA5"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Supported by</w:t>
            </w:r>
          </w:p>
        </w:tc>
      </w:tr>
      <w:tr w:rsidR="00FE41A1" w14:paraId="4513E4FC"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0087C385"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Risk identification</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6478B7"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Which bookings are more likely to be cancelled?</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77F58C"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w:t>
            </w:r>
          </w:p>
        </w:tc>
      </w:tr>
      <w:tr w:rsidR="00FE41A1" w14:paraId="23D8BA51"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27446B65"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prioritization</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D8BEFD"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Which bookings should staff handle first when resources are limited?</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23935A"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Risk score + value proxy</w:t>
            </w:r>
          </w:p>
        </w:tc>
      </w:tr>
      <w:tr w:rsidR="00FE41A1" w14:paraId="4924FDAE"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4C706800"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Intervention selection</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52B925"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Should the hotel confirm, send a reminder or contact the guest directly?</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957E8E"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rules</w:t>
            </w:r>
          </w:p>
        </w:tc>
      </w:tr>
      <w:tr w:rsidR="00FE41A1" w14:paraId="3D4BF647"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2B24CBDC"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Revenue and capacity optimization</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AD93FC"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Which follow-up, pricing, allocation and resale actions improve revenue and occupancy at a justified cost?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12F4F3"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Rule-based analysis + ROI analysis</w:t>
            </w:r>
          </w:p>
        </w:tc>
      </w:tr>
    </w:tbl>
    <w:p w14:paraId="2633E021"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Only the first decision is addressed directly by ML. The others need business rules, operational data and impact evaluation.</w:t>
      </w:r>
    </w:p>
    <w:p w14:paraId="2F2A1FC4" w14:textId="77777777" w:rsidR="00FE41A1" w:rsidRDefault="00FE41A1">
      <w:pPr>
        <w:rPr>
          <w:rFonts w:ascii="Times New Roman" w:eastAsia="Times New Roman" w:hAnsi="Times New Roman" w:cs="Times New Roman"/>
          <w:sz w:val="24"/>
          <w:szCs w:val="24"/>
        </w:rPr>
      </w:pPr>
    </w:p>
    <w:p w14:paraId="7E116A81" w14:textId="77777777" w:rsidR="00FE41A1" w:rsidRDefault="00C20FEB">
      <w:pPr>
        <w:pStyle w:val="Heading2"/>
        <w:numPr>
          <w:ilvl w:val="1"/>
          <w:numId w:val="13"/>
        </w:numPr>
        <w:ind w:left="845"/>
      </w:pPr>
      <w:bookmarkStart w:id="5" w:name="_Toc243432485"/>
      <w:r>
        <w:t>Strategic Objectives</w:t>
      </w:r>
      <w:bookmarkEnd w:id="5"/>
    </w:p>
    <w:p w14:paraId="7D2FE1ED"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objective follows from a pain point and a decision, and is backed by evidence.</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
        <w:gridCol w:w="2900"/>
        <w:gridCol w:w="1500"/>
        <w:gridCol w:w="1700"/>
        <w:gridCol w:w="2860"/>
      </w:tblGrid>
      <w:tr w:rsidR="00FE41A1" w14:paraId="497386AC" w14:textId="77777777">
        <w:trPr>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0FB4619" w14:textId="77777777" w:rsidR="00FE41A1" w:rsidRDefault="00FE41A1">
            <w:pPr>
              <w:jc w:val="center"/>
              <w:rPr>
                <w:rFonts w:ascii="Times New Roman" w:eastAsia="Times New Roman" w:hAnsi="Times New Roman" w:cs="Times New Roman"/>
                <w:sz w:val="24"/>
                <w:szCs w:val="24"/>
              </w:rPr>
            </w:pP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2BCF072"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Objective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5610435"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Addresses pain</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5EB20F9"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Improves decision</w:t>
            </w:r>
          </w:p>
        </w:tc>
        <w:tc>
          <w:tcPr>
            <w:tcW w:w="28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85CC161"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Evidence basis</w:t>
            </w:r>
          </w:p>
        </w:tc>
      </w:tr>
      <w:tr w:rsidR="00FE41A1" w14:paraId="7CFD27FE" w14:textId="77777777">
        <w:trPr>
          <w:cantSplit/>
        </w:trPr>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02458E"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3346F5"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cancellation risk early, before the final 7-day window</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35EDE9"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visibility</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F4D35E"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Risk identification</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5DA12E"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41.7% cancellation rate; 12% of cancellations within 7 days</w:t>
            </w:r>
          </w:p>
        </w:tc>
      </w:tr>
      <w:tr w:rsidR="00FE41A1" w14:paraId="77AD37F0" w14:textId="77777777">
        <w:trPr>
          <w:cantSplit/>
        </w:trPr>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F423A7"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087232"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Allocate follow-up effort to the highest-risk, highest-value bookings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11A84D"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Inefficient allocation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727E65"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Resource prioritization; intervention selection</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67BC3E"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17.3%–68.9% segment gap; threshold-based targeting (van Leeuwen et al., 2025)</w:t>
            </w:r>
          </w:p>
        </w:tc>
      </w:tr>
      <w:tr w:rsidR="00FE41A1" w14:paraId="41FA1456" w14:textId="77777777">
        <w:trPr>
          <w:cantSplit/>
        </w:trPr>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47F2D7"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3BF74D"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Optimize revenue and room capacity by supporting follow-up, pricing, allocation and resale decisions, net of intervention cost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8B0C9A"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ability to optimize revenue and capacity</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6F62A8"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Revenue and capacity optimization</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28CAD5"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€10.9M exposure; profit gains in simulated revenue-management studies (Dong &amp; Ling, 2015; Cha, 2026)</w:t>
            </w:r>
          </w:p>
        </w:tc>
      </w:tr>
    </w:tbl>
    <w:p w14:paraId="31EB019B" w14:textId="77777777" w:rsidR="00FE41A1" w:rsidRDefault="00C20FEB">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The project does not aim to eliminate cancellations or guarantee revenue gains. Targets are reference pilot goals, to be confirmed through model evaluation (see Part 3).</w:t>
      </w:r>
    </w:p>
    <w:p w14:paraId="1FA97366" w14:textId="77777777" w:rsidR="00FE41A1" w:rsidRDefault="00FE41A1">
      <w:pPr>
        <w:rPr>
          <w:rFonts w:ascii="Times New Roman" w:eastAsia="Times New Roman" w:hAnsi="Times New Roman" w:cs="Times New Roman"/>
          <w:i/>
          <w:iCs/>
          <w:sz w:val="24"/>
          <w:szCs w:val="24"/>
        </w:rPr>
      </w:pPr>
    </w:p>
    <w:p w14:paraId="42BCCC99" w14:textId="77777777" w:rsidR="00FE41A1" w:rsidRDefault="00C20FEB">
      <w:pPr>
        <w:pStyle w:val="Heading2"/>
        <w:numPr>
          <w:ilvl w:val="1"/>
          <w:numId w:val="13"/>
        </w:numPr>
        <w:ind w:left="845"/>
      </w:pPr>
      <w:bookmarkStart w:id="6" w:name="_Toc243432486"/>
      <w:r>
        <w:t>SCQ Framework</w:t>
      </w:r>
      <w:bookmarkEnd w:id="6"/>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7660"/>
      </w:tblGrid>
      <w:tr w:rsidR="00FE41A1" w14:paraId="34C935CB"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001DA6E"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Situation</w:t>
            </w:r>
          </w:p>
        </w:tc>
        <w:tc>
          <w:tcPr>
            <w:tcW w:w="7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5876D"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City Hotel Lisbon sells rooms in advance. Over July 2015 – August 2017, 41.7% of 79,330 bookings were cancelled or no-show, tying up €10.9M of €25.3M gross booked room revenue.</w:t>
            </w:r>
          </w:p>
        </w:tc>
      </w:tr>
      <w:tr w:rsidR="00FE41A1" w14:paraId="31977338"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6217461"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Complication</w:t>
            </w:r>
          </w:p>
        </w:tc>
        <w:tc>
          <w:tcPr>
            <w:tcW w:w="7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A7996"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of cancellations occur within 7 days of arrival, when resale is hardest. Risk differs sharply by segment (Groups 68.9% vs. Direct 17.3%), yet at-risk guests are not systematically contacted, and commission and handling cost are not linked to risk. Manual review of every booking is not scalable.</w:t>
            </w:r>
          </w:p>
        </w:tc>
      </w:tr>
      <w:tr w:rsidR="00FE41A1" w14:paraId="7CAB0762"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A2BEB69"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Question</w:t>
            </w:r>
          </w:p>
        </w:tc>
        <w:tc>
          <w:tcPr>
            <w:tcW w:w="7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F2DA3C"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might City Hotel Lisbon predict booking cancellation risk early, prioritize high-risk bookings, and recommend proportionate interventions to optimize revenue and room capacity?</w:t>
            </w:r>
          </w:p>
        </w:tc>
      </w:tr>
    </w:tbl>
    <w:p w14:paraId="484747C4" w14:textId="77777777" w:rsidR="00FE41A1" w:rsidRDefault="00FE41A1">
      <w:pPr>
        <w:pBdr>
          <w:left w:val="single" w:sz="24" w:space="6" w:color="2E5597"/>
        </w:pBdr>
        <w:shd w:val="clear" w:color="auto" w:fill="EAF0FA"/>
        <w:rPr>
          <w:rFonts w:ascii="Times New Roman" w:eastAsia="Times New Roman" w:hAnsi="Times New Roman" w:cs="Times New Roman"/>
          <w:b/>
          <w:bCs/>
          <w:sz w:val="24"/>
          <w:szCs w:val="24"/>
          <w:highlight w:val="white"/>
        </w:rPr>
      </w:pPr>
    </w:p>
    <w:p w14:paraId="71990C22" w14:textId="77777777" w:rsidR="00FE41A1" w:rsidRDefault="00C20FEB">
      <w:pPr>
        <w:pBdr>
          <w:left w:val="single" w:sz="24" w:space="6" w:color="2E5597"/>
        </w:pBdr>
        <w:shd w:val="clear" w:color="auto" w:fill="EAF0FA"/>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Problem statement: </w:t>
      </w:r>
      <w:r>
        <w:rPr>
          <w:rFonts w:ascii="Times New Roman" w:eastAsia="Times New Roman" w:hAnsi="Times New Roman" w:cs="Times New Roman"/>
          <w:i/>
          <w:iCs/>
          <w:sz w:val="24"/>
          <w:szCs w:val="24"/>
        </w:rPr>
        <w:t>How might City Hotel Lisbon predict booking cancellation risk early, prioritize high-risk bookings, and recommend proportionate interventions to optimize revenue and room capacity?</w:t>
      </w:r>
    </w:p>
    <w:p w14:paraId="17735DB4" w14:textId="77777777" w:rsidR="00FE41A1" w:rsidRDefault="00FE41A1">
      <w:pPr>
        <w:pBdr>
          <w:left w:val="single" w:sz="24" w:space="6" w:color="2E5597"/>
        </w:pBdr>
        <w:shd w:val="clear" w:color="auto" w:fill="EAF0FA"/>
        <w:rPr>
          <w:rFonts w:ascii="Times New Roman" w:eastAsia="Times New Roman" w:hAnsi="Times New Roman" w:cs="Times New Roman"/>
          <w:i/>
          <w:iCs/>
          <w:sz w:val="24"/>
          <w:szCs w:val="24"/>
        </w:rPr>
      </w:pPr>
    </w:p>
    <w:p w14:paraId="3FDE84DA" w14:textId="77777777" w:rsidR="00FE41A1" w:rsidRDefault="00C20FEB">
      <w:pPr>
        <w:pStyle w:val="Heading1"/>
        <w:numPr>
          <w:ilvl w:val="0"/>
          <w:numId w:val="13"/>
        </w:numPr>
      </w:pPr>
      <w:bookmarkStart w:id="7" w:name="_Toc243432487"/>
      <w:r>
        <w:t>PDMT Map</w:t>
      </w:r>
      <w:bookmarkEnd w:id="7"/>
    </w:p>
    <w:p w14:paraId="569B7D74" w14:textId="77777777" w:rsidR="00FE41A1" w:rsidRDefault="00C20FEB">
      <w:pPr>
        <w:rPr>
          <w:rFonts w:ascii="Times New Roman" w:eastAsia="Times New Roman" w:hAnsi="Times New Roman" w:cs="Times New Roman"/>
          <w:color w:val="2E5597"/>
          <w:sz w:val="24"/>
          <w:szCs w:val="24"/>
        </w:rPr>
      </w:pPr>
      <w:r>
        <w:rPr>
          <w:rFonts w:ascii="Times New Roman" w:eastAsia="Times New Roman" w:hAnsi="Times New Roman" w:cs="Times New Roman"/>
          <w:noProof/>
          <w:color w:val="2E5597"/>
          <w:sz w:val="24"/>
          <w:szCs w:val="24"/>
        </w:rPr>
        <w:lastRenderedPageBreak/>
        <w:drawing>
          <wp:inline distT="0" distB="0" distL="0" distR="0" wp14:anchorId="5115582B" wp14:editId="3AE44DCD">
            <wp:extent cx="6472238" cy="3485051"/>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6472238" cy="3485051"/>
                    </a:xfrm>
                    <a:prstGeom prst="rect">
                      <a:avLst/>
                    </a:prstGeom>
                    <a:ln/>
                  </pic:spPr>
                </pic:pic>
              </a:graphicData>
            </a:graphic>
          </wp:inline>
        </w:drawing>
      </w:r>
      <w:r>
        <w:rPr>
          <w:noProof/>
        </w:rPr>
        <mc:AlternateContent>
          <mc:Choice Requires="wpg">
            <w:drawing>
              <wp:anchor distT="0" distB="0" distL="114300" distR="114300" simplePos="0" relativeHeight="251658240" behindDoc="0" locked="0" layoutInCell="1" hidden="0" allowOverlap="1" wp14:anchorId="638985B1" wp14:editId="2DDAB76F">
                <wp:simplePos x="0" y="0"/>
                <wp:positionH relativeFrom="column">
                  <wp:posOffset>2927350</wp:posOffset>
                </wp:positionH>
                <wp:positionV relativeFrom="paragraph">
                  <wp:posOffset>1967230</wp:posOffset>
                </wp:positionV>
                <wp:extent cx="123825" cy="25400"/>
                <wp:effectExtent l="0" t="0" r="0" b="0"/>
                <wp:wrapNone/>
                <wp:docPr id="1" name="Straight Arrow Connector 1"/>
                <wp:cNvGraphicFramePr/>
                <a:graphic xmlns:a="http://schemas.openxmlformats.org/drawingml/2006/main">
                  <a:graphicData uri="http://schemas.microsoft.com/office/word/2010/wordprocessingShape">
                    <wps:wsp>
                      <wps:cNvCnPr/>
                      <wps:spPr>
                        <a:xfrm>
                          <a:off x="5284088" y="3778413"/>
                          <a:ext cx="123825" cy="3175"/>
                        </a:xfrm>
                        <a:prstGeom prst="straightConnector1">
                          <a:avLst/>
                        </a:prstGeom>
                        <a:noFill/>
                        <a:ln w="9525" cap="flat" cmpd="sng">
                          <a:solidFill>
                            <a:schemeClr val="dk2"/>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2927350</wp:posOffset>
                </wp:positionH>
                <wp:positionV relativeFrom="paragraph">
                  <wp:posOffset>1967230</wp:posOffset>
                </wp:positionV>
                <wp:extent cx="123825" cy="254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23825" cy="25400"/>
                        </a:xfrm>
                        <a:prstGeom prst="rect"/>
                        <a:ln/>
                      </pic:spPr>
                    </pic:pic>
                  </a:graphicData>
                </a:graphic>
              </wp:anchor>
            </w:drawing>
          </mc:Fallback>
        </mc:AlternateContent>
      </w:r>
    </w:p>
    <w:p w14:paraId="2628B850" w14:textId="77777777" w:rsidR="00FE41A1" w:rsidRDefault="00C20FEB">
      <w:pPr>
        <w:pStyle w:val="Heading1"/>
        <w:numPr>
          <w:ilvl w:val="0"/>
          <w:numId w:val="13"/>
        </w:numPr>
      </w:pPr>
      <w:bookmarkStart w:id="8" w:name="_Toc243432488"/>
      <w:r>
        <w:t>Detailed Expected Business Value</w:t>
      </w:r>
      <w:bookmarkEnd w:id="8"/>
    </w:p>
    <w:p w14:paraId="0333A17E"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Baseline: City Hotel Lisbon, Jul 2015–Aug 2017 (41.7% cancellation rate). Targets without a sound benchmark will be set from model evaluation and baseline analysis. External benchmarks are pilot references from other settings.</w:t>
      </w:r>
    </w:p>
    <w:tbl>
      <w:tblPr>
        <w:tblStyle w:val="a6"/>
        <w:tblW w:w="102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0"/>
        <w:gridCol w:w="4500"/>
        <w:gridCol w:w="3806"/>
      </w:tblGrid>
      <w:tr w:rsidR="00FE41A1" w14:paraId="6243CB67"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90" w:type="dxa"/>
              <w:bottom w:w="45" w:type="dxa"/>
              <w:right w:w="90" w:type="dxa"/>
            </w:tcMar>
          </w:tcPr>
          <w:p w14:paraId="6EC71CBD"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Business function</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90" w:type="dxa"/>
              <w:bottom w:w="45" w:type="dxa"/>
              <w:right w:w="90" w:type="dxa"/>
            </w:tcMar>
          </w:tcPr>
          <w:p w14:paraId="67A660D1"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Expected value and target</w:t>
            </w:r>
          </w:p>
        </w:tc>
        <w:tc>
          <w:tcPr>
            <w:tcW w:w="3806" w:type="dxa"/>
            <w:tcBorders>
              <w:top w:val="single" w:sz="4" w:space="0" w:color="BFBFBF"/>
              <w:left w:val="single" w:sz="4" w:space="0" w:color="BFBFBF"/>
              <w:bottom w:val="single" w:sz="4" w:space="0" w:color="BFBFBF"/>
              <w:right w:val="single" w:sz="4" w:space="0" w:color="BFBFBF"/>
            </w:tcBorders>
            <w:shd w:val="clear" w:color="auto" w:fill="1F3864"/>
            <w:tcMar>
              <w:top w:w="45" w:type="dxa"/>
              <w:left w:w="90" w:type="dxa"/>
              <w:bottom w:w="45" w:type="dxa"/>
              <w:right w:w="90" w:type="dxa"/>
            </w:tcMar>
          </w:tcPr>
          <w:p w14:paraId="74DD20E4"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Evaluation and data</w:t>
            </w:r>
          </w:p>
        </w:tc>
      </w:tr>
      <w:tr w:rsidR="00FE41A1" w14:paraId="66817D12"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45" w:type="dxa"/>
              <w:left w:w="90" w:type="dxa"/>
              <w:bottom w:w="45" w:type="dxa"/>
              <w:right w:w="90" w:type="dxa"/>
            </w:tcMar>
          </w:tcPr>
          <w:p w14:paraId="5DDF22EE"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Cancellation risk prediction</w:t>
            </w:r>
          </w:p>
        </w:tc>
        <w:tc>
          <w:tcPr>
            <w:tcW w:w="4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544BEF9C"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Recall ≥ 70% on the test set: detect at least 70% of cancelled or no-show bookings, while limiting false alerts.</w:t>
            </w:r>
          </w:p>
        </w:tc>
        <w:tc>
          <w:tcPr>
            <w:tcW w:w="3806"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003403C6"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Recall, Precision, PR-AUC vs. a baseline model on an independent test set. Data: is_canceled, lead_time, deposit_type, previous_cancellations, booking_changes, market_segment, distribution_channel.</w:t>
            </w:r>
          </w:p>
        </w:tc>
      </w:tr>
      <w:tr w:rsidR="00FE41A1" w14:paraId="2A641C74"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45" w:type="dxa"/>
              <w:left w:w="90" w:type="dxa"/>
              <w:bottom w:w="45" w:type="dxa"/>
              <w:right w:w="90" w:type="dxa"/>
            </w:tcMar>
          </w:tcPr>
          <w:p w14:paraId="10A819F3"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Risk-based prioritisation</w:t>
            </w:r>
          </w:p>
        </w:tc>
        <w:tc>
          <w:tcPr>
            <w:tcW w:w="4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1BF82B30"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Focus staff on the bookings with the most value at risk: each week, call the top 15% by risk × booking value and send reminders to the next 45%, within 20 call tasks a day.</w:t>
            </w:r>
          </w:p>
        </w:tc>
        <w:tc>
          <w:tcPr>
            <w:tcW w:w="3806"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1A9D94DA"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Cancellation rate and share of cancelled value in the call and contact tiers, against the cancellation rate of the same weekly queue (2017: call tier 38.3% vs. 24.0%). Data: model risk score, booking value, is_canceled.</w:t>
            </w:r>
          </w:p>
        </w:tc>
      </w:tr>
      <w:tr w:rsidR="00FE41A1" w14:paraId="2B61FD7F"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45" w:type="dxa"/>
              <w:left w:w="90" w:type="dxa"/>
              <w:bottom w:w="45" w:type="dxa"/>
              <w:right w:w="90" w:type="dxa"/>
            </w:tcMar>
          </w:tcPr>
          <w:p w14:paraId="5DA45CE4"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Customer experience and retention</w:t>
            </w:r>
          </w:p>
        </w:tc>
        <w:tc>
          <w:tcPr>
            <w:tcW w:w="4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058C6D00"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Pilot target: a lower cancellation rate in the contacted tiers than in a randomised holdout, with no rise in opt-outs or complaints. Break-even is low: a call pays for itself if it prevents 1.1% of the cancellations it reaches, a reminder 2.0%.</w:t>
            </w:r>
          </w:p>
        </w:tc>
        <w:tc>
          <w:tcPr>
            <w:tcW w:w="3806"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773E4820"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Retention uplift (pp) = Retention(contact) − Retention(control); also response and cancellation rates. A control group is required for a causal claim. Data: contact_attempted, contact_channel, customer_response, is_canceled.</w:t>
            </w:r>
          </w:p>
        </w:tc>
      </w:tr>
      <w:tr w:rsidR="00FE41A1" w14:paraId="7FBA1733"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45" w:type="dxa"/>
              <w:left w:w="90" w:type="dxa"/>
              <w:bottom w:w="45" w:type="dxa"/>
              <w:right w:w="90" w:type="dxa"/>
            </w:tcMar>
          </w:tcPr>
          <w:p w14:paraId="6946AD01"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4. Finance and revenue recovery</w:t>
            </w:r>
          </w:p>
        </w:tc>
        <w:tc>
          <w:tcPr>
            <w:tcW w:w="4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5767DE39"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Simulated net benefit of EUR 30.4k a year after variable costs and backfire losses; 3-year programme ROI of 173% and payback of 6.9 months after a EUR 15.6k one-off cost and EUR 3.4k a year running cost (Section 5.2). Assumption-based until the pilot measures the effect.</w:t>
            </w:r>
          </w:p>
          <w:p w14:paraId="46C508E6"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 about 4% hotel profit gain from revenue-management optimisation (4.20% in a simulated overbooking scenario; Dong &amp; Ling, 2015; see also Pimentel et al., 2019). A model benchmark, not a guaranteed gain.</w:t>
            </w:r>
          </w:p>
        </w:tc>
        <w:tc>
          <w:tcPr>
            <w:tcW w:w="3806"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0FF33161"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Net recovery = Rebooking revenue − Incremental costs (commission, handling, staff). The €10.9M gross figure is not net recovery. Staff-cost floor: Portugal minimum wage €505–557 per month, 2015–2017 (Hans-Böckler-Stiftung, n.d.).</w:t>
            </w:r>
          </w:p>
        </w:tc>
      </w:tr>
      <w:tr w:rsidR="00FE41A1" w14:paraId="0123204E"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45" w:type="dxa"/>
              <w:left w:w="90" w:type="dxa"/>
              <w:bottom w:w="45" w:type="dxa"/>
              <w:right w:w="90" w:type="dxa"/>
            </w:tcMar>
          </w:tcPr>
          <w:p w14:paraId="2118EBE0"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 Room inventory and operations</w:t>
            </w:r>
          </w:p>
        </w:tc>
        <w:tc>
          <w:tcPr>
            <w:tcW w:w="4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541DBD07"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 at least 2.3% higher contribution profit when decisions are updated over time rather than optimised once (2.27% weekly booking-limit update; Cha, 2026). A dynamic-optimisation benchmark, not a resale-rate benchmark.</w:t>
            </w:r>
          </w:p>
        </w:tc>
        <w:tc>
          <w:tcPr>
            <w:tcW w:w="3806"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13E9886B"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Resale rate = Rooms resold after cancellation ÷ Cancelled rooms eligible for resale; also unsold room-nights by arrival date. Compare operations with and without cancellation prioritisation.</w:t>
            </w:r>
          </w:p>
        </w:tc>
      </w:tr>
    </w:tbl>
    <w:p w14:paraId="3B9B02FD" w14:textId="77777777" w:rsidR="00FE41A1" w:rsidRDefault="00C20FEB">
      <w:pPr>
        <w:pStyle w:val="Heading1"/>
        <w:pageBreakBefore/>
        <w:numPr>
          <w:ilvl w:val="0"/>
          <w:numId w:val="13"/>
        </w:numPr>
      </w:pPr>
      <w:bookmarkStart w:id="9" w:name="_Toc243432489"/>
      <w:r>
        <w:lastRenderedPageBreak/>
        <w:t>Data</w:t>
      </w:r>
      <w:bookmarkEnd w:id="9"/>
      <w:r>
        <w:t xml:space="preserve"> </w:t>
      </w:r>
    </w:p>
    <w:p w14:paraId="44CE75A8"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combine one real PMS extract with simulated tables that fill its gaps. Every field is labelled REAL, DERIVED (computed from real data), SYNTHETIC (simulated from a documented assumptions register) or SYSTEM (written later by the model, rules and n8n), so simulated figures are never presented as facts.</w:t>
      </w:r>
    </w:p>
    <w:p w14:paraId="3F8499DA" w14:textId="77777777" w:rsidR="00FE41A1" w:rsidRDefault="00FE41A1">
      <w:pPr>
        <w:rPr>
          <w:rFonts w:ascii="Times New Roman" w:eastAsia="Times New Roman" w:hAnsi="Times New Roman" w:cs="Times New Roman"/>
          <w:sz w:val="24"/>
          <w:szCs w:val="24"/>
        </w:rPr>
      </w:pPr>
    </w:p>
    <w:p w14:paraId="5D0F28A5" w14:textId="77777777" w:rsidR="00FE41A1" w:rsidRDefault="00C20FEB">
      <w:pPr>
        <w:pStyle w:val="Heading2"/>
      </w:pPr>
      <w:bookmarkStart w:id="10" w:name="_Toc243432490"/>
      <w:r>
        <w:t>4.1 Data sources and audit</w:t>
      </w:r>
      <w:bookmarkEnd w:id="10"/>
    </w:p>
    <w:p w14:paraId="299723B9" w14:textId="77777777" w:rsidR="00FE41A1" w:rsidRDefault="00C20FEB">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w:t>
      </w:r>
      <w:r>
        <w:rPr>
          <w:rFonts w:ascii="Times New Roman" w:eastAsia="Times New Roman" w:hAnsi="Times New Roman" w:cs="Times New Roman"/>
          <w:sz w:val="24"/>
          <w:szCs w:val="24"/>
        </w:rPr>
        <w:t xml:space="preserve"> City Hotel Lisbon bookings from a hotel PMS extract (Antonio et al., 2019b): 79,330 of the file's 119,390 rows, arrivals July 2015 – August 2017, values recorded the day before arrival. The target is_canceled covers cancellations (40.6%) and no-shows (1.2%). The data are anonymised and match the published description on every check.</w:t>
      </w:r>
    </w:p>
    <w:p w14:paraId="26424B9F" w14:textId="77777777" w:rsidR="00FE41A1" w:rsidRDefault="00C20FEB">
      <w:pPr>
        <w:numPr>
          <w:ilvl w:val="0"/>
          <w:numId w:val="16"/>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Audit:</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94"/>
        <w:gridCol w:w="5496"/>
        <w:gridCol w:w="2370"/>
      </w:tblGrid>
      <w:tr w:rsidR="00FE41A1" w14:paraId="7AEF413E" w14:textId="77777777">
        <w:trPr>
          <w:trHeight w:val="515"/>
        </w:trPr>
        <w:tc>
          <w:tcPr>
            <w:tcW w:w="1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5BDD50" w14:textId="77777777" w:rsidR="00FE41A1" w:rsidRDefault="00C20FE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Issue</w:t>
            </w:r>
          </w:p>
        </w:tc>
        <w:tc>
          <w:tcPr>
            <w:tcW w:w="5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463C00" w14:textId="77777777" w:rsidR="00FE41A1" w:rsidRDefault="00C20FE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Finding</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78A218" w14:textId="77777777" w:rsidR="00FE41A1" w:rsidRDefault="00C20FE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Decision</w:t>
            </w:r>
          </w:p>
        </w:tc>
      </w:tr>
      <w:tr w:rsidR="00FE41A1" w14:paraId="0C46B99F" w14:textId="77777777">
        <w:trPr>
          <w:trHeight w:val="785"/>
        </w:trPr>
        <w:tc>
          <w:tcPr>
            <w:tcW w:w="1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A6CF26"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Missing values</w:t>
            </w:r>
          </w:p>
        </w:tc>
        <w:tc>
          <w:tcPr>
            <w:tcW w:w="5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65C6BC"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company 95.4% and agent 10.3% empty (= none); country 24 rows, children 4 rows</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8603A6"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Flag or fill</w:t>
            </w:r>
          </w:p>
        </w:tc>
      </w:tr>
      <w:tr w:rsidR="00FE41A1" w14:paraId="3222C70B" w14:textId="77777777">
        <w:trPr>
          <w:trHeight w:val="785"/>
        </w:trPr>
        <w:tc>
          <w:tcPr>
            <w:tcW w:w="1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4BB2BA"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Duplicates</w:t>
            </w:r>
          </w:p>
        </w:tc>
        <w:tc>
          <w:tcPr>
            <w:tcW w:w="5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143242"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25,902 rows (32.7%), mostly Groups; cancel 66% vs 30%</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D8D9A7"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Likely block bookings: flag, keep</w:t>
            </w:r>
          </w:p>
        </w:tc>
      </w:tr>
      <w:tr w:rsidR="00FE41A1" w14:paraId="3942F861" w14:textId="77777777">
        <w:trPr>
          <w:trHeight w:val="785"/>
        </w:trPr>
        <w:tc>
          <w:tcPr>
            <w:tcW w:w="1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3AAFB5"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Invalid values</w:t>
            </w:r>
          </w:p>
        </w:tc>
        <w:tc>
          <w:tcPr>
            <w:tcW w:w="5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73B43C"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One ADR of EUR 5,400; 700 paid bookings with ADR 0; 331 zero-night and 167 zero-guest rows</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D6107B"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Flag; impossible rows excluded</w:t>
            </w:r>
          </w:p>
        </w:tc>
      </w:tr>
      <w:tr w:rsidR="00FE41A1" w14:paraId="273054E0" w14:textId="77777777">
        <w:trPr>
          <w:trHeight w:val="785"/>
        </w:trPr>
        <w:tc>
          <w:tcPr>
            <w:tcW w:w="1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3F75D5"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 number</w:t>
            </w:r>
          </w:p>
        </w:tc>
        <w:tc>
          <w:tcPr>
            <w:tcW w:w="5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9848FD"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Not ISO weeks (0% match in 2016)</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34FF3B"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Rebuilt from the arrival date</w:t>
            </w:r>
          </w:p>
        </w:tc>
      </w:tr>
    </w:tbl>
    <w:p w14:paraId="0434D212" w14:textId="77777777" w:rsidR="00FE41A1" w:rsidRDefault="00C20FEB">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Preliminary EDA: </w:t>
      </w:r>
      <w:r>
        <w:rPr>
          <w:rFonts w:ascii="Times New Roman" w:eastAsia="Times New Roman" w:hAnsi="Times New Roman" w:cs="Times New Roman"/>
          <w:sz w:val="24"/>
          <w:szCs w:val="24"/>
        </w:rPr>
        <w:t>41.7% of bookings do not arrive, tying up EUR 10.9M of EUR 25.3M gross booked value (43%). Cancellation rises from 12% at 0–7 days lead time to 71% beyond a year, and ranges from 17% (Direct) to 69% (Groups). Notice is usually long (median 58 days), so many rooms can be resold in principle.</w:t>
      </w:r>
    </w:p>
    <w:p w14:paraId="796BB4F5" w14:textId="77777777" w:rsidR="00FE41A1" w:rsidRDefault="00C20FEB">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gaps:</w:t>
      </w:r>
      <w:r>
        <w:rPr>
          <w:rFonts w:ascii="Times New Roman" w:eastAsia="Times New Roman" w:hAnsi="Times New Roman" w:cs="Times New Roman"/>
          <w:sz w:val="24"/>
          <w:szCs w:val="24"/>
        </w:rPr>
        <w:t xml:space="preserve"> The data predict well but lack what revenue decisions need: 12 of 17 data needs are missing, mainly room cost, commission, inventory, resale and guest contact. These are filled with labelled synthetic tables (Section 4.3); intervention uplift can only come from a pilot.</w:t>
      </w:r>
    </w:p>
    <w:p w14:paraId="340A1297" w14:textId="77777777" w:rsidR="00FE41A1" w:rsidRDefault="00FE41A1">
      <w:pPr>
        <w:ind w:left="720"/>
        <w:rPr>
          <w:rFonts w:ascii="Times New Roman" w:eastAsia="Times New Roman" w:hAnsi="Times New Roman" w:cs="Times New Roman"/>
          <w:sz w:val="24"/>
          <w:szCs w:val="24"/>
        </w:rPr>
      </w:pPr>
    </w:p>
    <w:p w14:paraId="017800CD" w14:textId="77777777" w:rsidR="00FE41A1" w:rsidRDefault="00C20FEB">
      <w:pPr>
        <w:pStyle w:val="Heading2"/>
      </w:pPr>
      <w:bookmarkStart w:id="11" w:name="_Toc243432491"/>
      <w:r>
        <w:t>4.2 Data architecture and schema</w:t>
      </w:r>
      <w:bookmarkEnd w:id="11"/>
    </w:p>
    <w:p w14:paraId="73C3790F"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tables share one key, booking_id: booking-level tables join 1:1, and room inventory joins through the nights each booking covers.</w:t>
      </w:r>
    </w:p>
    <w:p w14:paraId="2D082452"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ABBF8E3" wp14:editId="5847F4F4">
            <wp:extent cx="5919788" cy="518143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r="26763"/>
                    <a:stretch>
                      <a:fillRect/>
                    </a:stretch>
                  </pic:blipFill>
                  <pic:spPr>
                    <a:xfrm>
                      <a:off x="0" y="0"/>
                      <a:ext cx="5919788" cy="5181433"/>
                    </a:xfrm>
                    <a:prstGeom prst="rect">
                      <a:avLst/>
                    </a:prstGeom>
                    <a:ln/>
                  </pic:spPr>
                </pic:pic>
              </a:graphicData>
            </a:graphic>
          </wp:inline>
        </w:drawing>
      </w:r>
    </w:p>
    <w:p w14:paraId="2C662426"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Simulated tables feed value-at-risk and scenarios, never the classifier. The schema runs in PostgreSQL with keys and CHECK constraints (for example, an action needing approval cannot run automatically) and passes 30 of 30 load checks; all 100 fields are documented in a data dictionary.</w:t>
      </w:r>
    </w:p>
    <w:p w14:paraId="65858EC8" w14:textId="77777777" w:rsidR="00FE41A1" w:rsidRDefault="00FE41A1">
      <w:pPr>
        <w:pStyle w:val="Heading2"/>
      </w:pPr>
      <w:bookmarkStart w:id="12" w:name="_79zmtxz5h9ge" w:colFirst="0" w:colLast="0"/>
      <w:bookmarkEnd w:id="12"/>
    </w:p>
    <w:p w14:paraId="4FC38BB6" w14:textId="77777777" w:rsidR="00FE41A1" w:rsidRDefault="00C20FEB">
      <w:pPr>
        <w:pStyle w:val="Heading2"/>
      </w:pPr>
      <w:bookmarkStart w:id="13" w:name="_Toc243432492"/>
      <w:r>
        <w:t>4.3 Data sources and features</w:t>
      </w:r>
      <w:bookmarkEnd w:id="13"/>
    </w:p>
    <w:p w14:paraId="1BD3A507" w14:textId="77777777" w:rsidR="00FE41A1" w:rsidRDefault="00C20FEB">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Real fields:</w:t>
      </w:r>
      <w:r>
        <w:rPr>
          <w:rFonts w:ascii="Times New Roman" w:eastAsia="Times New Roman" w:hAnsi="Times New Roman" w:cs="Times New Roman"/>
          <w:sz w:val="24"/>
          <w:szCs w:val="24"/>
        </w:rPr>
        <w:t xml:space="preserve"> Booking timing, stay and party, price (ADR), commercial attributes (segment, channel, deposit, customer type, agent) and guest history. Outcome fields, assigned room, country and booking_changes are never features (Section 4.5).</w:t>
      </w:r>
    </w:p>
    <w:p w14:paraId="216EC434" w14:textId="77777777" w:rsidR="00FE41A1" w:rsidRDefault="00C20FEB">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Simulated data:</w:t>
      </w:r>
      <w:r>
        <w:rPr>
          <w:rFonts w:ascii="Times New Roman" w:eastAsia="Times New Roman" w:hAnsi="Times New Roman" w:cs="Times New Roman"/>
          <w:sz w:val="24"/>
          <w:szCs w:val="24"/>
        </w:rPr>
        <w:t xml:space="preserve"> All values come from one assumptions register, sourced for Lisbon or Portugal 2015–2017 where possible, each with a sensitivity range.</w:t>
      </w:r>
    </w:p>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8"/>
        <w:gridCol w:w="3057"/>
        <w:gridCol w:w="3685"/>
      </w:tblGrid>
      <w:tr w:rsidR="00FE41A1" w14:paraId="30E3353E" w14:textId="77777777">
        <w:trPr>
          <w:trHeight w:val="515"/>
        </w:trPr>
        <w:tc>
          <w:tcPr>
            <w:tcW w:w="26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69BD62" w14:textId="77777777" w:rsidR="00FE41A1" w:rsidRDefault="00C20FE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30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931ECF" w14:textId="77777777" w:rsidR="00FE41A1" w:rsidRDefault="00C20FE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Base value</w:t>
            </w:r>
          </w:p>
        </w:tc>
        <w:tc>
          <w:tcPr>
            <w:tcW w:w="36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11CC9B" w14:textId="77777777" w:rsidR="00FE41A1" w:rsidRDefault="00C20FE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Basis</w:t>
            </w:r>
          </w:p>
        </w:tc>
      </w:tr>
      <w:tr w:rsidR="00FE41A1" w14:paraId="5CA71CD0" w14:textId="77777777">
        <w:trPr>
          <w:trHeight w:val="785"/>
        </w:trPr>
        <w:tc>
          <w:tcPr>
            <w:tcW w:w="26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7E6AAF"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Room cost per night</w:t>
            </w:r>
          </w:p>
        </w:tc>
        <w:tc>
          <w:tcPr>
            <w:tcW w:w="30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CF8946"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27% of median ADR (room type × month)</w:t>
            </w:r>
          </w:p>
        </w:tc>
        <w:tc>
          <w:tcPr>
            <w:tcW w:w="36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22A22"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Mandelbaum &amp; McDade, 2017; Rushmore, 2011 (proxy); range 25–30%</w:t>
            </w:r>
          </w:p>
        </w:tc>
      </w:tr>
      <w:tr w:rsidR="00FE41A1" w14:paraId="2D6F2694" w14:textId="77777777">
        <w:trPr>
          <w:trHeight w:val="75"/>
        </w:trPr>
        <w:tc>
          <w:tcPr>
            <w:tcW w:w="26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0935D3"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Channel commission</w:t>
            </w:r>
          </w:p>
        </w:tc>
        <w:tc>
          <w:tcPr>
            <w:tcW w:w="30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62A677"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Online TA 18%, Offline TA/TO 20%, Groups 10%, Direct 0%</w:t>
            </w:r>
          </w:p>
        </w:tc>
        <w:tc>
          <w:tcPr>
            <w:tcW w:w="36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98C94C"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(Toulon, 2014) weighted by OTA shares (Schegg, 2018)</w:t>
            </w:r>
          </w:p>
        </w:tc>
      </w:tr>
      <w:tr w:rsidR="00FE41A1" w14:paraId="2A0CDE52" w14:textId="77777777">
        <w:trPr>
          <w:trHeight w:val="285"/>
        </w:trPr>
        <w:tc>
          <w:tcPr>
            <w:tcW w:w="26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27B790"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Handling cost</w:t>
            </w:r>
          </w:p>
        </w:tc>
        <w:tc>
          <w:tcPr>
            <w:tcW w:w="30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9C0D7"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8–15 minutes × EUR 9.40 per hour</w:t>
            </w:r>
          </w:p>
        </w:tc>
        <w:tc>
          <w:tcPr>
            <w:tcW w:w="36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7D46C"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(“Salários médios sobem,” 2018)</w:t>
            </w:r>
          </w:p>
        </w:tc>
      </w:tr>
      <w:tr w:rsidR="00FE41A1" w14:paraId="3F82A664" w14:textId="77777777">
        <w:trPr>
          <w:trHeight w:val="285"/>
        </w:trPr>
        <w:tc>
          <w:tcPr>
            <w:tcW w:w="26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B9B447"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Deposit retained</w:t>
            </w:r>
          </w:p>
        </w:tc>
        <w:tc>
          <w:tcPr>
            <w:tcW w:w="30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45D305"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0% (Non Refund tested up to 100%)</w:t>
            </w:r>
          </w:p>
        </w:tc>
        <w:tc>
          <w:tcPr>
            <w:tcW w:w="36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BD4EBD"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Team assumption: amount not recorded</w:t>
            </w:r>
          </w:p>
        </w:tc>
      </w:tr>
      <w:tr w:rsidR="00FE41A1" w14:paraId="79EDF359" w14:textId="77777777">
        <w:trPr>
          <w:trHeight w:val="210"/>
        </w:trPr>
        <w:tc>
          <w:tcPr>
            <w:tcW w:w="26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361C61"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Resale</w:t>
            </w:r>
          </w:p>
        </w:tc>
        <w:tc>
          <w:tcPr>
            <w:tcW w:w="30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EB64BE"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10–70% by notice × demand, at 90% of ADR</w:t>
            </w:r>
          </w:p>
        </w:tc>
        <w:tc>
          <w:tcPr>
            <w:tcW w:w="36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84AD02"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Team assumption; capped by rooms actually sold</w:t>
            </w:r>
          </w:p>
        </w:tc>
      </w:tr>
      <w:tr w:rsidR="00FE41A1" w14:paraId="75F293D1" w14:textId="77777777">
        <w:tc>
          <w:tcPr>
            <w:tcW w:w="26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9DA46E"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Room capacity</w:t>
            </w:r>
          </w:p>
        </w:tc>
        <w:tc>
          <w:tcPr>
            <w:tcW w:w="30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B9D69F"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252 rooms (peak occupancy per type)</w:t>
            </w:r>
          </w:p>
        </w:tc>
        <w:tc>
          <w:tcPr>
            <w:tcW w:w="36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6B5040"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Derived; 71.3% occupancy in 2016 vs (“Hotelaria de Lisboa,” 2017)</w:t>
            </w:r>
          </w:p>
        </w:tc>
      </w:tr>
      <w:tr w:rsidR="00FE41A1" w14:paraId="3E47DFC3" w14:textId="77777777">
        <w:trPr>
          <w:trHeight w:val="240"/>
        </w:trPr>
        <w:tc>
          <w:tcPr>
            <w:tcW w:w="26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DC0C5"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Guest contact, response, satisfaction, reason</w:t>
            </w:r>
          </w:p>
        </w:tc>
        <w:tc>
          <w:tcPr>
            <w:tcW w:w="30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792B8B"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30.1% contacted; response drawn from the outcome</w:t>
            </w:r>
          </w:p>
        </w:tc>
        <w:tc>
          <w:tcPr>
            <w:tcW w:w="36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885594"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Team assumption; workflow design only</w:t>
            </w:r>
          </w:p>
        </w:tc>
      </w:tr>
    </w:tbl>
    <w:p w14:paraId="6660233D"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On these assumptions, 50.7% of cancelled room-nights are resold, and cancelled bookings lose about EUR 3.8M in contribution net of resale. The loss falls to EUR 0.6M if Non Refund deposits are kept, so the deposit assumption matters most.</w:t>
      </w:r>
    </w:p>
    <w:p w14:paraId="1134CE7A" w14:textId="77777777" w:rsidR="00FE41A1" w:rsidRDefault="00C20FEB">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 features:</w:t>
      </w:r>
      <w:r>
        <w:rPr>
          <w:rFonts w:ascii="Times New Roman" w:eastAsia="Times New Roman" w:hAnsi="Times New Roman" w:cs="Times New Roman"/>
          <w:sz w:val="24"/>
          <w:szCs w:val="24"/>
        </w:rPr>
        <w:t xml:space="preserve"> The modelling set holds 78,892 bookings. The individual model uses 36 numeric and 7 categorical booking-time features (lead time, season, stay, price vs reference, history, top-15 agent, bookings on the books), plus 4 day-before-arrival fields in a secondary set. Feature statistics are fitted on training data only.</w:t>
      </w:r>
    </w:p>
    <w:p w14:paraId="31E1E6B4" w14:textId="77777777" w:rsidR="00FE41A1" w:rsidRDefault="00FE41A1">
      <w:pPr>
        <w:pStyle w:val="Heading2"/>
      </w:pPr>
      <w:bookmarkStart w:id="14" w:name="_4e2bbrp4i7g2" w:colFirst="0" w:colLast="0"/>
      <w:bookmarkEnd w:id="14"/>
    </w:p>
    <w:p w14:paraId="425C4CB3" w14:textId="77777777" w:rsidR="00FE41A1" w:rsidRDefault="00C20FEB">
      <w:pPr>
        <w:pStyle w:val="Heading2"/>
      </w:pPr>
      <w:bookmarkStart w:id="15" w:name="_Toc243432493"/>
      <w:r>
        <w:t>4.4 Data preparation</w:t>
      </w:r>
      <w:bookmarkEnd w:id="15"/>
    </w:p>
    <w:p w14:paraId="69F7498A"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Cleaning keeps all 79,330 rows and flags problems instead of deleting them. Only 438 impossible rows (0.55%: zero guests or nights, the ADR error, undefined segment) are excluded, leaving 78,892 for modelling. Duplicates are kept and flagged, and results are reported with and without them. The simulated tables pass 39 validation checks and are joined 1:1 with the prefix syn_.</w:t>
      </w:r>
    </w:p>
    <w:p w14:paraId="4ECD1D28"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Bookings are split into two populations because they need different decisions:</w:t>
      </w:r>
    </w:p>
    <w:tbl>
      <w:tblPr>
        <w:tblStyle w:val="a9"/>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3765"/>
        <w:gridCol w:w="1350"/>
        <w:gridCol w:w="2760"/>
      </w:tblGrid>
      <w:tr w:rsidR="00FE41A1" w14:paraId="073E4752" w14:textId="77777777">
        <w:trPr>
          <w:trHeight w:val="165"/>
        </w:trPr>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E46232" w14:textId="77777777" w:rsidR="00FE41A1" w:rsidRDefault="00C20FE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Population</w:t>
            </w:r>
          </w:p>
        </w:tc>
        <w:tc>
          <w:tcPr>
            <w:tcW w:w="3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97E9C3" w14:textId="77777777" w:rsidR="00FE41A1" w:rsidRDefault="00C20FE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Rule</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EFB043" w14:textId="77777777" w:rsidR="00FE41A1" w:rsidRDefault="00C20FE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Bookings</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49CCB1" w14:textId="77777777" w:rsidR="00FE41A1" w:rsidRDefault="00C20FEB">
            <w:pPr>
              <w:jc w:val="center"/>
              <w:rPr>
                <w:rFonts w:ascii="Times New Roman" w:eastAsia="Times New Roman" w:hAnsi="Times New Roman" w:cs="Times New Roman"/>
                <w:b/>
                <w:bCs/>
                <w:sz w:val="24"/>
                <w:szCs w:val="24"/>
              </w:rPr>
            </w:pPr>
            <w:r>
              <w:rPr>
                <w:rFonts w:ascii="Cardo" w:eastAsia="Cardo" w:hAnsi="Cardo" w:cs="Cardo"/>
                <w:b/>
                <w:bCs/>
                <w:sz w:val="24"/>
                <w:szCs w:val="24"/>
              </w:rPr>
              <w:t>Cancel rate: 2015–16 → 2017</w:t>
            </w:r>
          </w:p>
        </w:tc>
      </w:tr>
      <w:tr w:rsidR="00FE41A1" w14:paraId="099E5D5E" w14:textId="77777777">
        <w:trPr>
          <w:trHeight w:val="15"/>
        </w:trPr>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42BDEC"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Individual</w:t>
            </w:r>
          </w:p>
        </w:tc>
        <w:tc>
          <w:tcPr>
            <w:tcW w:w="3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7D07B9"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other bookings</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9E258A"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52,676</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12F71A" w14:textId="77777777" w:rsidR="00FE41A1" w:rsidRDefault="00C20FEB">
            <w:pPr>
              <w:rPr>
                <w:rFonts w:ascii="Times New Roman" w:eastAsia="Times New Roman" w:hAnsi="Times New Roman" w:cs="Times New Roman"/>
                <w:sz w:val="24"/>
                <w:szCs w:val="24"/>
              </w:rPr>
            </w:pPr>
            <w:r>
              <w:rPr>
                <w:rFonts w:ascii="Cardo" w:eastAsia="Cardo" w:hAnsi="Cardo" w:cs="Cardo"/>
                <w:sz w:val="24"/>
                <w:szCs w:val="24"/>
              </w:rPr>
              <w:t>28.0% → 34.4%</w:t>
            </w:r>
          </w:p>
        </w:tc>
      </w:tr>
      <w:tr w:rsidR="00FE41A1" w14:paraId="552FE639" w14:textId="77777777">
        <w:trPr>
          <w:trHeight w:val="197"/>
        </w:trPr>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70861E"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Group / block</w:t>
            </w:r>
          </w:p>
        </w:tc>
        <w:tc>
          <w:tcPr>
            <w:tcW w:w="3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D5E263"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Groups segment, Non Refund deposit, or 5+ identical bookings</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5AD515"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26,216</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AD5202" w14:textId="77777777" w:rsidR="00FE41A1" w:rsidRDefault="00C20FEB">
            <w:pPr>
              <w:rPr>
                <w:rFonts w:ascii="Times New Roman" w:eastAsia="Times New Roman" w:hAnsi="Times New Roman" w:cs="Times New Roman"/>
                <w:sz w:val="24"/>
                <w:szCs w:val="24"/>
              </w:rPr>
            </w:pPr>
            <w:r>
              <w:rPr>
                <w:rFonts w:ascii="Cardo" w:eastAsia="Cardo" w:hAnsi="Cardo" w:cs="Cardo"/>
                <w:sz w:val="24"/>
                <w:szCs w:val="24"/>
              </w:rPr>
              <w:t>64.2% → 66.7%</w:t>
            </w:r>
          </w:p>
        </w:tc>
      </w:tr>
    </w:tbl>
    <w:p w14:paraId="29A00E32"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are split by arrival date: train up to December 2016, test January–August 2017, with October–December 2016 held out for validation.</w:t>
      </w:r>
    </w:p>
    <w:p w14:paraId="7C4D66CE" w14:textId="77777777" w:rsidR="00FE41A1" w:rsidRDefault="00FE41A1">
      <w:pPr>
        <w:pStyle w:val="Heading2"/>
      </w:pPr>
      <w:bookmarkStart w:id="16" w:name="_6e6bgzlfo0n4" w:colFirst="0" w:colLast="0"/>
      <w:bookmarkEnd w:id="16"/>
    </w:p>
    <w:p w14:paraId="406DFA73" w14:textId="77777777" w:rsidR="00FE41A1" w:rsidRDefault="00C20FEB">
      <w:pPr>
        <w:pStyle w:val="Heading2"/>
      </w:pPr>
      <w:bookmarkStart w:id="17" w:name="_Toc243432494"/>
      <w:r>
        <w:t>4.5 Exploratory analysis and leakage checks</w:t>
      </w:r>
      <w:bookmarkEnd w:id="17"/>
    </w:p>
    <w:p w14:paraId="562DF34E" w14:textId="77777777" w:rsidR="00FE41A1" w:rsidRDefault="00C20FEB">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Strongest signals:</w:t>
      </w:r>
      <w:r>
        <w:rPr>
          <w:rFonts w:ascii="Times New Roman" w:eastAsia="Times New Roman" w:hAnsi="Times New Roman" w:cs="Times New Roman"/>
          <w:sz w:val="24"/>
          <w:szCs w:val="24"/>
        </w:rPr>
        <w:t xml:space="preserve"> deposit type, agent, segment and lead time. Among individual guests the signal is weaker (special requests, last-minute booking, lead time).</w:t>
      </w:r>
    </w:p>
    <w:p w14:paraId="3BDBD5E5" w14:textId="77777777" w:rsidR="00FE41A1" w:rsidRDefault="00C20FEB">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Group blocks</w:t>
      </w:r>
      <w:r>
        <w:rPr>
          <w:rFonts w:ascii="Times New Roman" w:eastAsia="Times New Roman" w:hAnsi="Times New Roman" w:cs="Times New Roman"/>
          <w:sz w:val="24"/>
          <w:szCs w:val="24"/>
        </w:rPr>
        <w:t xml:space="preserve"> cancel early (median 83 days before arrival) and in batches; individuals cancel later (36 days) and one by one.</w:t>
      </w:r>
    </w:p>
    <w:p w14:paraId="7BA994DE" w14:textId="77777777" w:rsidR="00FE41A1" w:rsidRDefault="00C20FEB">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Season matters less</w:t>
      </w:r>
      <w:r>
        <w:rPr>
          <w:rFonts w:ascii="Times New Roman" w:eastAsia="Times New Roman" w:hAnsi="Times New Roman" w:cs="Times New Roman"/>
          <w:sz w:val="24"/>
          <w:szCs w:val="24"/>
        </w:rPr>
        <w:t xml:space="preserve"> than lead time × segment: monthly cancellation rates range only from 37% to 46%.</w:t>
      </w:r>
    </w:p>
    <w:p w14:paraId="33C11152" w14:textId="77777777" w:rsidR="00FE41A1" w:rsidRDefault="00C20FEB">
      <w:pPr>
        <w:numPr>
          <w:ilvl w:val="0"/>
          <w:numId w:val="4"/>
        </w:numPr>
        <w:rPr>
          <w:rFonts w:ascii="Times New Roman" w:eastAsia="Times New Roman" w:hAnsi="Times New Roman" w:cs="Times New Roman"/>
          <w:sz w:val="24"/>
          <w:szCs w:val="24"/>
        </w:rPr>
      </w:pPr>
      <w:r>
        <w:rPr>
          <w:rFonts w:ascii="Cardo" w:eastAsia="Cardo" w:hAnsi="Cardo" w:cs="Cardo"/>
          <w:b/>
          <w:bCs/>
          <w:sz w:val="24"/>
          <w:szCs w:val="24"/>
        </w:rPr>
        <w:t>Drift 2016 → 2017:</w:t>
      </w:r>
      <w:r>
        <w:rPr>
          <w:rFonts w:ascii="Times New Roman" w:eastAsia="Times New Roman" w:hAnsi="Times New Roman" w:cs="Times New Roman"/>
          <w:sz w:val="24"/>
          <w:szCs w:val="24"/>
        </w:rPr>
        <w:t xml:space="preserve"> new agents (PSI 1.09) and median ADR +16.5%, so agents are grouped as top 15 + other and ADR is measured against a reference.</w:t>
      </w:r>
    </w:p>
    <w:p w14:paraId="10C23642" w14:textId="77777777" w:rsidR="00FE41A1" w:rsidRDefault="00C20FEB">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Leakage:</w:t>
      </w:r>
      <w:r>
        <w:rPr>
          <w:rFonts w:ascii="Times New Roman" w:eastAsia="Times New Roman" w:hAnsi="Times New Roman" w:cs="Times New Roman"/>
          <w:sz w:val="24"/>
          <w:szCs w:val="24"/>
        </w:rPr>
        <w:t xml:space="preserve"> Fields not known at scoring time are excluded: reservation status, booking_changes, assigned room type, parking requests, realised occupancy and all simulated fields. 'country' is excluded for fairness and because its booking-time value is unverified. EDA saw 2017 labels, so model choice and thresholds use the 2016 validation period.</w:t>
      </w:r>
    </w:p>
    <w:p w14:paraId="05A82FB0" w14:textId="77777777" w:rsidR="00FE41A1" w:rsidRDefault="00FE41A1">
      <w:pPr>
        <w:pStyle w:val="Heading2"/>
      </w:pPr>
      <w:bookmarkStart w:id="18" w:name="_i4dbcxujexor" w:colFirst="0" w:colLast="0"/>
      <w:bookmarkEnd w:id="18"/>
    </w:p>
    <w:p w14:paraId="203A1EC6" w14:textId="77777777" w:rsidR="00FE41A1" w:rsidRDefault="00C20FEB">
      <w:pPr>
        <w:pStyle w:val="Heading2"/>
      </w:pPr>
      <w:bookmarkStart w:id="19" w:name="_Toc243432495"/>
      <w:r>
        <w:t>4.6 Example data extract</w:t>
      </w:r>
      <w:bookmarkEnd w:id="19"/>
    </w:p>
    <w:p w14:paraId="70BB4F5E"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A 30-booking stratified extract marks the origin of every column (real__, drv__, syn__). Three rows:</w:t>
      </w:r>
    </w:p>
    <w:tbl>
      <w:tblPr>
        <w:tblStyle w:val="a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1"/>
        <w:gridCol w:w="1502"/>
        <w:gridCol w:w="1252"/>
        <w:gridCol w:w="1697"/>
        <w:gridCol w:w="1572"/>
        <w:gridCol w:w="1586"/>
      </w:tblGrid>
      <w:tr w:rsidR="00FE41A1" w14:paraId="0743279F" w14:textId="77777777">
        <w:trPr>
          <w:trHeight w:val="660"/>
        </w:trPr>
        <w:tc>
          <w:tcPr>
            <w:tcW w:w="17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E0C740" w14:textId="77777777" w:rsidR="00FE41A1" w:rsidRDefault="00C20FE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w:t>
            </w:r>
          </w:p>
        </w:tc>
        <w:tc>
          <w:tcPr>
            <w:tcW w:w="15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48D710" w14:textId="77777777" w:rsidR="00FE41A1" w:rsidRDefault="00C20FE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Segment, deposit</w:t>
            </w:r>
          </w:p>
        </w:tc>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6F6179" w14:textId="77777777" w:rsidR="00FE41A1" w:rsidRDefault="00C20FE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Gross value (EUR)</w:t>
            </w:r>
          </w:p>
        </w:tc>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FB1E93" w14:textId="77777777" w:rsidR="00FE41A1" w:rsidRDefault="00C20FE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Room cost per night (syn, EUR)</w:t>
            </w:r>
          </w:p>
        </w:tc>
        <w:tc>
          <w:tcPr>
            <w:tcW w:w="15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0A90B" w14:textId="77777777" w:rsidR="00FE41A1" w:rsidRDefault="00C20FE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Commission (syn)</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F1FB51" w14:textId="77777777" w:rsidR="00FE41A1" w:rsidRDefault="00C20FE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Resale revenue (syn, EUR)</w:t>
            </w:r>
          </w:p>
        </w:tc>
      </w:tr>
      <w:tr w:rsidR="00FE41A1" w14:paraId="054FE9C1" w14:textId="77777777">
        <w:trPr>
          <w:trHeight w:val="375"/>
        </w:trPr>
        <w:tc>
          <w:tcPr>
            <w:tcW w:w="17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53C665"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Stayed, contacted by email</w:t>
            </w:r>
          </w:p>
        </w:tc>
        <w:tc>
          <w:tcPr>
            <w:tcW w:w="15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EEDD0B"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Online TA, No Deposit</w:t>
            </w:r>
          </w:p>
        </w:tc>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2CC5B"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324.90</w:t>
            </w:r>
          </w:p>
        </w:tc>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86A557"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25.34</w:t>
            </w:r>
          </w:p>
        </w:tc>
        <w:tc>
          <w:tcPr>
            <w:tcW w:w="15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81ABC2"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A7114F"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FE41A1" w14:paraId="1AFDF15D" w14:textId="77777777">
        <w:trPr>
          <w:trHeight w:val="90"/>
        </w:trPr>
        <w:tc>
          <w:tcPr>
            <w:tcW w:w="17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C753B9"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Cancelled, resold</w:t>
            </w:r>
          </w:p>
        </w:tc>
        <w:tc>
          <w:tcPr>
            <w:tcW w:w="15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E3CC68"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Online TA, No Deposit</w:t>
            </w:r>
          </w:p>
        </w:tc>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25705A"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535.50</w:t>
            </w:r>
          </w:p>
        </w:tc>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53D382"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25.49</w:t>
            </w:r>
          </w:p>
        </w:tc>
        <w:tc>
          <w:tcPr>
            <w:tcW w:w="15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E5FF84"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88324A"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200.37</w:t>
            </w:r>
          </w:p>
        </w:tc>
      </w:tr>
      <w:tr w:rsidR="00FE41A1" w14:paraId="0D010213" w14:textId="77777777">
        <w:tc>
          <w:tcPr>
            <w:tcW w:w="17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214445"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Cancelled, not resold</w:t>
            </w:r>
          </w:p>
        </w:tc>
        <w:tc>
          <w:tcPr>
            <w:tcW w:w="15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44C97B"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Groups, Non Refund</w:t>
            </w:r>
          </w:p>
        </w:tc>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F25949"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192.00</w:t>
            </w:r>
          </w:p>
        </w:tc>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582B0D"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24.70</w:t>
            </w:r>
          </w:p>
        </w:tc>
        <w:tc>
          <w:tcPr>
            <w:tcW w:w="15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849FE"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BB7EEC"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r>
    </w:tbl>
    <w:p w14:paraId="7AB93A50" w14:textId="77777777" w:rsidR="00FE41A1" w:rsidRDefault="00FE41A1">
      <w:pPr>
        <w:pStyle w:val="Heading2"/>
      </w:pPr>
      <w:bookmarkStart w:id="20" w:name="_pnzf37invf9t" w:colFirst="0" w:colLast="0"/>
      <w:bookmarkEnd w:id="20"/>
    </w:p>
    <w:p w14:paraId="2EFEFDBC" w14:textId="77777777" w:rsidR="00FE41A1" w:rsidRDefault="00C20FEB">
      <w:pPr>
        <w:pStyle w:val="Heading2"/>
      </w:pPr>
      <w:bookmarkStart w:id="21" w:name="_Toc243432496"/>
      <w:r>
        <w:t>4.7 Integration challenges</w:t>
      </w:r>
      <w:bookmarkEnd w:id="21"/>
    </w:p>
    <w:tbl>
      <w:tblPr>
        <w:tblStyle w:val="a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40"/>
        <w:gridCol w:w="5220"/>
      </w:tblGrid>
      <w:tr w:rsidR="00FE41A1" w14:paraId="34A6C25F" w14:textId="77777777">
        <w:trPr>
          <w:trHeight w:val="515"/>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58D3B7" w14:textId="77777777" w:rsidR="00FE41A1" w:rsidRDefault="00C20FE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ED2B8" w14:textId="77777777" w:rsidR="00FE41A1" w:rsidRDefault="00C20FE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response</w:t>
            </w:r>
          </w:p>
        </w:tc>
      </w:tr>
      <w:tr w:rsidR="00FE41A1" w14:paraId="532BCEB0" w14:textId="77777777">
        <w:trPr>
          <w:trHeight w:val="195"/>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B9525"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Several systems (PMS, channel manager, email/SMS, accounting) with different IDs</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159618"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One PostgreSQL schema keyed on booking_id, plus an ID mapping table</w:t>
            </w:r>
          </w:p>
        </w:tc>
      </w:tr>
      <w:tr w:rsidR="00FE41A1" w14:paraId="71180ABD" w14:textId="77777777">
        <w:trPr>
          <w:trHeight w:val="240"/>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A52A13"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Booking-level vs night × room-type data</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4C0993"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Separate tables joined through stay nights</w:t>
            </w:r>
          </w:p>
        </w:tc>
      </w:tr>
      <w:tr w:rsidR="00FE41A1" w14:paraId="1C3C5045" w14:textId="77777777">
        <w:trPr>
          <w:trHeight w:val="375"/>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60F9A8"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Snapshot data vs live scoring</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568BC2"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Time-stamped scores and actions; production keeps booking-change history</w:t>
            </w:r>
          </w:p>
        </w:tc>
      </w:tr>
      <w:tr w:rsidR="00FE41A1" w14:paraId="305882FC" w14:textId="77777777">
        <w:trPr>
          <w:trHeight w:val="75"/>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E022C9"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Real-time inventory</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A349F1"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Refreshed by n8n from the PMS (batch in the prototype)</w:t>
            </w:r>
          </w:p>
        </w:tc>
      </w:tr>
      <w:tr w:rsidR="00FE41A1" w14:paraId="41BD5B66" w14:textId="77777777">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A5CE9E"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Real vs simulated figures</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471C4"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is_synthetic flag and syn_ prefix everywhere</w:t>
            </w:r>
          </w:p>
        </w:tc>
      </w:tr>
    </w:tbl>
    <w:p w14:paraId="186820D0" w14:textId="77777777" w:rsidR="00FE41A1" w:rsidRDefault="00FE41A1">
      <w:pPr>
        <w:pStyle w:val="Heading2"/>
      </w:pPr>
      <w:bookmarkStart w:id="22" w:name="_octhwevkdwnd" w:colFirst="0" w:colLast="0"/>
      <w:bookmarkEnd w:id="22"/>
    </w:p>
    <w:p w14:paraId="6DBF8D59" w14:textId="77777777" w:rsidR="00FE41A1" w:rsidRDefault="00C20FEB">
      <w:pPr>
        <w:pStyle w:val="Heading2"/>
      </w:pPr>
      <w:bookmarkStart w:id="23" w:name="_Toc243432497"/>
      <w:r>
        <w:lastRenderedPageBreak/>
        <w:t>4.8 Privacy and ethics</w:t>
      </w:r>
      <w:bookmarkEnd w:id="23"/>
    </w:p>
    <w:p w14:paraId="689E7B9A"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public data are anonymised; a live system would fall under the GDPR, so the design adds four safeguards:</w:t>
      </w:r>
    </w:p>
    <w:p w14:paraId="22F8AEEB" w14:textId="77777777" w:rsidR="00FE41A1" w:rsidRDefault="00C20FEB">
      <w:pPr>
        <w:numPr>
          <w:ilvl w:val="0"/>
          <w:numId w:val="15"/>
        </w:numPr>
        <w:rPr>
          <w:sz w:val="24"/>
          <w:szCs w:val="24"/>
        </w:rPr>
      </w:pPr>
      <w:r>
        <w:rPr>
          <w:rFonts w:ascii="Times New Roman" w:eastAsia="Times New Roman" w:hAnsi="Times New Roman" w:cs="Times New Roman"/>
          <w:b/>
          <w:bCs/>
          <w:sz w:val="24"/>
          <w:szCs w:val="24"/>
        </w:rPr>
        <w:t>Minimisation:</w:t>
      </w:r>
      <w:r>
        <w:rPr>
          <w:rFonts w:ascii="Times New Roman" w:eastAsia="Times New Roman" w:hAnsi="Times New Roman" w:cs="Times New Roman"/>
          <w:sz w:val="24"/>
          <w:szCs w:val="24"/>
        </w:rPr>
        <w:t xml:space="preserve"> the model uses no names or contacts; personal data stay in a separate, access-controlled table.</w:t>
      </w:r>
    </w:p>
    <w:p w14:paraId="395B3D65" w14:textId="77777777" w:rsidR="00FE41A1" w:rsidRDefault="00C20FEB">
      <w:pPr>
        <w:numPr>
          <w:ilvl w:val="0"/>
          <w:numId w:val="15"/>
        </w:numPr>
        <w:rPr>
          <w:sz w:val="24"/>
          <w:szCs w:val="24"/>
        </w:rPr>
      </w:pPr>
      <w:r>
        <w:rPr>
          <w:rFonts w:ascii="Times New Roman" w:eastAsia="Times New Roman" w:hAnsi="Times New Roman" w:cs="Times New Roman"/>
          <w:b/>
          <w:bCs/>
          <w:sz w:val="24"/>
          <w:szCs w:val="24"/>
        </w:rPr>
        <w:t>Human review:</w:t>
      </w:r>
      <w:r>
        <w:rPr>
          <w:rFonts w:ascii="Times New Roman" w:eastAsia="Times New Roman" w:hAnsi="Times New Roman" w:cs="Times New Roman"/>
          <w:sz w:val="24"/>
          <w:szCs w:val="24"/>
        </w:rPr>
        <w:t xml:space="preserve"> deposit requests, hotel cancellations and relocations need staff approval (General Data Protection Regulation, 2016, Art. 22).</w:t>
      </w:r>
    </w:p>
    <w:p w14:paraId="7C4F253A" w14:textId="77777777" w:rsidR="00FE41A1" w:rsidRDefault="00C20FEB">
      <w:pPr>
        <w:numPr>
          <w:ilvl w:val="0"/>
          <w:numId w:val="15"/>
        </w:numPr>
        <w:rPr>
          <w:sz w:val="24"/>
          <w:szCs w:val="24"/>
        </w:rPr>
      </w:pPr>
      <w:r>
        <w:rPr>
          <w:rFonts w:ascii="Times New Roman" w:eastAsia="Times New Roman" w:hAnsi="Times New Roman" w:cs="Times New Roman"/>
          <w:b/>
          <w:bCs/>
          <w:sz w:val="24"/>
          <w:szCs w:val="24"/>
        </w:rPr>
        <w:t>Fairness:</w:t>
      </w:r>
      <w:r>
        <w:rPr>
          <w:rFonts w:ascii="Times New Roman" w:eastAsia="Times New Roman" w:hAnsi="Times New Roman" w:cs="Times New Roman"/>
          <w:sz w:val="24"/>
          <w:szCs w:val="24"/>
        </w:rPr>
        <w:t xml:space="preserve"> country is excluded from the model, and actions are monitored by segment and channel so no guest group is unfairly burdened.</w:t>
      </w:r>
    </w:p>
    <w:p w14:paraId="03542499" w14:textId="77777777" w:rsidR="00FE41A1" w:rsidRDefault="00C20FEB">
      <w:pPr>
        <w:numPr>
          <w:ilvl w:val="0"/>
          <w:numId w:val="15"/>
        </w:numPr>
        <w:rPr>
          <w:sz w:val="24"/>
          <w:szCs w:val="24"/>
        </w:rPr>
      </w:pPr>
      <w:r>
        <w:rPr>
          <w:rFonts w:ascii="Times New Roman" w:eastAsia="Times New Roman" w:hAnsi="Times New Roman" w:cs="Times New Roman"/>
          <w:b/>
          <w:bCs/>
          <w:sz w:val="24"/>
          <w:szCs w:val="24"/>
        </w:rPr>
        <w:t>Transparency:</w:t>
      </w:r>
      <w:r>
        <w:rPr>
          <w:rFonts w:ascii="Times New Roman" w:eastAsia="Times New Roman" w:hAnsi="Times New Roman" w:cs="Times New Roman"/>
          <w:sz w:val="24"/>
          <w:szCs w:val="24"/>
        </w:rPr>
        <w:t xml:space="preserve"> guests are told that bookings are risk-scored, and reports label every simulated figure.</w:t>
      </w:r>
    </w:p>
    <w:p w14:paraId="4E0CC53E" w14:textId="77777777" w:rsidR="00FE41A1" w:rsidRDefault="00FE41A1">
      <w:pPr>
        <w:ind w:left="425"/>
        <w:rPr>
          <w:rFonts w:ascii="Times New Roman" w:eastAsia="Times New Roman" w:hAnsi="Times New Roman" w:cs="Times New Roman"/>
          <w:sz w:val="24"/>
          <w:szCs w:val="24"/>
        </w:rPr>
      </w:pPr>
    </w:p>
    <w:p w14:paraId="5AF7B630" w14:textId="77777777" w:rsidR="00FE41A1" w:rsidRDefault="00C20FEB">
      <w:pPr>
        <w:pStyle w:val="Heading1"/>
        <w:numPr>
          <w:ilvl w:val="0"/>
          <w:numId w:val="13"/>
        </w:numPr>
      </w:pPr>
      <w:bookmarkStart w:id="24" w:name="_Toc243432498"/>
      <w:r>
        <w:t>Method</w:t>
      </w:r>
      <w:bookmarkEnd w:id="24"/>
    </w:p>
    <w:p w14:paraId="6C153809" w14:textId="77777777" w:rsidR="00FE41A1" w:rsidRDefault="00C20FEB">
      <w:pPr>
        <w:pStyle w:val="Heading2"/>
      </w:pPr>
      <w:bookmarkStart w:id="25" w:name="_Toc243432499"/>
      <w:r>
        <w:t>5.1. Method 1: Cancellation Risk Prediction (ML)</w:t>
      </w:r>
      <w:bookmarkEnd w:id="25"/>
    </w:p>
    <w:p w14:paraId="0513A0FE" w14:textId="77777777" w:rsidR="00FE41A1" w:rsidRDefault="00C20FEB">
      <w:pPr>
        <w:pStyle w:val="Heading3"/>
      </w:pPr>
      <w:bookmarkStart w:id="26" w:name="_Toc243432500"/>
      <w:r>
        <w:t>5.1.1. Purpose and scope</w:t>
      </w:r>
      <w:bookmarkEnd w:id="26"/>
    </w:p>
    <w:p w14:paraId="5D13DD27"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Purpose: </w:t>
      </w:r>
      <w:r>
        <w:rPr>
          <w:rFonts w:ascii="Cardo" w:eastAsia="Cardo" w:hAnsi="Cardo" w:cs="Cardo"/>
          <w:sz w:val="24"/>
          <w:szCs w:val="24"/>
        </w:rPr>
        <w:t>Score each individual booking by its cancellation risk at an early stage, so staff can prioritise a limited number of bookings for follow-up. The model ranks bookings. It does not make the final decision. The ranked list feeds Method 2 (rules → staff approval → action).</w:t>
      </w:r>
    </w:p>
    <w:p w14:paraId="5E1819CD" w14:textId="77777777" w:rsidR="00FE41A1" w:rsidRDefault="00C20FEB">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w:t>
      </w:r>
    </w:p>
    <w:p w14:paraId="5DA2B83E" w14:textId="77777777" w:rsidR="00FE41A1" w:rsidRDefault="00C20FEB">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Individual bookings only. Group bookings (group_block) follow a separate operational rule.</w:t>
      </w:r>
    </w:p>
    <w:p w14:paraId="46831C82" w14:textId="77777777" w:rsidR="00FE41A1" w:rsidRDefault="00C20FEB">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Target: is_canceled (cancelled or no-show).</w:t>
      </w:r>
    </w:p>
    <w:p w14:paraId="2EE975FA" w14:textId="77777777" w:rsidR="00FE41A1" w:rsidRDefault="00C20FEB">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real PMS extract, City Hotel Lisbon, Jul 2015 – Aug 2017.</w:t>
      </w:r>
    </w:p>
    <w:p w14:paraId="4D5FCDFD" w14:textId="77777777" w:rsidR="00FE41A1" w:rsidRDefault="00FE41A1">
      <w:pPr>
        <w:ind w:left="720"/>
        <w:jc w:val="both"/>
        <w:rPr>
          <w:rFonts w:ascii="Times New Roman" w:eastAsia="Times New Roman" w:hAnsi="Times New Roman" w:cs="Times New Roman"/>
          <w:sz w:val="24"/>
          <w:szCs w:val="24"/>
        </w:rPr>
      </w:pPr>
    </w:p>
    <w:p w14:paraId="6F6E3867" w14:textId="77777777" w:rsidR="00FE41A1" w:rsidRDefault="00C20FEB">
      <w:pPr>
        <w:pStyle w:val="Heading3"/>
      </w:pPr>
      <w:bookmarkStart w:id="27" w:name="_Toc243432501"/>
      <w:r>
        <w:t>5.1.2. Analytical design</w:t>
      </w:r>
      <w:bookmarkEnd w:id="27"/>
    </w:p>
    <w:p w14:paraId="7276AAEC"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Flowchart:</w:t>
      </w:r>
    </w:p>
    <w:p w14:paraId="4D8801F7" w14:textId="77777777" w:rsidR="00FE41A1" w:rsidRDefault="00C20F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noProof/>
          <w:sz w:val="24"/>
          <w:szCs w:val="24"/>
        </w:rPr>
        <w:drawing>
          <wp:inline distT="114300" distB="114300" distL="114300" distR="114300" wp14:anchorId="5B8D2256" wp14:editId="506B1415">
            <wp:extent cx="3524250" cy="4083811"/>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t="625" r="-962"/>
                    <a:stretch>
                      <a:fillRect/>
                    </a:stretch>
                  </pic:blipFill>
                  <pic:spPr>
                    <a:xfrm>
                      <a:off x="0" y="0"/>
                      <a:ext cx="3524250" cy="4083811"/>
                    </a:xfrm>
                    <a:prstGeom prst="rect">
                      <a:avLst/>
                    </a:prstGeom>
                    <a:ln/>
                  </pic:spPr>
                </pic:pic>
              </a:graphicData>
            </a:graphic>
          </wp:inline>
        </w:drawing>
      </w:r>
    </w:p>
    <w:p w14:paraId="75C03FA9" w14:textId="77777777" w:rsidR="00FE41A1" w:rsidRDefault="00C20FEB">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1. Method 1 analytical pipeline</w:t>
      </w:r>
    </w:p>
    <w:p w14:paraId="6B573BEA" w14:textId="77777777" w:rsidR="00FE41A1" w:rsidRDefault="00FE41A1">
      <w:pPr>
        <w:rPr>
          <w:rFonts w:ascii="Times New Roman" w:eastAsia="Times New Roman" w:hAnsi="Times New Roman" w:cs="Times New Roman"/>
          <w:b/>
          <w:bCs/>
          <w:sz w:val="24"/>
          <w:szCs w:val="24"/>
        </w:rPr>
      </w:pPr>
    </w:p>
    <w:p w14:paraId="0CA2743A"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Pseudo-pipeline:</w:t>
      </w:r>
    </w:p>
    <w:p w14:paraId="4F517E0E" w14:textId="77777777" w:rsidR="00FE41A1" w:rsidRDefault="00C20FEB">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6EE577A" wp14:editId="709EA1BC">
            <wp:extent cx="5943600" cy="16129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943600" cy="1612900"/>
                    </a:xfrm>
                    <a:prstGeom prst="rect">
                      <a:avLst/>
                    </a:prstGeom>
                    <a:ln/>
                  </pic:spPr>
                </pic:pic>
              </a:graphicData>
            </a:graphic>
          </wp:inline>
        </w:drawing>
      </w:r>
    </w:p>
    <w:p w14:paraId="045DC6A4" w14:textId="77777777" w:rsidR="00FE41A1" w:rsidRDefault="00FE41A1">
      <w:pPr>
        <w:rPr>
          <w:rFonts w:ascii="Times New Roman" w:eastAsia="Times New Roman" w:hAnsi="Times New Roman" w:cs="Times New Roman"/>
          <w:sz w:val="24"/>
          <w:szCs w:val="24"/>
        </w:rPr>
      </w:pPr>
    </w:p>
    <w:p w14:paraId="1C9A361B" w14:textId="77777777" w:rsidR="00FE41A1" w:rsidRDefault="00C20FE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selection rationale:</w:t>
      </w:r>
    </w:p>
    <w:p w14:paraId="631A69F2"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select models by how often their families appear in hotel-cancellation research and by what each does in a binary classification problem (Alkan, 2025; Chen et al., 2022; Devi &amp; Rambabu, 2026; Hermawan et al., 2025; Luo, 2025; Phong et al., 2025; Yoo et al., 2024). XGBoost appears in 5 of 7 studies. Logistic regression appears in 4 of 7 and never ranks first. Falk &amp; Vieru (2018) also use the same model family (probit) on 233,000 bookings for explanatory purposes.</w:t>
      </w:r>
    </w:p>
    <w:p w14:paraId="075F5557"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each model means for this classification problem:</w:t>
      </w:r>
    </w:p>
    <w:p w14:paraId="6F5997B6" w14:textId="77777777" w:rsidR="00FE41A1" w:rsidRDefault="00C20FEB">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Logistic Regression (LR)</w:t>
      </w:r>
      <w:r>
        <w:rPr>
          <w:rFonts w:ascii="Times New Roman" w:eastAsia="Times New Roman" w:hAnsi="Times New Roman" w:cs="Times New Roman"/>
          <w:sz w:val="24"/>
          <w:szCs w:val="24"/>
        </w:rPr>
        <w:t xml:space="preserve"> models the log-odds of cancellation as a linear combination of features, passed through a sigmoid. It gives well-behaved probabilities and odds ratios (e.g., how much a non-refundable deposit changes the odds). Its limit is that non-linear effects and interactions must be specified by hand (Hosmer et al., 2013). It serves as the transparent benchmark for Finance and the Revenue Manager.</w:t>
      </w:r>
    </w:p>
    <w:p w14:paraId="5B1E084B" w14:textId="77777777" w:rsidR="00FE41A1" w:rsidRDefault="00C20FEB">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XGBoost </w:t>
      </w:r>
      <w:r>
        <w:rPr>
          <w:rFonts w:ascii="Times New Roman" w:eastAsia="Times New Roman" w:hAnsi="Times New Roman" w:cs="Times New Roman"/>
          <w:sz w:val="24"/>
          <w:szCs w:val="24"/>
        </w:rPr>
        <w:t>is regularised gradient boosting. Trees are built sequentially, each one correcting the errors of the previous ensemble by following the gradient of the loss (Friedman, 2001). XGBoost adds shrinkage, L1/L2 penalties on leaf weights, row and column subsampling and built-in handling of missing values (Chen &amp; Guestrin, 2016). It reduces bias and is the most frequently used boosting implementation in the studies above (5 of 7). It is sensitive to hyperparameters, so it needs early stopping and a calibration che</w:t>
      </w:r>
      <w:r>
        <w:rPr>
          <w:rFonts w:ascii="Times New Roman" w:eastAsia="Times New Roman" w:hAnsi="Times New Roman" w:cs="Times New Roman"/>
          <w:sz w:val="24"/>
          <w:szCs w:val="24"/>
        </w:rPr>
        <w:t>ck.</w:t>
      </w:r>
    </w:p>
    <w:p w14:paraId="2A3103BB" w14:textId="77777777" w:rsidR="00FE41A1" w:rsidRDefault="00C20FEB">
      <w:pPr>
        <w:jc w:val="both"/>
        <w:rPr>
          <w:rFonts w:ascii="Times New Roman" w:eastAsia="Times New Roman" w:hAnsi="Times New Roman" w:cs="Times New Roman"/>
          <w:sz w:val="24"/>
          <w:szCs w:val="24"/>
        </w:rPr>
      </w:pPr>
      <w:r>
        <w:rPr>
          <w:rFonts w:ascii="Gungsuh" w:eastAsia="Gungsuh" w:hAnsi="Gungsuh" w:cs="Gungsuh"/>
          <w:sz w:val="24"/>
          <w:szCs w:val="24"/>
        </w:rPr>
        <w:t>These two models represent the linear, bagging and two boosting approaches. They suit our data: 79,330 bookings, mixed numeric and categorical features, threshold effects (lead time) and interactions (deposit × segment). All two output probabilities, which the ranking (top 20%) and the ≥ 75% intervention rule require. The dataset is small enough for every model to receive the same tuning budget, so the comparison is fair.</w:t>
      </w:r>
    </w:p>
    <w:p w14:paraId="3568F8A6" w14:textId="77777777" w:rsidR="00FE41A1" w:rsidRDefault="00FE41A1">
      <w:pPr>
        <w:rPr>
          <w:rFonts w:ascii="Times New Roman" w:eastAsia="Times New Roman" w:hAnsi="Times New Roman" w:cs="Times New Roman"/>
          <w:b/>
          <w:bCs/>
          <w:sz w:val="24"/>
          <w:szCs w:val="24"/>
        </w:rPr>
      </w:pPr>
    </w:p>
    <w:p w14:paraId="1717B85F" w14:textId="77777777" w:rsidR="00FE41A1" w:rsidRDefault="00C20FEB">
      <w:pPr>
        <w:pStyle w:val="Heading3"/>
        <w:jc w:val="both"/>
      </w:pPr>
      <w:bookmarkStart w:id="28" w:name="_Toc243432502"/>
      <w:r>
        <w:t>5.1.3. Prototype analysis (mock results)</w:t>
      </w:r>
      <w:bookmarkEnd w:id="28"/>
    </w:p>
    <w:p w14:paraId="0408D39B" w14:textId="77777777" w:rsidR="00FE41A1" w:rsidRDefault="00C20FEB">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Ranking, not classification. Operation is a top-k% queue sized to staff capacity, not a 0.5 cut-off.</w:t>
      </w:r>
    </w:p>
    <w:p w14:paraId="61AA9289" w14:textId="77777777" w:rsidR="00FE41A1" w:rsidRDefault="00C20FEB">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leakage. Time-based split, preprocessing fitted inside each fold, test excluded from tuning and selection. Earlier scores above 0.80 were discarded because they came from leakage (group bookings mixed in, snapshot features, random split).</w:t>
      </w:r>
    </w:p>
    <w:p w14:paraId="67C47892" w14:textId="77777777" w:rsidR="00FE41A1" w:rsidRDefault="00C20FEB">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Simplest adequate model. Logistic regression was selected. Tree models won temporal CV but lost on validation 2016-H2, so stability was preferred over complexity.</w:t>
      </w:r>
    </w:p>
    <w:p w14:paraId="77525AF8" w14:textId="77777777" w:rsidR="00FE41A1" w:rsidRDefault="00C20FEB">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Two checks that changed nothing. Re-tuning without the outlier first fold gave no validation gain (best-by-CV model 0.424 vs 0.457). Probability calibration (Platt, isotonic) worsened Brier, so raw probabilities are used.</w:t>
      </w: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1875"/>
        <w:gridCol w:w="3045"/>
        <w:gridCol w:w="1935"/>
      </w:tblGrid>
      <w:tr w:rsidR="00FE41A1" w14:paraId="511AC59B" w14:textId="77777777">
        <w:tc>
          <w:tcPr>
            <w:tcW w:w="250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D78C572" w14:textId="77777777" w:rsidR="00FE41A1" w:rsidRDefault="00C20FEB">
            <w:pPr>
              <w:widowControl w:val="0"/>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Model</w:t>
            </w:r>
          </w:p>
        </w:tc>
        <w:tc>
          <w:tcPr>
            <w:tcW w:w="1875" w:type="dxa"/>
            <w:tcBorders>
              <w:top w:val="single" w:sz="4" w:space="0" w:color="BFBFBF"/>
              <w:left w:val="nil"/>
              <w:bottom w:val="single" w:sz="4" w:space="0" w:color="BFBFBF"/>
              <w:right w:val="single" w:sz="4" w:space="0" w:color="BFBFBF"/>
            </w:tcBorders>
            <w:shd w:val="clear" w:color="auto" w:fill="1F3864"/>
            <w:tcMar>
              <w:top w:w="40" w:type="dxa"/>
              <w:left w:w="100" w:type="dxa"/>
              <w:bottom w:w="40" w:type="dxa"/>
              <w:right w:w="100" w:type="dxa"/>
            </w:tcMar>
          </w:tcPr>
          <w:p w14:paraId="0D3B68E1" w14:textId="77777777" w:rsidR="00FE41A1" w:rsidRDefault="00C20FEB">
            <w:pPr>
              <w:widowControl w:val="0"/>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PR-AUC</w:t>
            </w:r>
          </w:p>
        </w:tc>
        <w:tc>
          <w:tcPr>
            <w:tcW w:w="3045" w:type="dxa"/>
            <w:tcBorders>
              <w:top w:val="single" w:sz="4" w:space="0" w:color="BFBFBF"/>
              <w:left w:val="nil"/>
              <w:bottom w:val="single" w:sz="4" w:space="0" w:color="BFBFBF"/>
              <w:right w:val="single" w:sz="4" w:space="0" w:color="BFBFBF"/>
            </w:tcBorders>
            <w:shd w:val="clear" w:color="auto" w:fill="1F3864"/>
            <w:tcMar>
              <w:top w:w="40" w:type="dxa"/>
              <w:left w:w="100" w:type="dxa"/>
              <w:bottom w:w="40" w:type="dxa"/>
              <w:right w:w="100" w:type="dxa"/>
            </w:tcMar>
          </w:tcPr>
          <w:p w14:paraId="3B3337A3" w14:textId="77777777" w:rsidR="00FE41A1" w:rsidRDefault="00C20FEB">
            <w:pPr>
              <w:widowControl w:val="0"/>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Precision at Recall = 70%</w:t>
            </w:r>
          </w:p>
        </w:tc>
        <w:tc>
          <w:tcPr>
            <w:tcW w:w="1935" w:type="dxa"/>
            <w:tcBorders>
              <w:top w:val="single" w:sz="4" w:space="0" w:color="BFBFBF"/>
              <w:left w:val="nil"/>
              <w:bottom w:val="single" w:sz="4" w:space="0" w:color="BFBFBF"/>
              <w:right w:val="single" w:sz="4" w:space="0" w:color="BFBFBF"/>
            </w:tcBorders>
            <w:shd w:val="clear" w:color="auto" w:fill="1F3864"/>
            <w:tcMar>
              <w:top w:w="40" w:type="dxa"/>
              <w:left w:w="100" w:type="dxa"/>
              <w:bottom w:w="40" w:type="dxa"/>
              <w:right w:w="100" w:type="dxa"/>
            </w:tcMar>
          </w:tcPr>
          <w:p w14:paraId="36EA2F06" w14:textId="77777777" w:rsidR="00FE41A1" w:rsidRDefault="00C20FEB">
            <w:pPr>
              <w:widowControl w:val="0"/>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Lift@20%</w:t>
            </w:r>
          </w:p>
        </w:tc>
      </w:tr>
      <w:tr w:rsidR="00FE41A1" w14:paraId="390E3462" w14:textId="77777777">
        <w:tc>
          <w:tcPr>
            <w:tcW w:w="2505" w:type="dxa"/>
            <w:tcBorders>
              <w:top w:val="nil"/>
              <w:left w:val="single" w:sz="4" w:space="0" w:color="BFBFBF"/>
              <w:bottom w:val="single" w:sz="4" w:space="0" w:color="BFBFBF"/>
              <w:right w:val="single" w:sz="4" w:space="0" w:color="BFBFBF"/>
            </w:tcBorders>
            <w:shd w:val="clear" w:color="auto" w:fill="EAF0F8"/>
            <w:tcMar>
              <w:top w:w="40" w:type="dxa"/>
              <w:left w:w="100" w:type="dxa"/>
              <w:bottom w:w="40" w:type="dxa"/>
              <w:right w:w="100" w:type="dxa"/>
            </w:tcMar>
          </w:tcPr>
          <w:p w14:paraId="0B1BAFA4" w14:textId="77777777" w:rsidR="00FE41A1" w:rsidRDefault="00C20FEB">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Logistic Regression</w:t>
            </w:r>
          </w:p>
        </w:tc>
        <w:tc>
          <w:tcPr>
            <w:tcW w:w="1875" w:type="dxa"/>
            <w:tcBorders>
              <w:top w:val="nil"/>
              <w:left w:val="nil"/>
              <w:bottom w:val="single" w:sz="4" w:space="0" w:color="BFBFBF"/>
              <w:right w:val="single" w:sz="4" w:space="0" w:color="BFBFBF"/>
            </w:tcBorders>
            <w:tcMar>
              <w:top w:w="40" w:type="dxa"/>
              <w:left w:w="100" w:type="dxa"/>
              <w:bottom w:w="40" w:type="dxa"/>
              <w:right w:w="100" w:type="dxa"/>
            </w:tcMar>
          </w:tcPr>
          <w:p w14:paraId="402DE25F" w14:textId="77777777" w:rsidR="00FE41A1" w:rsidRDefault="00FE41A1">
            <w:pPr>
              <w:widowControl w:val="0"/>
              <w:jc w:val="center"/>
              <w:rPr>
                <w:rFonts w:ascii="Times New Roman" w:eastAsia="Times New Roman" w:hAnsi="Times New Roman" w:cs="Times New Roman"/>
                <w:sz w:val="24"/>
                <w:szCs w:val="24"/>
              </w:rPr>
            </w:pPr>
          </w:p>
        </w:tc>
        <w:tc>
          <w:tcPr>
            <w:tcW w:w="3045" w:type="dxa"/>
            <w:tcBorders>
              <w:top w:val="nil"/>
              <w:left w:val="nil"/>
              <w:bottom w:val="single" w:sz="4" w:space="0" w:color="BFBFBF"/>
              <w:right w:val="single" w:sz="4" w:space="0" w:color="BFBFBF"/>
            </w:tcBorders>
            <w:tcMar>
              <w:top w:w="40" w:type="dxa"/>
              <w:left w:w="100" w:type="dxa"/>
              <w:bottom w:w="40" w:type="dxa"/>
              <w:right w:w="100" w:type="dxa"/>
            </w:tcMar>
          </w:tcPr>
          <w:p w14:paraId="3B522E67" w14:textId="77777777" w:rsidR="00FE41A1" w:rsidRDefault="00FE41A1">
            <w:pPr>
              <w:widowControl w:val="0"/>
              <w:jc w:val="center"/>
              <w:rPr>
                <w:rFonts w:ascii="Times New Roman" w:eastAsia="Times New Roman" w:hAnsi="Times New Roman" w:cs="Times New Roman"/>
                <w:sz w:val="24"/>
                <w:szCs w:val="24"/>
              </w:rPr>
            </w:pPr>
          </w:p>
        </w:tc>
        <w:tc>
          <w:tcPr>
            <w:tcW w:w="1935" w:type="dxa"/>
            <w:tcBorders>
              <w:top w:val="nil"/>
              <w:left w:val="nil"/>
              <w:bottom w:val="single" w:sz="4" w:space="0" w:color="BFBFBF"/>
              <w:right w:val="single" w:sz="4" w:space="0" w:color="BFBFBF"/>
            </w:tcBorders>
            <w:tcMar>
              <w:top w:w="40" w:type="dxa"/>
              <w:left w:w="100" w:type="dxa"/>
              <w:bottom w:w="40" w:type="dxa"/>
              <w:right w:w="100" w:type="dxa"/>
            </w:tcMar>
          </w:tcPr>
          <w:p w14:paraId="5ACB01BA" w14:textId="77777777" w:rsidR="00FE41A1" w:rsidRDefault="00FE41A1">
            <w:pPr>
              <w:widowControl w:val="0"/>
              <w:jc w:val="center"/>
              <w:rPr>
                <w:rFonts w:ascii="Times New Roman" w:eastAsia="Times New Roman" w:hAnsi="Times New Roman" w:cs="Times New Roman"/>
                <w:sz w:val="24"/>
                <w:szCs w:val="24"/>
              </w:rPr>
            </w:pPr>
          </w:p>
        </w:tc>
      </w:tr>
      <w:tr w:rsidR="00FE41A1" w14:paraId="7A48C4AD" w14:textId="77777777">
        <w:tc>
          <w:tcPr>
            <w:tcW w:w="2505" w:type="dxa"/>
            <w:tcBorders>
              <w:top w:val="nil"/>
              <w:left w:val="single" w:sz="4" w:space="0" w:color="BFBFBF"/>
              <w:bottom w:val="single" w:sz="4" w:space="0" w:color="BFBFBF"/>
              <w:right w:val="single" w:sz="4" w:space="0" w:color="BFBFBF"/>
            </w:tcBorders>
            <w:shd w:val="clear" w:color="auto" w:fill="EAF0F8"/>
            <w:tcMar>
              <w:top w:w="40" w:type="dxa"/>
              <w:left w:w="100" w:type="dxa"/>
              <w:bottom w:w="40" w:type="dxa"/>
              <w:right w:w="100" w:type="dxa"/>
            </w:tcMar>
          </w:tcPr>
          <w:p w14:paraId="70FC5815" w14:textId="77777777" w:rsidR="00FE41A1" w:rsidRDefault="00C20FEB">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Random Forest</w:t>
            </w:r>
          </w:p>
        </w:tc>
        <w:tc>
          <w:tcPr>
            <w:tcW w:w="1875" w:type="dxa"/>
            <w:tcBorders>
              <w:top w:val="nil"/>
              <w:left w:val="nil"/>
              <w:bottom w:val="single" w:sz="4" w:space="0" w:color="BFBFBF"/>
              <w:right w:val="single" w:sz="4" w:space="0" w:color="BFBFBF"/>
            </w:tcBorders>
            <w:tcMar>
              <w:top w:w="40" w:type="dxa"/>
              <w:left w:w="100" w:type="dxa"/>
              <w:bottom w:w="40" w:type="dxa"/>
              <w:right w:w="100" w:type="dxa"/>
            </w:tcMar>
          </w:tcPr>
          <w:p w14:paraId="1BCC1E95" w14:textId="77777777" w:rsidR="00FE41A1" w:rsidRDefault="00FE41A1">
            <w:pPr>
              <w:widowControl w:val="0"/>
              <w:jc w:val="center"/>
              <w:rPr>
                <w:rFonts w:ascii="Times New Roman" w:eastAsia="Times New Roman" w:hAnsi="Times New Roman" w:cs="Times New Roman"/>
                <w:sz w:val="24"/>
                <w:szCs w:val="24"/>
              </w:rPr>
            </w:pPr>
          </w:p>
        </w:tc>
        <w:tc>
          <w:tcPr>
            <w:tcW w:w="3045" w:type="dxa"/>
            <w:tcBorders>
              <w:top w:val="nil"/>
              <w:left w:val="nil"/>
              <w:bottom w:val="single" w:sz="4" w:space="0" w:color="BFBFBF"/>
              <w:right w:val="single" w:sz="4" w:space="0" w:color="BFBFBF"/>
            </w:tcBorders>
            <w:tcMar>
              <w:top w:w="40" w:type="dxa"/>
              <w:left w:w="100" w:type="dxa"/>
              <w:bottom w:w="40" w:type="dxa"/>
              <w:right w:w="100" w:type="dxa"/>
            </w:tcMar>
          </w:tcPr>
          <w:p w14:paraId="00BE04D6" w14:textId="77777777" w:rsidR="00FE41A1" w:rsidRDefault="00FE41A1">
            <w:pPr>
              <w:widowControl w:val="0"/>
              <w:jc w:val="center"/>
              <w:rPr>
                <w:rFonts w:ascii="Times New Roman" w:eastAsia="Times New Roman" w:hAnsi="Times New Roman" w:cs="Times New Roman"/>
                <w:sz w:val="24"/>
                <w:szCs w:val="24"/>
              </w:rPr>
            </w:pPr>
          </w:p>
        </w:tc>
        <w:tc>
          <w:tcPr>
            <w:tcW w:w="1935" w:type="dxa"/>
            <w:tcBorders>
              <w:top w:val="nil"/>
              <w:left w:val="nil"/>
              <w:bottom w:val="single" w:sz="4" w:space="0" w:color="BFBFBF"/>
              <w:right w:val="single" w:sz="4" w:space="0" w:color="BFBFBF"/>
            </w:tcBorders>
            <w:tcMar>
              <w:top w:w="40" w:type="dxa"/>
              <w:left w:w="100" w:type="dxa"/>
              <w:bottom w:w="40" w:type="dxa"/>
              <w:right w:w="100" w:type="dxa"/>
            </w:tcMar>
          </w:tcPr>
          <w:p w14:paraId="14CC3CE4" w14:textId="77777777" w:rsidR="00FE41A1" w:rsidRDefault="00FE41A1">
            <w:pPr>
              <w:widowControl w:val="0"/>
              <w:jc w:val="center"/>
              <w:rPr>
                <w:rFonts w:ascii="Times New Roman" w:eastAsia="Times New Roman" w:hAnsi="Times New Roman" w:cs="Times New Roman"/>
                <w:sz w:val="24"/>
                <w:szCs w:val="24"/>
              </w:rPr>
            </w:pPr>
          </w:p>
        </w:tc>
      </w:tr>
      <w:tr w:rsidR="00FE41A1" w14:paraId="466A3186" w14:textId="77777777">
        <w:tc>
          <w:tcPr>
            <w:tcW w:w="2505" w:type="dxa"/>
            <w:tcBorders>
              <w:top w:val="nil"/>
              <w:left w:val="single" w:sz="4" w:space="0" w:color="BFBFBF"/>
              <w:bottom w:val="single" w:sz="4" w:space="0" w:color="BFBFBF"/>
              <w:right w:val="single" w:sz="4" w:space="0" w:color="BFBFBF"/>
            </w:tcBorders>
            <w:shd w:val="clear" w:color="auto" w:fill="EAF0F8"/>
            <w:tcMar>
              <w:top w:w="40" w:type="dxa"/>
              <w:left w:w="100" w:type="dxa"/>
              <w:bottom w:w="40" w:type="dxa"/>
              <w:right w:w="100" w:type="dxa"/>
            </w:tcMar>
          </w:tcPr>
          <w:p w14:paraId="54AE21FC" w14:textId="77777777" w:rsidR="00FE41A1" w:rsidRDefault="00C20FEB">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XGBoost</w:t>
            </w:r>
          </w:p>
        </w:tc>
        <w:tc>
          <w:tcPr>
            <w:tcW w:w="1875" w:type="dxa"/>
            <w:tcBorders>
              <w:top w:val="nil"/>
              <w:left w:val="nil"/>
              <w:bottom w:val="single" w:sz="4" w:space="0" w:color="BFBFBF"/>
              <w:right w:val="single" w:sz="4" w:space="0" w:color="BFBFBF"/>
            </w:tcBorders>
            <w:tcMar>
              <w:top w:w="40" w:type="dxa"/>
              <w:left w:w="100" w:type="dxa"/>
              <w:bottom w:w="40" w:type="dxa"/>
              <w:right w:w="100" w:type="dxa"/>
            </w:tcMar>
          </w:tcPr>
          <w:p w14:paraId="375AAFD1" w14:textId="77777777" w:rsidR="00FE41A1" w:rsidRDefault="00FE41A1">
            <w:pPr>
              <w:widowControl w:val="0"/>
              <w:jc w:val="center"/>
              <w:rPr>
                <w:rFonts w:ascii="Times New Roman" w:eastAsia="Times New Roman" w:hAnsi="Times New Roman" w:cs="Times New Roman"/>
                <w:sz w:val="24"/>
                <w:szCs w:val="24"/>
              </w:rPr>
            </w:pPr>
          </w:p>
        </w:tc>
        <w:tc>
          <w:tcPr>
            <w:tcW w:w="3045" w:type="dxa"/>
            <w:tcBorders>
              <w:top w:val="nil"/>
              <w:left w:val="nil"/>
              <w:bottom w:val="single" w:sz="4" w:space="0" w:color="BFBFBF"/>
              <w:right w:val="single" w:sz="4" w:space="0" w:color="BFBFBF"/>
            </w:tcBorders>
            <w:tcMar>
              <w:top w:w="40" w:type="dxa"/>
              <w:left w:w="100" w:type="dxa"/>
              <w:bottom w:w="40" w:type="dxa"/>
              <w:right w:w="100" w:type="dxa"/>
            </w:tcMar>
          </w:tcPr>
          <w:p w14:paraId="2D17B4A7" w14:textId="77777777" w:rsidR="00FE41A1" w:rsidRDefault="00FE41A1">
            <w:pPr>
              <w:widowControl w:val="0"/>
              <w:jc w:val="center"/>
              <w:rPr>
                <w:rFonts w:ascii="Times New Roman" w:eastAsia="Times New Roman" w:hAnsi="Times New Roman" w:cs="Times New Roman"/>
                <w:sz w:val="24"/>
                <w:szCs w:val="24"/>
              </w:rPr>
            </w:pPr>
          </w:p>
        </w:tc>
        <w:tc>
          <w:tcPr>
            <w:tcW w:w="1935" w:type="dxa"/>
            <w:tcBorders>
              <w:top w:val="nil"/>
              <w:left w:val="nil"/>
              <w:bottom w:val="single" w:sz="4" w:space="0" w:color="BFBFBF"/>
              <w:right w:val="single" w:sz="4" w:space="0" w:color="BFBFBF"/>
            </w:tcBorders>
            <w:tcMar>
              <w:top w:w="40" w:type="dxa"/>
              <w:left w:w="100" w:type="dxa"/>
              <w:bottom w:w="40" w:type="dxa"/>
              <w:right w:w="100" w:type="dxa"/>
            </w:tcMar>
          </w:tcPr>
          <w:p w14:paraId="017A2857" w14:textId="77777777" w:rsidR="00FE41A1" w:rsidRDefault="00FE41A1">
            <w:pPr>
              <w:widowControl w:val="0"/>
              <w:jc w:val="center"/>
              <w:rPr>
                <w:rFonts w:ascii="Times New Roman" w:eastAsia="Times New Roman" w:hAnsi="Times New Roman" w:cs="Times New Roman"/>
                <w:sz w:val="24"/>
                <w:szCs w:val="24"/>
              </w:rPr>
            </w:pPr>
          </w:p>
        </w:tc>
      </w:tr>
      <w:tr w:rsidR="00FE41A1" w14:paraId="785F77C7" w14:textId="77777777">
        <w:tc>
          <w:tcPr>
            <w:tcW w:w="2505" w:type="dxa"/>
            <w:tcBorders>
              <w:top w:val="nil"/>
              <w:left w:val="single" w:sz="4" w:space="0" w:color="BFBFBF"/>
              <w:bottom w:val="single" w:sz="4" w:space="0" w:color="BFBFBF"/>
              <w:right w:val="single" w:sz="4" w:space="0" w:color="BFBFBF"/>
            </w:tcBorders>
            <w:shd w:val="clear" w:color="auto" w:fill="EAF0F8"/>
            <w:tcMar>
              <w:top w:w="40" w:type="dxa"/>
              <w:left w:w="100" w:type="dxa"/>
              <w:bottom w:w="40" w:type="dxa"/>
              <w:right w:w="100" w:type="dxa"/>
            </w:tcMar>
          </w:tcPr>
          <w:p w14:paraId="72FACA0E" w14:textId="77777777" w:rsidR="00FE41A1" w:rsidRDefault="00C20FEB">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HistGradientBoosting</w:t>
            </w:r>
          </w:p>
        </w:tc>
        <w:tc>
          <w:tcPr>
            <w:tcW w:w="1875" w:type="dxa"/>
            <w:tcBorders>
              <w:top w:val="nil"/>
              <w:left w:val="nil"/>
              <w:bottom w:val="single" w:sz="4" w:space="0" w:color="BFBFBF"/>
              <w:right w:val="single" w:sz="4" w:space="0" w:color="BFBFBF"/>
            </w:tcBorders>
            <w:tcMar>
              <w:top w:w="40" w:type="dxa"/>
              <w:left w:w="100" w:type="dxa"/>
              <w:bottom w:w="40" w:type="dxa"/>
              <w:right w:w="100" w:type="dxa"/>
            </w:tcMar>
          </w:tcPr>
          <w:p w14:paraId="1A26615E" w14:textId="77777777" w:rsidR="00FE41A1" w:rsidRDefault="00FE41A1">
            <w:pPr>
              <w:widowControl w:val="0"/>
              <w:jc w:val="center"/>
              <w:rPr>
                <w:rFonts w:ascii="Times New Roman" w:eastAsia="Times New Roman" w:hAnsi="Times New Roman" w:cs="Times New Roman"/>
                <w:sz w:val="24"/>
                <w:szCs w:val="24"/>
              </w:rPr>
            </w:pPr>
          </w:p>
        </w:tc>
        <w:tc>
          <w:tcPr>
            <w:tcW w:w="3045" w:type="dxa"/>
            <w:tcBorders>
              <w:top w:val="nil"/>
              <w:left w:val="nil"/>
              <w:bottom w:val="single" w:sz="4" w:space="0" w:color="BFBFBF"/>
              <w:right w:val="single" w:sz="4" w:space="0" w:color="BFBFBF"/>
            </w:tcBorders>
            <w:tcMar>
              <w:top w:w="40" w:type="dxa"/>
              <w:left w:w="100" w:type="dxa"/>
              <w:bottom w:w="40" w:type="dxa"/>
              <w:right w:w="100" w:type="dxa"/>
            </w:tcMar>
          </w:tcPr>
          <w:p w14:paraId="4D720460" w14:textId="77777777" w:rsidR="00FE41A1" w:rsidRDefault="00FE41A1">
            <w:pPr>
              <w:widowControl w:val="0"/>
              <w:jc w:val="center"/>
              <w:rPr>
                <w:rFonts w:ascii="Times New Roman" w:eastAsia="Times New Roman" w:hAnsi="Times New Roman" w:cs="Times New Roman"/>
                <w:sz w:val="24"/>
                <w:szCs w:val="24"/>
              </w:rPr>
            </w:pPr>
          </w:p>
        </w:tc>
        <w:tc>
          <w:tcPr>
            <w:tcW w:w="1935" w:type="dxa"/>
            <w:tcBorders>
              <w:top w:val="nil"/>
              <w:left w:val="nil"/>
              <w:bottom w:val="single" w:sz="4" w:space="0" w:color="BFBFBF"/>
              <w:right w:val="single" w:sz="4" w:space="0" w:color="BFBFBF"/>
            </w:tcBorders>
            <w:tcMar>
              <w:top w:w="40" w:type="dxa"/>
              <w:left w:w="100" w:type="dxa"/>
              <w:bottom w:w="40" w:type="dxa"/>
              <w:right w:w="100" w:type="dxa"/>
            </w:tcMar>
          </w:tcPr>
          <w:p w14:paraId="2A1EBDAE" w14:textId="77777777" w:rsidR="00FE41A1" w:rsidRDefault="00FE41A1">
            <w:pPr>
              <w:widowControl w:val="0"/>
              <w:jc w:val="center"/>
              <w:rPr>
                <w:rFonts w:ascii="Times New Roman" w:eastAsia="Times New Roman" w:hAnsi="Times New Roman" w:cs="Times New Roman"/>
                <w:sz w:val="24"/>
                <w:szCs w:val="24"/>
              </w:rPr>
            </w:pPr>
          </w:p>
        </w:tc>
      </w:tr>
    </w:tbl>
    <w:p w14:paraId="0182F6A5" w14:textId="77777777" w:rsidR="00FE41A1" w:rsidRDefault="00FE41A1">
      <w:pPr>
        <w:rPr>
          <w:rFonts w:ascii="Times New Roman" w:eastAsia="Times New Roman" w:hAnsi="Times New Roman" w:cs="Times New Roman"/>
          <w:b/>
          <w:bCs/>
          <w:sz w:val="24"/>
          <w:szCs w:val="24"/>
        </w:rPr>
      </w:pPr>
    </w:p>
    <w:p w14:paraId="183CDA68" w14:textId="77777777" w:rsidR="00FE41A1" w:rsidRDefault="00C20FEB">
      <w:pPr>
        <w:pStyle w:val="Heading3"/>
      </w:pPr>
      <w:bookmarkStart w:id="29" w:name="_Toc243432503"/>
      <w:r>
        <w:t>5.1.4. Evaluation plan:</w:t>
      </w:r>
      <w:bookmarkEnd w:id="29"/>
    </w:p>
    <w:tbl>
      <w:tblPr>
        <w:tblStyle w:val="ad"/>
        <w:tblW w:w="94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2100"/>
        <w:gridCol w:w="1860"/>
        <w:gridCol w:w="1860"/>
        <w:gridCol w:w="2055"/>
      </w:tblGrid>
      <w:tr w:rsidR="00FE41A1" w14:paraId="483A9008" w14:textId="77777777">
        <w:tc>
          <w:tcPr>
            <w:tcW w:w="16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1937FAD" w14:textId="77777777" w:rsidR="00FE41A1" w:rsidRDefault="00C20FEB">
            <w:pPr>
              <w:widowControl w:val="0"/>
              <w:spacing w:line="252"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Level</w:t>
            </w:r>
          </w:p>
        </w:tc>
        <w:tc>
          <w:tcPr>
            <w:tcW w:w="2100" w:type="dxa"/>
            <w:tcBorders>
              <w:top w:val="single" w:sz="4" w:space="0" w:color="BFBFBF"/>
              <w:left w:val="nil"/>
              <w:bottom w:val="single" w:sz="4" w:space="0" w:color="BFBFBF"/>
              <w:right w:val="single" w:sz="4" w:space="0" w:color="BFBFBF"/>
            </w:tcBorders>
            <w:shd w:val="clear" w:color="auto" w:fill="1F3864"/>
            <w:tcMar>
              <w:top w:w="60" w:type="dxa"/>
              <w:left w:w="100" w:type="dxa"/>
              <w:bottom w:w="60" w:type="dxa"/>
              <w:right w:w="100" w:type="dxa"/>
            </w:tcMar>
          </w:tcPr>
          <w:p w14:paraId="42960885" w14:textId="77777777" w:rsidR="00FE41A1" w:rsidRDefault="00C20FEB">
            <w:pPr>
              <w:widowControl w:val="0"/>
              <w:spacing w:line="252"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Measure</w:t>
            </w:r>
          </w:p>
        </w:tc>
        <w:tc>
          <w:tcPr>
            <w:tcW w:w="1860" w:type="dxa"/>
            <w:tcBorders>
              <w:top w:val="single" w:sz="4" w:space="0" w:color="BFBFBF"/>
              <w:left w:val="nil"/>
              <w:bottom w:val="single" w:sz="4" w:space="0" w:color="BFBFBF"/>
              <w:right w:val="single" w:sz="4" w:space="0" w:color="BFBFBF"/>
            </w:tcBorders>
            <w:shd w:val="clear" w:color="auto" w:fill="1F3864"/>
            <w:tcMar>
              <w:top w:w="60" w:type="dxa"/>
              <w:left w:w="100" w:type="dxa"/>
              <w:bottom w:w="60" w:type="dxa"/>
              <w:right w:w="100" w:type="dxa"/>
            </w:tcMar>
          </w:tcPr>
          <w:p w14:paraId="10D1B182" w14:textId="77777777" w:rsidR="00FE41A1" w:rsidRDefault="00C20FEB">
            <w:pPr>
              <w:widowControl w:val="0"/>
              <w:spacing w:line="252"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How</w:t>
            </w:r>
          </w:p>
        </w:tc>
        <w:tc>
          <w:tcPr>
            <w:tcW w:w="1860" w:type="dxa"/>
            <w:tcBorders>
              <w:top w:val="single" w:sz="4" w:space="0" w:color="BFBFBF"/>
              <w:left w:val="nil"/>
              <w:bottom w:val="single" w:sz="4" w:space="0" w:color="BFBFBF"/>
              <w:right w:val="single" w:sz="4" w:space="0" w:color="BFBFBF"/>
            </w:tcBorders>
            <w:shd w:val="clear" w:color="auto" w:fill="1F3864"/>
            <w:tcMar>
              <w:top w:w="60" w:type="dxa"/>
              <w:left w:w="100" w:type="dxa"/>
              <w:bottom w:w="60" w:type="dxa"/>
              <w:right w:w="100" w:type="dxa"/>
            </w:tcMar>
          </w:tcPr>
          <w:p w14:paraId="57937DE0" w14:textId="77777777" w:rsidR="00FE41A1" w:rsidRDefault="00C20FEB">
            <w:pPr>
              <w:widowControl w:val="0"/>
              <w:spacing w:line="252"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Success criteria</w:t>
            </w:r>
          </w:p>
        </w:tc>
        <w:tc>
          <w:tcPr>
            <w:tcW w:w="2055" w:type="dxa"/>
            <w:tcBorders>
              <w:top w:val="single" w:sz="4" w:space="0" w:color="BFBFBF"/>
              <w:left w:val="nil"/>
              <w:bottom w:val="single" w:sz="4" w:space="0" w:color="BFBFBF"/>
              <w:right w:val="single" w:sz="4" w:space="0" w:color="BFBFBF"/>
            </w:tcBorders>
            <w:shd w:val="clear" w:color="auto" w:fill="1F3864"/>
            <w:tcMar>
              <w:top w:w="60" w:type="dxa"/>
              <w:left w:w="100" w:type="dxa"/>
              <w:bottom w:w="60" w:type="dxa"/>
              <w:right w:w="100" w:type="dxa"/>
            </w:tcMar>
          </w:tcPr>
          <w:p w14:paraId="5050D650" w14:textId="77777777" w:rsidR="00FE41A1" w:rsidRDefault="00C20FEB">
            <w:pPr>
              <w:widowControl w:val="0"/>
              <w:spacing w:line="252"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Result</w:t>
            </w:r>
          </w:p>
        </w:tc>
      </w:tr>
      <w:tr w:rsidR="00FE41A1" w14:paraId="024578C5" w14:textId="77777777">
        <w:tc>
          <w:tcPr>
            <w:tcW w:w="1620" w:type="dxa"/>
            <w:tcBorders>
              <w:top w:val="nil"/>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9B45C00" w14:textId="77777777" w:rsidR="00FE41A1" w:rsidRDefault="00C20FEB">
            <w:pPr>
              <w:widowControl w:val="0"/>
              <w:spacing w:line="25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Ranking quality</w:t>
            </w:r>
          </w:p>
        </w:tc>
        <w:tc>
          <w:tcPr>
            <w:tcW w:w="2100" w:type="dxa"/>
            <w:tcBorders>
              <w:top w:val="nil"/>
              <w:left w:val="nil"/>
              <w:bottom w:val="single" w:sz="4" w:space="0" w:color="BFBFBF"/>
              <w:right w:val="single" w:sz="4" w:space="0" w:color="BFBFBF"/>
            </w:tcBorders>
            <w:tcMar>
              <w:top w:w="60" w:type="dxa"/>
              <w:left w:w="100" w:type="dxa"/>
              <w:bottom w:w="60" w:type="dxa"/>
              <w:right w:w="100" w:type="dxa"/>
            </w:tcMar>
          </w:tcPr>
          <w:p w14:paraId="673A1E5A"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PR-AUC vs event rate, ROC-AUC</w:t>
            </w:r>
          </w:p>
        </w:tc>
        <w:tc>
          <w:tcPr>
            <w:tcW w:w="1860" w:type="dxa"/>
            <w:tcBorders>
              <w:top w:val="nil"/>
              <w:left w:val="nil"/>
              <w:bottom w:val="single" w:sz="4" w:space="0" w:color="BFBFBF"/>
              <w:right w:val="single" w:sz="4" w:space="0" w:color="BFBFBF"/>
            </w:tcBorders>
            <w:tcMar>
              <w:top w:w="60" w:type="dxa"/>
              <w:left w:w="100" w:type="dxa"/>
              <w:bottom w:w="60" w:type="dxa"/>
              <w:right w:w="100" w:type="dxa"/>
            </w:tcMar>
          </w:tcPr>
          <w:p w14:paraId="3BAB3EEF"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Block-bootstrap 95% CI (weekly blocks, 500 resamples)</w:t>
            </w:r>
          </w:p>
        </w:tc>
        <w:tc>
          <w:tcPr>
            <w:tcW w:w="1860" w:type="dxa"/>
            <w:tcBorders>
              <w:top w:val="nil"/>
              <w:left w:val="nil"/>
              <w:bottom w:val="single" w:sz="4" w:space="0" w:color="BFBFBF"/>
              <w:right w:val="single" w:sz="4" w:space="0" w:color="BFBFBF"/>
            </w:tcBorders>
            <w:tcMar>
              <w:top w:w="60" w:type="dxa"/>
              <w:left w:w="100" w:type="dxa"/>
              <w:bottom w:w="60" w:type="dxa"/>
              <w:right w:w="100" w:type="dxa"/>
            </w:tcMar>
          </w:tcPr>
          <w:p w14:paraId="339A214E"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PR-AUC clearly above event rate</w:t>
            </w:r>
          </w:p>
        </w:tc>
        <w:tc>
          <w:tcPr>
            <w:tcW w:w="2055" w:type="dxa"/>
            <w:tcBorders>
              <w:top w:val="nil"/>
              <w:left w:val="nil"/>
              <w:bottom w:val="single" w:sz="4" w:space="0" w:color="BFBFBF"/>
              <w:right w:val="single" w:sz="4" w:space="0" w:color="BFBFBF"/>
            </w:tcBorders>
            <w:tcMar>
              <w:top w:w="60" w:type="dxa"/>
              <w:left w:w="100" w:type="dxa"/>
              <w:bottom w:w="60" w:type="dxa"/>
              <w:right w:w="100" w:type="dxa"/>
            </w:tcMar>
          </w:tcPr>
          <w:p w14:paraId="3AFC75F1"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0.457 [0.438, 0.482] vs event rate 0.315</w:t>
            </w:r>
          </w:p>
        </w:tc>
      </w:tr>
      <w:tr w:rsidR="00FE41A1" w14:paraId="6E4CF908" w14:textId="77777777">
        <w:tc>
          <w:tcPr>
            <w:tcW w:w="1620" w:type="dxa"/>
            <w:tcBorders>
              <w:top w:val="nil"/>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E36C55B" w14:textId="77777777" w:rsidR="00FE41A1" w:rsidRDefault="00C20FEB">
            <w:pPr>
              <w:widowControl w:val="0"/>
              <w:spacing w:line="25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Operational value</w:t>
            </w:r>
          </w:p>
        </w:tc>
        <w:tc>
          <w:tcPr>
            <w:tcW w:w="2100" w:type="dxa"/>
            <w:tcBorders>
              <w:top w:val="nil"/>
              <w:left w:val="nil"/>
              <w:bottom w:val="single" w:sz="4" w:space="0" w:color="BFBFBF"/>
              <w:right w:val="single" w:sz="4" w:space="0" w:color="BFBFBF"/>
            </w:tcBorders>
            <w:shd w:val="clear" w:color="auto" w:fill="F7F7F7"/>
            <w:tcMar>
              <w:top w:w="60" w:type="dxa"/>
              <w:left w:w="100" w:type="dxa"/>
              <w:bottom w:w="60" w:type="dxa"/>
              <w:right w:w="100" w:type="dxa"/>
            </w:tcMar>
          </w:tcPr>
          <w:p w14:paraId="563DF8D8"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Lift, precision, recall at top 5 / 10 / 20%</w:t>
            </w:r>
          </w:p>
        </w:tc>
        <w:tc>
          <w:tcPr>
            <w:tcW w:w="1860" w:type="dxa"/>
            <w:tcBorders>
              <w:top w:val="nil"/>
              <w:left w:val="nil"/>
              <w:bottom w:val="single" w:sz="4" w:space="0" w:color="BFBFBF"/>
              <w:right w:val="single" w:sz="4" w:space="0" w:color="BFBFBF"/>
            </w:tcBorders>
            <w:shd w:val="clear" w:color="auto" w:fill="F7F7F7"/>
            <w:tcMar>
              <w:top w:w="60" w:type="dxa"/>
              <w:left w:w="100" w:type="dxa"/>
              <w:bottom w:w="60" w:type="dxa"/>
              <w:right w:w="100" w:type="dxa"/>
            </w:tcMar>
          </w:tcPr>
          <w:p w14:paraId="22805D92"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Same set; 20% = alert capacity</w:t>
            </w:r>
          </w:p>
        </w:tc>
        <w:tc>
          <w:tcPr>
            <w:tcW w:w="1860" w:type="dxa"/>
            <w:tcBorders>
              <w:top w:val="nil"/>
              <w:left w:val="nil"/>
              <w:bottom w:val="single" w:sz="4" w:space="0" w:color="BFBFBF"/>
              <w:right w:val="single" w:sz="4" w:space="0" w:color="BFBFBF"/>
            </w:tcBorders>
            <w:shd w:val="clear" w:color="auto" w:fill="F7F7F7"/>
            <w:tcMar>
              <w:top w:w="60" w:type="dxa"/>
              <w:left w:w="100" w:type="dxa"/>
              <w:bottom w:w="60" w:type="dxa"/>
              <w:right w:w="100" w:type="dxa"/>
            </w:tcMar>
          </w:tcPr>
          <w:p w14:paraId="3192817B"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Lift@20% &gt; 1 with CI lower bound &gt; 1</w:t>
            </w:r>
          </w:p>
        </w:tc>
        <w:tc>
          <w:tcPr>
            <w:tcW w:w="2055" w:type="dxa"/>
            <w:tcBorders>
              <w:top w:val="nil"/>
              <w:left w:val="nil"/>
              <w:bottom w:val="single" w:sz="4" w:space="0" w:color="BFBFBF"/>
              <w:right w:val="single" w:sz="4" w:space="0" w:color="BFBFBF"/>
            </w:tcBorders>
            <w:shd w:val="clear" w:color="auto" w:fill="F7F7F7"/>
            <w:tcMar>
              <w:top w:w="60" w:type="dxa"/>
              <w:left w:w="100" w:type="dxa"/>
              <w:bottom w:w="60" w:type="dxa"/>
              <w:right w:w="100" w:type="dxa"/>
            </w:tcMar>
          </w:tcPr>
          <w:p w14:paraId="5C7E248C"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1.48x [1.39, 1.56]; precision 0.464; recall 0.295</w:t>
            </w:r>
          </w:p>
        </w:tc>
      </w:tr>
      <w:tr w:rsidR="00FE41A1" w14:paraId="4711D366" w14:textId="77777777">
        <w:tc>
          <w:tcPr>
            <w:tcW w:w="1620" w:type="dxa"/>
            <w:tcBorders>
              <w:top w:val="nil"/>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9FA9082" w14:textId="77777777" w:rsidR="00FE41A1" w:rsidRDefault="00C20FEB">
            <w:pPr>
              <w:widowControl w:val="0"/>
              <w:spacing w:line="25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Added value over simple rules</w:t>
            </w:r>
          </w:p>
        </w:tc>
        <w:tc>
          <w:tcPr>
            <w:tcW w:w="2100" w:type="dxa"/>
            <w:tcBorders>
              <w:top w:val="nil"/>
              <w:left w:val="nil"/>
              <w:bottom w:val="single" w:sz="4" w:space="0" w:color="BFBFBF"/>
              <w:right w:val="single" w:sz="4" w:space="0" w:color="BFBFBF"/>
            </w:tcBorders>
            <w:tcMar>
              <w:top w:w="60" w:type="dxa"/>
              <w:left w:w="100" w:type="dxa"/>
              <w:bottom w:w="60" w:type="dxa"/>
              <w:right w:w="100" w:type="dxa"/>
            </w:tcMar>
          </w:tcPr>
          <w:p w14:paraId="3C869495"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Paired difference vs the 2 rules</w:t>
            </w:r>
          </w:p>
        </w:tc>
        <w:tc>
          <w:tcPr>
            <w:tcW w:w="1860" w:type="dxa"/>
            <w:tcBorders>
              <w:top w:val="nil"/>
              <w:left w:val="nil"/>
              <w:bottom w:val="single" w:sz="4" w:space="0" w:color="BFBFBF"/>
              <w:right w:val="single" w:sz="4" w:space="0" w:color="BFBFBF"/>
            </w:tcBorders>
            <w:tcMar>
              <w:top w:w="60" w:type="dxa"/>
              <w:left w:w="100" w:type="dxa"/>
              <w:bottom w:w="60" w:type="dxa"/>
              <w:right w:w="100" w:type="dxa"/>
            </w:tcMar>
          </w:tcPr>
          <w:p w14:paraId="11FEEB4D"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Paired block-bootstrap</w:t>
            </w:r>
          </w:p>
        </w:tc>
        <w:tc>
          <w:tcPr>
            <w:tcW w:w="1860" w:type="dxa"/>
            <w:tcBorders>
              <w:top w:val="nil"/>
              <w:left w:val="nil"/>
              <w:bottom w:val="single" w:sz="4" w:space="0" w:color="BFBFBF"/>
              <w:right w:val="single" w:sz="4" w:space="0" w:color="BFBFBF"/>
            </w:tcBorders>
            <w:tcMar>
              <w:top w:w="60" w:type="dxa"/>
              <w:left w:w="100" w:type="dxa"/>
              <w:bottom w:w="60" w:type="dxa"/>
              <w:right w:w="100" w:type="dxa"/>
            </w:tcMar>
          </w:tcPr>
          <w:p w14:paraId="7B95B446"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 of the difference excludes 0</w:t>
            </w:r>
          </w:p>
        </w:tc>
        <w:tc>
          <w:tcPr>
            <w:tcW w:w="2055" w:type="dxa"/>
            <w:tcBorders>
              <w:top w:val="nil"/>
              <w:left w:val="nil"/>
              <w:bottom w:val="single" w:sz="4" w:space="0" w:color="BFBFBF"/>
              <w:right w:val="single" w:sz="4" w:space="0" w:color="BFBFBF"/>
            </w:tcBorders>
            <w:tcMar>
              <w:top w:w="60" w:type="dxa"/>
              <w:left w:w="100" w:type="dxa"/>
              <w:bottom w:w="60" w:type="dxa"/>
              <w:right w:w="100" w:type="dxa"/>
            </w:tcMar>
          </w:tcPr>
          <w:p w14:paraId="3931D053"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Lift@20%: +0.23 vs lead-time rule and +0.23 vs </w:t>
            </w:r>
            <w:r>
              <w:rPr>
                <w:rFonts w:ascii="Times New Roman" w:eastAsia="Times New Roman" w:hAnsi="Times New Roman" w:cs="Times New Roman"/>
                <w:sz w:val="24"/>
                <w:szCs w:val="24"/>
              </w:rPr>
              <w:lastRenderedPageBreak/>
              <w:t>segment×band rule (both CIs exclude 0)</w:t>
            </w:r>
          </w:p>
        </w:tc>
      </w:tr>
      <w:tr w:rsidR="00FE41A1" w14:paraId="7AF61CC0" w14:textId="77777777">
        <w:tc>
          <w:tcPr>
            <w:tcW w:w="1620" w:type="dxa"/>
            <w:tcBorders>
              <w:top w:val="nil"/>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1E7C254" w14:textId="77777777" w:rsidR="00FE41A1" w:rsidRDefault="00C20FEB">
            <w:pPr>
              <w:widowControl w:val="0"/>
              <w:spacing w:line="25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Probability quality</w:t>
            </w:r>
          </w:p>
        </w:tc>
        <w:tc>
          <w:tcPr>
            <w:tcW w:w="2100" w:type="dxa"/>
            <w:tcBorders>
              <w:top w:val="nil"/>
              <w:left w:val="nil"/>
              <w:bottom w:val="single" w:sz="4" w:space="0" w:color="BFBFBF"/>
              <w:right w:val="single" w:sz="4" w:space="0" w:color="BFBFBF"/>
            </w:tcBorders>
            <w:shd w:val="clear" w:color="auto" w:fill="F7F7F7"/>
            <w:tcMar>
              <w:top w:w="60" w:type="dxa"/>
              <w:left w:w="100" w:type="dxa"/>
              <w:bottom w:w="60" w:type="dxa"/>
              <w:right w:w="100" w:type="dxa"/>
            </w:tcMar>
          </w:tcPr>
          <w:p w14:paraId="0316D4EE"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Brier score, reliability curve</w:t>
            </w:r>
          </w:p>
        </w:tc>
        <w:tc>
          <w:tcPr>
            <w:tcW w:w="1860" w:type="dxa"/>
            <w:tcBorders>
              <w:top w:val="nil"/>
              <w:left w:val="nil"/>
              <w:bottom w:val="single" w:sz="4" w:space="0" w:color="BFBFBF"/>
              <w:right w:val="single" w:sz="4" w:space="0" w:color="BFBFBF"/>
            </w:tcBorders>
            <w:shd w:val="clear" w:color="auto" w:fill="F7F7F7"/>
            <w:tcMar>
              <w:top w:w="60" w:type="dxa"/>
              <w:left w:w="100" w:type="dxa"/>
              <w:bottom w:w="60" w:type="dxa"/>
              <w:right w:w="100" w:type="dxa"/>
            </w:tcMar>
          </w:tcPr>
          <w:p w14:paraId="1DF35BB8"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set</w:t>
            </w:r>
          </w:p>
        </w:tc>
        <w:tc>
          <w:tcPr>
            <w:tcW w:w="1860" w:type="dxa"/>
            <w:tcBorders>
              <w:top w:val="nil"/>
              <w:left w:val="nil"/>
              <w:bottom w:val="single" w:sz="4" w:space="0" w:color="BFBFBF"/>
              <w:right w:val="single" w:sz="4" w:space="0" w:color="BFBFBF"/>
            </w:tcBorders>
            <w:shd w:val="clear" w:color="auto" w:fill="F7F7F7"/>
            <w:tcMar>
              <w:top w:w="60" w:type="dxa"/>
              <w:left w:w="100" w:type="dxa"/>
              <w:bottom w:w="60" w:type="dxa"/>
              <w:right w:w="100" w:type="dxa"/>
            </w:tcMar>
          </w:tcPr>
          <w:p w14:paraId="1C127099"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Brier below constant-rate baseline</w:t>
            </w:r>
          </w:p>
        </w:tc>
        <w:tc>
          <w:tcPr>
            <w:tcW w:w="2055" w:type="dxa"/>
            <w:tcBorders>
              <w:top w:val="nil"/>
              <w:left w:val="nil"/>
              <w:bottom w:val="single" w:sz="4" w:space="0" w:color="BFBFBF"/>
              <w:right w:val="single" w:sz="4" w:space="0" w:color="BFBFBF"/>
            </w:tcBorders>
            <w:shd w:val="clear" w:color="auto" w:fill="F7F7F7"/>
            <w:tcMar>
              <w:top w:w="60" w:type="dxa"/>
              <w:left w:w="100" w:type="dxa"/>
              <w:bottom w:w="60" w:type="dxa"/>
              <w:right w:w="100" w:type="dxa"/>
            </w:tcMar>
          </w:tcPr>
          <w:p w14:paraId="0A766465"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0.201 vs 0.220; Platt (0.220) and isotonic (0.229) not applied</w:t>
            </w:r>
          </w:p>
        </w:tc>
      </w:tr>
      <w:tr w:rsidR="00FE41A1" w14:paraId="5395922A" w14:textId="77777777">
        <w:tc>
          <w:tcPr>
            <w:tcW w:w="1620" w:type="dxa"/>
            <w:tcBorders>
              <w:top w:val="nil"/>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EB9FC71" w14:textId="77777777" w:rsidR="00FE41A1" w:rsidRDefault="00C20FEB">
            <w:pPr>
              <w:widowControl w:val="0"/>
              <w:spacing w:line="25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Temporal stability</w:t>
            </w:r>
          </w:p>
        </w:tc>
        <w:tc>
          <w:tcPr>
            <w:tcW w:w="2100" w:type="dxa"/>
            <w:tcBorders>
              <w:top w:val="nil"/>
              <w:left w:val="nil"/>
              <w:bottom w:val="single" w:sz="4" w:space="0" w:color="BFBFBF"/>
              <w:right w:val="single" w:sz="4" w:space="0" w:color="BFBFBF"/>
            </w:tcBorders>
            <w:tcMar>
              <w:top w:w="60" w:type="dxa"/>
              <w:left w:w="100" w:type="dxa"/>
              <w:bottom w:w="60" w:type="dxa"/>
              <w:right w:w="100" w:type="dxa"/>
            </w:tcMar>
          </w:tcPr>
          <w:p w14:paraId="50165D48"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CV fold scores; validation vs test</w:t>
            </w:r>
          </w:p>
        </w:tc>
        <w:tc>
          <w:tcPr>
            <w:tcW w:w="1860" w:type="dxa"/>
            <w:tcBorders>
              <w:top w:val="nil"/>
              <w:left w:val="nil"/>
              <w:bottom w:val="single" w:sz="4" w:space="0" w:color="BFBFBF"/>
              <w:right w:val="single" w:sz="4" w:space="0" w:color="BFBFBF"/>
            </w:tcBorders>
            <w:tcMar>
              <w:top w:w="60" w:type="dxa"/>
              <w:left w:w="100" w:type="dxa"/>
              <w:bottom w:w="60" w:type="dxa"/>
              <w:right w:w="100" w:type="dxa"/>
            </w:tcMar>
          </w:tcPr>
          <w:p w14:paraId="05057205"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Fold-by-fold report</w:t>
            </w:r>
          </w:p>
        </w:tc>
        <w:tc>
          <w:tcPr>
            <w:tcW w:w="1860" w:type="dxa"/>
            <w:tcBorders>
              <w:top w:val="nil"/>
              <w:left w:val="nil"/>
              <w:bottom w:val="single" w:sz="4" w:space="0" w:color="BFBFBF"/>
              <w:right w:val="single" w:sz="4" w:space="0" w:color="BFBFBF"/>
            </w:tcBorders>
            <w:tcMar>
              <w:top w:w="60" w:type="dxa"/>
              <w:left w:w="100" w:type="dxa"/>
              <w:bottom w:w="60" w:type="dxa"/>
              <w:right w:w="100" w:type="dxa"/>
            </w:tcMar>
          </w:tcPr>
          <w:p w14:paraId="3CF3DBA5"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unexplained collapse</w:t>
            </w:r>
          </w:p>
        </w:tc>
        <w:tc>
          <w:tcPr>
            <w:tcW w:w="2055" w:type="dxa"/>
            <w:tcBorders>
              <w:top w:val="nil"/>
              <w:left w:val="nil"/>
              <w:bottom w:val="single" w:sz="4" w:space="0" w:color="BFBFBF"/>
              <w:right w:val="single" w:sz="4" w:space="0" w:color="BFBFBF"/>
            </w:tcBorders>
            <w:tcMar>
              <w:top w:w="60" w:type="dxa"/>
              <w:left w:w="100" w:type="dxa"/>
              <w:bottom w:w="60" w:type="dxa"/>
              <w:right w:w="100" w:type="dxa"/>
            </w:tcMar>
          </w:tcPr>
          <w:p w14:paraId="723E1AC3"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Fold 1 is an outlier (~0.8 for all models, baseline 0.36); test lift@20% 1.59x, consistent with validation</w:t>
            </w:r>
          </w:p>
        </w:tc>
      </w:tr>
      <w:tr w:rsidR="00FE41A1" w14:paraId="3A9DBC06" w14:textId="77777777">
        <w:tc>
          <w:tcPr>
            <w:tcW w:w="1620" w:type="dxa"/>
            <w:tcBorders>
              <w:top w:val="nil"/>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C1541AE" w14:textId="77777777" w:rsidR="00FE41A1" w:rsidRDefault="00C20FEB">
            <w:pPr>
              <w:widowControl w:val="0"/>
              <w:spacing w:line="25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Business value</w:t>
            </w:r>
          </w:p>
        </w:tc>
        <w:tc>
          <w:tcPr>
            <w:tcW w:w="2100" w:type="dxa"/>
            <w:tcBorders>
              <w:top w:val="nil"/>
              <w:left w:val="nil"/>
              <w:bottom w:val="single" w:sz="4" w:space="0" w:color="BFBFBF"/>
              <w:right w:val="single" w:sz="4" w:space="0" w:color="BFBFBF"/>
            </w:tcBorders>
            <w:shd w:val="clear" w:color="auto" w:fill="F7F7F7"/>
            <w:tcMar>
              <w:top w:w="60" w:type="dxa"/>
              <w:left w:w="100" w:type="dxa"/>
              <w:bottom w:w="60" w:type="dxa"/>
              <w:right w:w="100" w:type="dxa"/>
            </w:tcMar>
          </w:tcPr>
          <w:p w14:paraId="468583AE"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Break-even: cancel rate in flagged group × save rate × booking value &gt; intervention cost</w:t>
            </w:r>
          </w:p>
        </w:tc>
        <w:tc>
          <w:tcPr>
            <w:tcW w:w="1860" w:type="dxa"/>
            <w:tcBorders>
              <w:top w:val="nil"/>
              <w:left w:val="nil"/>
              <w:bottom w:val="single" w:sz="4" w:space="0" w:color="BFBFBF"/>
              <w:right w:val="single" w:sz="4" w:space="0" w:color="BFBFBF"/>
            </w:tcBorders>
            <w:shd w:val="clear" w:color="auto" w:fill="F7F7F7"/>
            <w:tcMar>
              <w:top w:w="60" w:type="dxa"/>
              <w:left w:w="100" w:type="dxa"/>
              <w:bottom w:w="60" w:type="dxa"/>
              <w:right w:w="100" w:type="dxa"/>
            </w:tcMar>
          </w:tcPr>
          <w:p w14:paraId="0B199164"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Scenario table with sensitivity ranges (Method 2)</w:t>
            </w:r>
          </w:p>
        </w:tc>
        <w:tc>
          <w:tcPr>
            <w:tcW w:w="1860" w:type="dxa"/>
            <w:tcBorders>
              <w:top w:val="nil"/>
              <w:left w:val="nil"/>
              <w:bottom w:val="single" w:sz="4" w:space="0" w:color="BFBFBF"/>
              <w:right w:val="single" w:sz="4" w:space="0" w:color="BFBFBF"/>
            </w:tcBorders>
            <w:shd w:val="clear" w:color="auto" w:fill="F7F7F7"/>
            <w:tcMar>
              <w:top w:w="60" w:type="dxa"/>
              <w:left w:w="100" w:type="dxa"/>
              <w:bottom w:w="60" w:type="dxa"/>
              <w:right w:w="100" w:type="dxa"/>
            </w:tcMar>
          </w:tcPr>
          <w:p w14:paraId="6EEB615F"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Positive net value under stated assumptions</w:t>
            </w:r>
          </w:p>
        </w:tc>
        <w:tc>
          <w:tcPr>
            <w:tcW w:w="2055" w:type="dxa"/>
            <w:tcBorders>
              <w:top w:val="nil"/>
              <w:left w:val="nil"/>
              <w:bottom w:val="single" w:sz="4" w:space="0" w:color="BFBFBF"/>
              <w:right w:val="single" w:sz="4" w:space="0" w:color="BFBFBF"/>
            </w:tcBorders>
            <w:shd w:val="clear" w:color="auto" w:fill="F7F7F7"/>
            <w:tcMar>
              <w:top w:w="60" w:type="dxa"/>
              <w:left w:w="100" w:type="dxa"/>
              <w:bottom w:w="60" w:type="dxa"/>
              <w:right w:w="100" w:type="dxa"/>
            </w:tcMar>
          </w:tcPr>
          <w:p w14:paraId="5703749E"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See Section 5.2: break-even call uplift 1.1%, reminder 2.0%; S4 net benefit EUR 30.4k a year under base assumptions.</w:t>
            </w:r>
          </w:p>
        </w:tc>
      </w:tr>
      <w:tr w:rsidR="00FE41A1" w14:paraId="453373F3" w14:textId="77777777">
        <w:tc>
          <w:tcPr>
            <w:tcW w:w="1620" w:type="dxa"/>
            <w:tcBorders>
              <w:top w:val="nil"/>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042F7DD" w14:textId="77777777" w:rsidR="00FE41A1" w:rsidRDefault="00C20FEB">
            <w:pPr>
              <w:widowControl w:val="0"/>
              <w:spacing w:line="25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Causal effect</w:t>
            </w:r>
          </w:p>
        </w:tc>
        <w:tc>
          <w:tcPr>
            <w:tcW w:w="2100" w:type="dxa"/>
            <w:tcBorders>
              <w:top w:val="nil"/>
              <w:left w:val="nil"/>
              <w:bottom w:val="single" w:sz="4" w:space="0" w:color="BFBFBF"/>
              <w:right w:val="single" w:sz="4" w:space="0" w:color="BFBFBF"/>
            </w:tcBorders>
            <w:tcMar>
              <w:top w:w="60" w:type="dxa"/>
              <w:left w:w="100" w:type="dxa"/>
              <w:bottom w:w="60" w:type="dxa"/>
              <w:right w:w="100" w:type="dxa"/>
            </w:tcMar>
          </w:tcPr>
          <w:p w14:paraId="342BB047"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Cancellation rate and revenue retained, treated vs control</w:t>
            </w:r>
          </w:p>
        </w:tc>
        <w:tc>
          <w:tcPr>
            <w:tcW w:w="1860" w:type="dxa"/>
            <w:tcBorders>
              <w:top w:val="nil"/>
              <w:left w:val="nil"/>
              <w:bottom w:val="single" w:sz="4" w:space="0" w:color="BFBFBF"/>
              <w:right w:val="single" w:sz="4" w:space="0" w:color="BFBFBF"/>
            </w:tcBorders>
            <w:tcMar>
              <w:top w:w="60" w:type="dxa"/>
              <w:left w:w="100" w:type="dxa"/>
              <w:bottom w:w="60" w:type="dxa"/>
              <w:right w:w="100" w:type="dxa"/>
            </w:tcMar>
          </w:tcPr>
          <w:p w14:paraId="0B166937"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Pilot with control group (future step)</w:t>
            </w:r>
          </w:p>
        </w:tc>
        <w:tc>
          <w:tcPr>
            <w:tcW w:w="1860" w:type="dxa"/>
            <w:tcBorders>
              <w:top w:val="nil"/>
              <w:left w:val="nil"/>
              <w:bottom w:val="single" w:sz="4" w:space="0" w:color="BFBFBF"/>
              <w:right w:val="single" w:sz="4" w:space="0" w:color="BFBFBF"/>
            </w:tcBorders>
            <w:tcMar>
              <w:top w:w="60" w:type="dxa"/>
              <w:left w:w="100" w:type="dxa"/>
              <w:bottom w:w="60" w:type="dxa"/>
              <w:right w:w="100" w:type="dxa"/>
            </w:tcMar>
          </w:tcPr>
          <w:p w14:paraId="75CF1927"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Significantly lower cancellation in treated group</w:t>
            </w:r>
          </w:p>
        </w:tc>
        <w:tc>
          <w:tcPr>
            <w:tcW w:w="2055" w:type="dxa"/>
            <w:tcBorders>
              <w:top w:val="nil"/>
              <w:left w:val="nil"/>
              <w:bottom w:val="single" w:sz="4" w:space="0" w:color="BFBFBF"/>
              <w:right w:val="single" w:sz="4" w:space="0" w:color="BFBFBF"/>
            </w:tcBorders>
            <w:tcMar>
              <w:top w:w="60" w:type="dxa"/>
              <w:left w:w="100" w:type="dxa"/>
              <w:bottom w:w="60" w:type="dxa"/>
              <w:right w:w="100" w:type="dxa"/>
            </w:tcMar>
          </w:tcPr>
          <w:p w14:paraId="2504D386" w14:textId="77777777" w:rsidR="00FE41A1" w:rsidRDefault="00C20FEB">
            <w:pPr>
              <w:widowControl w:val="0"/>
              <w:spacing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yet available</w:t>
            </w:r>
          </w:p>
        </w:tc>
      </w:tr>
    </w:tbl>
    <w:p w14:paraId="61F41AED" w14:textId="77777777" w:rsidR="00FE41A1" w:rsidRDefault="00FE41A1">
      <w:pPr>
        <w:rPr>
          <w:rFonts w:ascii="Times New Roman" w:eastAsia="Times New Roman" w:hAnsi="Times New Roman" w:cs="Times New Roman"/>
          <w:sz w:val="24"/>
          <w:szCs w:val="24"/>
        </w:rPr>
      </w:pPr>
    </w:p>
    <w:p w14:paraId="6CB9D448" w14:textId="77777777" w:rsidR="00FE41A1" w:rsidRDefault="00C20FEB">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Limitations:</w:t>
      </w:r>
    </w:p>
    <w:p w14:paraId="3011B45C" w14:textId="77777777" w:rsidR="00FE41A1" w:rsidRDefault="00C20FEB">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and test labels were viewed during EDA, so results are a retrospective prototype. Test (2017) is descriptive and consistent with validation, not independent proof.</w:t>
      </w:r>
    </w:p>
    <w:p w14:paraId="3240FDF9" w14:textId="77777777" w:rsidR="00FE41A1" w:rsidRDefault="00C20FEB">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lead_time and derived fields come from a near-arrival snapshot. As-of availability must be verified before deployment.</w:t>
      </w:r>
    </w:p>
    <w:p w14:paraId="025BF70D" w14:textId="77777777" w:rsidR="00FE41A1" w:rsidRDefault="00C20FEB">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screens rather than catches: recall at top 20% is about 30%, so about 70% of cancellations remain unflagged.</w:t>
      </w:r>
    </w:p>
    <w:p w14:paraId="1D216D0A" w14:textId="77777777" w:rsidR="00FE41A1" w:rsidRDefault="00C20FEB">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advantage over the baseline logistic (lead_time + segment) is small (+0.03 PR-AUC). The main value comes from using risk ranking to drive decisions.</w:t>
      </w:r>
    </w:p>
    <w:p w14:paraId="2660DEC5" w14:textId="77777777" w:rsidR="00FE41A1" w:rsidRDefault="00C20FEB">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Drift risk: event rate differs by period (0.315 validation, 0.344 test), and agent_top and booking_month may be unstable over time (ablation not yet run).</w:t>
      </w:r>
    </w:p>
    <w:p w14:paraId="6D4EF6A4" w14:textId="77777777" w:rsidR="00FE41A1" w:rsidRDefault="00C20FEB">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Cost, save rate and break-even rest on synthetic assumptions until a controlled pilot exists.</w:t>
      </w:r>
    </w:p>
    <w:p w14:paraId="0958F1EF" w14:textId="77777777" w:rsidR="00FE41A1" w:rsidRDefault="00C20FEB">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Monitoring after deployment:</w:t>
      </w:r>
    </w:p>
    <w:p w14:paraId="34461725" w14:textId="77777777" w:rsidR="00FE41A1" w:rsidRDefault="00C20FEB">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Alert share and queue size per week.</w:t>
      </w:r>
    </w:p>
    <w:p w14:paraId="7FF2BE8E" w14:textId="77777777" w:rsidR="00FE41A1" w:rsidRDefault="00C20FEB">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Event-rate drift and PR-AUC / lift@20% on newly matured bookings.</w:t>
      </w:r>
    </w:p>
    <w:p w14:paraId="1E853ECE" w14:textId="77777777" w:rsidR="00FE41A1" w:rsidRDefault="00C20FEB">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Stability of the agent_top and booking-month effects.</w:t>
      </w:r>
    </w:p>
    <w:p w14:paraId="78C729FE" w14:textId="77777777" w:rsidR="00FE41A1" w:rsidRDefault="00C20FEB">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Scheduled retraining on a rolling window.</w:t>
      </w:r>
    </w:p>
    <w:p w14:paraId="0BA2E838"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Output to Method 2: </w:t>
      </w:r>
      <w:r>
        <w:rPr>
          <w:rFonts w:ascii="Times New Roman" w:eastAsia="Times New Roman" w:hAnsi="Times New Roman" w:cs="Times New Roman"/>
          <w:sz w:val="24"/>
          <w:szCs w:val="24"/>
        </w:rPr>
        <w:t>Per booking: booking_id, risk score, risk rank (percentile), top-20% flag. Method 2 combines this with booking value and time to arrival to propose actions for staff approval.</w:t>
      </w:r>
    </w:p>
    <w:p w14:paraId="03B35209" w14:textId="77777777" w:rsidR="00FE41A1" w:rsidRDefault="00FE41A1">
      <w:pPr>
        <w:jc w:val="both"/>
        <w:rPr>
          <w:rFonts w:ascii="Times New Roman" w:eastAsia="Times New Roman" w:hAnsi="Times New Roman" w:cs="Times New Roman"/>
          <w:sz w:val="24"/>
          <w:szCs w:val="24"/>
        </w:rPr>
      </w:pPr>
    </w:p>
    <w:p w14:paraId="115EE4C3" w14:textId="77777777" w:rsidR="00FE41A1" w:rsidRDefault="00C20FEB">
      <w:pPr>
        <w:pStyle w:val="Heading2"/>
        <w:keepNext/>
        <w:keepLines/>
        <w:spacing w:before="200"/>
        <w:ind w:left="0"/>
      </w:pPr>
      <w:bookmarkStart w:id="30" w:name="_Toc243432504"/>
      <w:r>
        <w:t>5.2. Method 2: Risk-Based Decision Rules and Business Value</w:t>
      </w:r>
      <w:bookmarkEnd w:id="30"/>
    </w:p>
    <w:p w14:paraId="007AB6E1" w14:textId="77777777" w:rsidR="00FE41A1" w:rsidRDefault="00C20FEB">
      <w:pPr>
        <w:pStyle w:val="Heading3"/>
        <w:keepNext/>
        <w:keepLines/>
        <w:spacing w:before="200"/>
        <w:ind w:firstLine="0"/>
        <w:rPr>
          <w:i w:val="0"/>
          <w:iCs w:val="0"/>
          <w:color w:val="1F3864"/>
        </w:rPr>
      </w:pPr>
      <w:bookmarkStart w:id="31" w:name="_Toc243432505"/>
      <w:r>
        <w:rPr>
          <w:i w:val="0"/>
          <w:iCs w:val="0"/>
          <w:color w:val="1F3864"/>
        </w:rPr>
        <w:t>5.2.1. Purpose and scope</w:t>
      </w:r>
      <w:bookmarkEnd w:id="31"/>
    </w:p>
    <w:p w14:paraId="7EC68564" w14:textId="77777777" w:rsidR="00FE41A1" w:rsidRDefault="00C20FEB">
      <w:pPr>
        <w:spacing w:before="180" w:after="180"/>
        <w:rPr>
          <w:rFonts w:ascii="Cambria" w:eastAsia="Cambria" w:hAnsi="Cambria" w:cs="Cambria"/>
          <w:sz w:val="24"/>
          <w:szCs w:val="24"/>
        </w:rPr>
      </w:pPr>
      <w:r>
        <w:rPr>
          <w:rFonts w:ascii="Cambria" w:eastAsia="Cambria" w:hAnsi="Cambria" w:cs="Cambria"/>
          <w:b/>
          <w:bCs/>
          <w:sz w:val="24"/>
          <w:szCs w:val="24"/>
        </w:rPr>
        <w:t>Purpose:</w:t>
      </w:r>
      <w:r>
        <w:rPr>
          <w:rFonts w:ascii="Cambria" w:eastAsia="Cambria" w:hAnsi="Cambria" w:cs="Cambria"/>
          <w:sz w:val="24"/>
          <w:szCs w:val="24"/>
        </w:rPr>
        <w:t xml:space="preserve"> Turn the Method 1 risk score into actions that staff can run every week, and test whether those actions pay for themselves. Method 2 answers three questions: which bookings to act on, what to do with each, and what the hotel gains net of all costs. </w:t>
      </w:r>
      <w:r>
        <w:rPr>
          <w:rFonts w:ascii="Cambria" w:eastAsia="Cambria" w:hAnsi="Cambria" w:cs="Cambria"/>
          <w:b/>
          <w:bCs/>
          <w:sz w:val="24"/>
          <w:szCs w:val="24"/>
        </w:rPr>
        <w:t>Scope:</w:t>
      </w:r>
    </w:p>
    <w:p w14:paraId="20F83B40" w14:textId="77777777" w:rsidR="00FE41A1" w:rsidRDefault="00C20FEB">
      <w:pPr>
        <w:numPr>
          <w:ilvl w:val="0"/>
          <w:numId w:val="14"/>
        </w:numPr>
        <w:spacing w:before="36" w:after="36"/>
        <w:ind w:left="720" w:hanging="480"/>
        <w:rPr>
          <w:rFonts w:ascii="Cambria" w:eastAsia="Cambria" w:hAnsi="Cambria" w:cs="Cambria"/>
          <w:sz w:val="24"/>
          <w:szCs w:val="24"/>
        </w:rPr>
      </w:pPr>
      <w:r>
        <w:rPr>
          <w:rFonts w:ascii="Cambria" w:eastAsia="Cambria" w:hAnsi="Cambria" w:cs="Cambria"/>
          <w:sz w:val="24"/>
          <w:szCs w:val="24"/>
        </w:rPr>
        <w:t>Individual bookings, scored by the final Method 1 model (XGBoost). Group blocks follow separate rules (G1–G3), all approved by the Revenue Manager.</w:t>
      </w:r>
    </w:p>
    <w:p w14:paraId="6E05D73F" w14:textId="77777777" w:rsidR="00FE41A1" w:rsidRDefault="00C20FEB">
      <w:pPr>
        <w:numPr>
          <w:ilvl w:val="0"/>
          <w:numId w:val="14"/>
        </w:numPr>
        <w:spacing w:before="36" w:after="36"/>
        <w:ind w:left="720" w:hanging="480"/>
        <w:rPr>
          <w:rFonts w:ascii="Cambria" w:eastAsia="Cambria" w:hAnsi="Cambria" w:cs="Cambria"/>
          <w:sz w:val="24"/>
          <w:szCs w:val="24"/>
        </w:rPr>
      </w:pPr>
      <w:r>
        <w:rPr>
          <w:rFonts w:ascii="Cambria" w:eastAsia="Cambria" w:hAnsi="Cambria" w:cs="Cambria"/>
          <w:sz w:val="24"/>
          <w:szCs w:val="24"/>
        </w:rPr>
        <w:t>Decision time: the end of each booking week. The queue holds bookings created that week that are still active and not yet arrived.</w:t>
      </w:r>
    </w:p>
    <w:p w14:paraId="711F7349" w14:textId="77777777" w:rsidR="00FE41A1" w:rsidRDefault="00C20FEB">
      <w:pPr>
        <w:numPr>
          <w:ilvl w:val="0"/>
          <w:numId w:val="14"/>
        </w:numPr>
        <w:spacing w:before="36" w:after="36"/>
        <w:ind w:left="720" w:hanging="480"/>
        <w:rPr>
          <w:rFonts w:ascii="Cambria" w:eastAsia="Cambria" w:hAnsi="Cambria" w:cs="Cambria"/>
          <w:sz w:val="24"/>
          <w:szCs w:val="24"/>
        </w:rPr>
      </w:pPr>
      <w:r>
        <w:rPr>
          <w:rFonts w:ascii="Cambria" w:eastAsia="Cambria" w:hAnsi="Cambria" w:cs="Cambria"/>
          <w:sz w:val="24"/>
          <w:szCs w:val="24"/>
        </w:rPr>
        <w:t>Evaluation: the 2017 operational queue, 12,102 individual bookings in 35 weekly batches (cancellation rate 24.0%). The policy itself was chosen on 2016 data and frozen before 2017 was read.</w:t>
      </w:r>
    </w:p>
    <w:p w14:paraId="5E96AAD5" w14:textId="77777777" w:rsidR="00FE41A1" w:rsidRDefault="00C20FEB">
      <w:pPr>
        <w:numPr>
          <w:ilvl w:val="0"/>
          <w:numId w:val="14"/>
        </w:numPr>
        <w:spacing w:before="36" w:after="36"/>
        <w:ind w:left="720" w:hanging="480"/>
        <w:rPr>
          <w:rFonts w:ascii="Cambria" w:eastAsia="Cambria" w:hAnsi="Cambria" w:cs="Cambria"/>
          <w:sz w:val="24"/>
          <w:szCs w:val="24"/>
        </w:rPr>
      </w:pPr>
      <w:r>
        <w:rPr>
          <w:rFonts w:ascii="Cambria" w:eastAsia="Cambria" w:hAnsi="Cambria" w:cs="Cambria"/>
          <w:sz w:val="24"/>
          <w:szCs w:val="24"/>
        </w:rPr>
        <w:t>Money is measured on a contribution basis (room revenue net of commission, minus room cost). Uplift, cost and resale inputs are assumptions or simulated data (Section 4), not observed effects.</w:t>
      </w:r>
    </w:p>
    <w:p w14:paraId="55249C32" w14:textId="77777777" w:rsidR="00FE41A1" w:rsidRDefault="00C20FEB">
      <w:pPr>
        <w:pStyle w:val="Heading3"/>
        <w:keepNext/>
        <w:keepLines/>
        <w:spacing w:before="200"/>
        <w:ind w:firstLine="0"/>
        <w:rPr>
          <w:rFonts w:ascii="Calibri" w:eastAsia="Calibri" w:hAnsi="Calibri" w:cs="Calibri"/>
          <w:i w:val="0"/>
          <w:iCs w:val="0"/>
          <w:color w:val="4F81BD"/>
        </w:rPr>
      </w:pPr>
      <w:bookmarkStart w:id="32" w:name="_Toc243432506"/>
      <w:r>
        <w:rPr>
          <w:rFonts w:ascii="Calibri" w:eastAsia="Calibri" w:hAnsi="Calibri" w:cs="Calibri"/>
          <w:i w:val="0"/>
          <w:iCs w:val="0"/>
          <w:color w:val="4F81BD"/>
        </w:rPr>
        <w:t>5.2.2. Analytical design</w:t>
      </w:r>
      <w:bookmarkEnd w:id="32"/>
    </w:p>
    <w:p w14:paraId="78891CCD" w14:textId="77777777" w:rsidR="00FE41A1" w:rsidRDefault="00C20FEB">
      <w:pPr>
        <w:spacing w:before="180" w:after="180"/>
        <w:rPr>
          <w:rFonts w:ascii="Cambria" w:eastAsia="Cambria" w:hAnsi="Cambria" w:cs="Cambria"/>
          <w:sz w:val="24"/>
          <w:szCs w:val="24"/>
        </w:rPr>
      </w:pPr>
      <w:r>
        <w:rPr>
          <w:rFonts w:ascii="Cambria" w:eastAsia="Cambria" w:hAnsi="Cambria" w:cs="Cambria"/>
          <w:b/>
          <w:bCs/>
          <w:sz w:val="24"/>
          <w:szCs w:val="24"/>
        </w:rPr>
        <w:t>Step 1: Rank and tier each weekly batch.</w:t>
      </w:r>
    </w:p>
    <w:p w14:paraId="3F22E13B" w14:textId="77777777" w:rsidR="00FE41A1" w:rsidRDefault="00C20FEB">
      <w:pPr>
        <w:numPr>
          <w:ilvl w:val="0"/>
          <w:numId w:val="8"/>
        </w:numPr>
        <w:spacing w:before="36" w:after="36"/>
        <w:rPr>
          <w:rFonts w:ascii="Cambria" w:eastAsia="Cambria" w:hAnsi="Cambria" w:cs="Cambria"/>
          <w:sz w:val="24"/>
          <w:szCs w:val="24"/>
        </w:rPr>
      </w:pPr>
      <w:r>
        <w:rPr>
          <w:rFonts w:ascii="Cambria" w:eastAsia="Cambria" w:hAnsi="Cambria" w:cs="Cambria"/>
          <w:b/>
          <w:bCs/>
          <w:sz w:val="24"/>
          <w:szCs w:val="24"/>
        </w:rPr>
        <w:t>Call tier:</w:t>
      </w:r>
      <w:r>
        <w:rPr>
          <w:rFonts w:ascii="Cambria" w:eastAsia="Cambria" w:hAnsi="Cambria" w:cs="Cambria"/>
          <w:sz w:val="24"/>
          <w:szCs w:val="24"/>
        </w:rPr>
        <w:t xml:space="preserve"> the top 15% of the batch, ranked by </w:t>
      </w:r>
      <w:r>
        <w:rPr>
          <w:rFonts w:ascii="Cambria" w:eastAsia="Cambria" w:hAnsi="Cambria" w:cs="Cambria"/>
          <w:i/>
          <w:iCs/>
          <w:sz w:val="24"/>
          <w:szCs w:val="24"/>
        </w:rPr>
        <w:t>p_cancel × booking value</w:t>
      </w:r>
      <w:r>
        <w:rPr>
          <w:rFonts w:ascii="Cambria" w:eastAsia="Cambria" w:hAnsi="Cambria" w:cs="Cambria"/>
          <w:sz w:val="24"/>
          <w:szCs w:val="24"/>
        </w:rPr>
        <w:t>, so staff call the bookings where most money is at stake.</w:t>
      </w:r>
    </w:p>
    <w:p w14:paraId="3827588B" w14:textId="77777777" w:rsidR="00FE41A1" w:rsidRDefault="00C20FEB">
      <w:pPr>
        <w:numPr>
          <w:ilvl w:val="0"/>
          <w:numId w:val="8"/>
        </w:numPr>
        <w:spacing w:before="36" w:after="36"/>
        <w:rPr>
          <w:rFonts w:ascii="Cambria" w:eastAsia="Cambria" w:hAnsi="Cambria" w:cs="Cambria"/>
          <w:sz w:val="24"/>
          <w:szCs w:val="24"/>
        </w:rPr>
      </w:pPr>
      <w:r>
        <w:rPr>
          <w:rFonts w:ascii="Cambria" w:eastAsia="Cambria" w:hAnsi="Cambria" w:cs="Cambria"/>
          <w:b/>
          <w:bCs/>
          <w:sz w:val="24"/>
          <w:szCs w:val="24"/>
        </w:rPr>
        <w:t>Reminder tier:</w:t>
      </w:r>
      <w:r>
        <w:rPr>
          <w:rFonts w:ascii="Cambria" w:eastAsia="Cambria" w:hAnsi="Cambria" w:cs="Cambria"/>
          <w:sz w:val="24"/>
          <w:szCs w:val="24"/>
        </w:rPr>
        <w:t xml:space="preserve"> the next bookings by </w:t>
      </w:r>
      <w:r>
        <w:rPr>
          <w:rFonts w:ascii="Cambria" w:eastAsia="Cambria" w:hAnsi="Cambria" w:cs="Cambria"/>
          <w:i/>
          <w:iCs/>
          <w:sz w:val="24"/>
          <w:szCs w:val="24"/>
        </w:rPr>
        <w:t>p_cancel</w:t>
      </w:r>
      <w:r>
        <w:rPr>
          <w:rFonts w:ascii="Cambria" w:eastAsia="Cambria" w:hAnsi="Cambria" w:cs="Cambria"/>
          <w:sz w:val="24"/>
          <w:szCs w:val="24"/>
        </w:rPr>
        <w:t>, until 60% of the batch is covered.</w:t>
      </w:r>
    </w:p>
    <w:p w14:paraId="587CAA9B" w14:textId="77777777" w:rsidR="00FE41A1" w:rsidRDefault="00C20FEB">
      <w:pPr>
        <w:numPr>
          <w:ilvl w:val="0"/>
          <w:numId w:val="8"/>
        </w:numPr>
        <w:spacing w:before="36" w:after="36"/>
        <w:rPr>
          <w:rFonts w:ascii="Cambria" w:eastAsia="Cambria" w:hAnsi="Cambria" w:cs="Cambria"/>
          <w:sz w:val="24"/>
          <w:szCs w:val="24"/>
        </w:rPr>
      </w:pPr>
      <w:r>
        <w:rPr>
          <w:rFonts w:ascii="Cambria" w:eastAsia="Cambria" w:hAnsi="Cambria" w:cs="Cambria"/>
          <w:b/>
          <w:bCs/>
          <w:sz w:val="24"/>
          <w:szCs w:val="24"/>
        </w:rPr>
        <w:t>Low tier:</w:t>
      </w:r>
      <w:r>
        <w:rPr>
          <w:rFonts w:ascii="Cambria" w:eastAsia="Cambria" w:hAnsi="Cambria" w:cs="Cambria"/>
          <w:sz w:val="24"/>
          <w:szCs w:val="24"/>
        </w:rPr>
        <w:t xml:space="preserve"> the remaining 40%.</w:t>
      </w:r>
    </w:p>
    <w:p w14:paraId="41A9DB8B" w14:textId="77777777" w:rsidR="00FE41A1" w:rsidRDefault="00C20FEB">
      <w:pPr>
        <w:spacing w:before="180" w:after="180"/>
        <w:rPr>
          <w:rFonts w:ascii="Cambria" w:eastAsia="Cambria" w:hAnsi="Cambria" w:cs="Cambria"/>
          <w:sz w:val="24"/>
          <w:szCs w:val="24"/>
        </w:rPr>
      </w:pPr>
      <w:r>
        <w:rPr>
          <w:rFonts w:ascii="Cambria" w:eastAsia="Cambria" w:hAnsi="Cambria" w:cs="Cambria"/>
          <w:sz w:val="24"/>
          <w:szCs w:val="24"/>
        </w:rPr>
        <w:t>The shares (15% / 60%) and the ranking key were chosen on 2016 weekly batches with models fitted only on data available before each decision, from a grid of 42 candidate policies. Using shares of each batch, rather than a fixed probability cut-off, keeps the workload stable when the score level drifts.</w:t>
      </w:r>
    </w:p>
    <w:p w14:paraId="2C58382B" w14:textId="77777777" w:rsidR="00FE41A1" w:rsidRDefault="00C20FEB">
      <w:pPr>
        <w:spacing w:before="180" w:after="180"/>
        <w:rPr>
          <w:rFonts w:ascii="Cambria" w:eastAsia="Cambria" w:hAnsi="Cambria" w:cs="Cambria"/>
          <w:sz w:val="24"/>
          <w:szCs w:val="24"/>
        </w:rPr>
      </w:pPr>
      <w:r>
        <w:rPr>
          <w:rFonts w:ascii="Cambria" w:eastAsia="Cambria" w:hAnsi="Cambria" w:cs="Cambria"/>
          <w:b/>
          <w:bCs/>
          <w:sz w:val="24"/>
          <w:szCs w:val="24"/>
        </w:rPr>
        <w:t>Step 2: Route each booking to an action</w:t>
      </w:r>
      <w:r>
        <w:rPr>
          <w:rFonts w:ascii="Cambria" w:eastAsia="Cambria" w:hAnsi="Cambria" w:cs="Cambria"/>
          <w:sz w:val="24"/>
          <w:szCs w:val="24"/>
        </w:rPr>
        <w:t xml:space="preserve"> (Figure 5.2):</w:t>
      </w:r>
    </w:p>
    <w:tbl>
      <w:tblPr>
        <w:tblStyle w:val="ae"/>
        <w:tblW w:w="8670" w:type="dxa"/>
        <w:tblInd w:w="-108" w:type="dxa"/>
        <w:tblLayout w:type="fixed"/>
        <w:tblLook w:val="0020" w:firstRow="1" w:lastRow="0" w:firstColumn="0" w:lastColumn="0" w:noHBand="0" w:noVBand="0"/>
      </w:tblPr>
      <w:tblGrid>
        <w:gridCol w:w="900"/>
        <w:gridCol w:w="1860"/>
        <w:gridCol w:w="2910"/>
        <w:gridCol w:w="1650"/>
        <w:gridCol w:w="1350"/>
      </w:tblGrid>
      <w:tr w:rsidR="00FE41A1" w14:paraId="6B5D1B0F" w14:textId="77777777" w:rsidTr="00FE41A1">
        <w:trPr>
          <w:cnfStyle w:val="100000000000" w:firstRow="1" w:lastRow="0" w:firstColumn="0" w:lastColumn="0" w:oddVBand="0" w:evenVBand="0" w:oddHBand="0" w:evenHBand="0" w:firstRowFirstColumn="0" w:firstRowLastColumn="0" w:lastRowFirstColumn="0" w:lastRowLastColumn="0"/>
          <w:tblHeader/>
        </w:trPr>
        <w:tc>
          <w:tcPr>
            <w:tcW w:w="900" w:type="dxa"/>
            <w:tcBorders>
              <w:top w:val="single" w:sz="4" w:space="0" w:color="000000"/>
              <w:left w:val="single" w:sz="4" w:space="0" w:color="000000"/>
              <w:bottom w:val="single" w:sz="4" w:space="0" w:color="000000"/>
              <w:right w:val="single" w:sz="4" w:space="0" w:color="000000"/>
            </w:tcBorders>
          </w:tcPr>
          <w:p w14:paraId="4F6F86D6"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Rule</w:t>
            </w:r>
          </w:p>
        </w:tc>
        <w:tc>
          <w:tcPr>
            <w:tcW w:w="1860" w:type="dxa"/>
            <w:tcBorders>
              <w:top w:val="single" w:sz="4" w:space="0" w:color="000000"/>
              <w:left w:val="single" w:sz="4" w:space="0" w:color="000000"/>
              <w:bottom w:val="single" w:sz="4" w:space="0" w:color="000000"/>
              <w:right w:val="single" w:sz="4" w:space="0" w:color="000000"/>
            </w:tcBorders>
          </w:tcPr>
          <w:p w14:paraId="0494A8F2"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Condition</w:t>
            </w:r>
          </w:p>
        </w:tc>
        <w:tc>
          <w:tcPr>
            <w:tcW w:w="2910" w:type="dxa"/>
            <w:tcBorders>
              <w:top w:val="single" w:sz="4" w:space="0" w:color="000000"/>
              <w:left w:val="single" w:sz="4" w:space="0" w:color="000000"/>
              <w:bottom w:val="single" w:sz="4" w:space="0" w:color="000000"/>
              <w:right w:val="single" w:sz="4" w:space="0" w:color="000000"/>
            </w:tcBorders>
          </w:tcPr>
          <w:p w14:paraId="5622004A"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Action</w:t>
            </w:r>
          </w:p>
        </w:tc>
        <w:tc>
          <w:tcPr>
            <w:tcW w:w="1650" w:type="dxa"/>
            <w:tcBorders>
              <w:top w:val="single" w:sz="4" w:space="0" w:color="000000"/>
              <w:left w:val="single" w:sz="4" w:space="0" w:color="000000"/>
              <w:bottom w:val="single" w:sz="4" w:space="0" w:color="000000"/>
              <w:right w:val="single" w:sz="4" w:space="0" w:color="000000"/>
            </w:tcBorders>
          </w:tcPr>
          <w:p w14:paraId="7171EF72"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Owner</w:t>
            </w:r>
          </w:p>
        </w:tc>
        <w:tc>
          <w:tcPr>
            <w:tcW w:w="1350" w:type="dxa"/>
            <w:tcBorders>
              <w:top w:val="single" w:sz="4" w:space="0" w:color="000000"/>
              <w:left w:val="single" w:sz="4" w:space="0" w:color="000000"/>
              <w:bottom w:val="single" w:sz="4" w:space="0" w:color="000000"/>
              <w:right w:val="single" w:sz="4" w:space="0" w:color="000000"/>
            </w:tcBorders>
          </w:tcPr>
          <w:p w14:paraId="3AFBDD14"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Approval</w:t>
            </w:r>
          </w:p>
        </w:tc>
      </w:tr>
      <w:tr w:rsidR="00FE41A1" w14:paraId="61560E90" w14:textId="77777777" w:rsidTr="00FE41A1">
        <w:tc>
          <w:tcPr>
            <w:tcW w:w="900" w:type="dxa"/>
            <w:tcBorders>
              <w:top w:val="single" w:sz="4" w:space="0" w:color="000000"/>
              <w:left w:val="single" w:sz="4" w:space="0" w:color="000000"/>
              <w:bottom w:val="single" w:sz="4" w:space="0" w:color="000000"/>
              <w:right w:val="single" w:sz="4" w:space="0" w:color="000000"/>
            </w:tcBorders>
          </w:tcPr>
          <w:p w14:paraId="6DE403A2" w14:textId="77777777" w:rsidR="00FE41A1" w:rsidRDefault="00C20FEB">
            <w:pPr>
              <w:spacing w:before="36" w:after="36"/>
              <w:rPr>
                <w:rFonts w:ascii="Cambria" w:eastAsia="Cambria" w:hAnsi="Cambria" w:cs="Cambria"/>
                <w:sz w:val="24"/>
                <w:szCs w:val="24"/>
              </w:rPr>
            </w:pPr>
            <w:r>
              <w:rPr>
                <w:rFonts w:ascii="Cambria" w:eastAsia="Cambria" w:hAnsi="Cambria" w:cs="Cambria"/>
                <w:b/>
                <w:bCs/>
                <w:sz w:val="24"/>
                <w:szCs w:val="24"/>
              </w:rPr>
              <w:t>I1</w:t>
            </w:r>
          </w:p>
        </w:tc>
        <w:tc>
          <w:tcPr>
            <w:tcW w:w="1860" w:type="dxa"/>
            <w:tcBorders>
              <w:top w:val="single" w:sz="4" w:space="0" w:color="000000"/>
              <w:left w:val="single" w:sz="4" w:space="0" w:color="000000"/>
              <w:bottom w:val="single" w:sz="4" w:space="0" w:color="000000"/>
              <w:right w:val="single" w:sz="4" w:space="0" w:color="000000"/>
            </w:tcBorders>
          </w:tcPr>
          <w:p w14:paraId="5F6C6159"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Low tier, or reminder tier with 7 days or fewer to arrival</w:t>
            </w:r>
          </w:p>
        </w:tc>
        <w:tc>
          <w:tcPr>
            <w:tcW w:w="2910" w:type="dxa"/>
            <w:tcBorders>
              <w:top w:val="single" w:sz="4" w:space="0" w:color="000000"/>
              <w:left w:val="single" w:sz="4" w:space="0" w:color="000000"/>
              <w:bottom w:val="single" w:sz="4" w:space="0" w:color="000000"/>
              <w:right w:val="single" w:sz="4" w:space="0" w:color="000000"/>
            </w:tcBorders>
          </w:tcPr>
          <w:p w14:paraId="5BDF8B24"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Standard confirmation + reminder 7 days before arrival (current practice)</w:t>
            </w:r>
          </w:p>
        </w:tc>
        <w:tc>
          <w:tcPr>
            <w:tcW w:w="1650" w:type="dxa"/>
            <w:tcBorders>
              <w:top w:val="single" w:sz="4" w:space="0" w:color="000000"/>
              <w:left w:val="single" w:sz="4" w:space="0" w:color="000000"/>
              <w:bottom w:val="single" w:sz="4" w:space="0" w:color="000000"/>
              <w:right w:val="single" w:sz="4" w:space="0" w:color="000000"/>
            </w:tcBorders>
          </w:tcPr>
          <w:p w14:paraId="29E9CEED"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n8n, monitored by Reservations</w:t>
            </w:r>
          </w:p>
        </w:tc>
        <w:tc>
          <w:tcPr>
            <w:tcW w:w="1350" w:type="dxa"/>
            <w:tcBorders>
              <w:top w:val="single" w:sz="4" w:space="0" w:color="000000"/>
              <w:left w:val="single" w:sz="4" w:space="0" w:color="000000"/>
              <w:bottom w:val="single" w:sz="4" w:space="0" w:color="000000"/>
              <w:right w:val="single" w:sz="4" w:space="0" w:color="000000"/>
            </w:tcBorders>
          </w:tcPr>
          <w:p w14:paraId="09B434B1"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Automatic</w:t>
            </w:r>
          </w:p>
        </w:tc>
      </w:tr>
      <w:tr w:rsidR="00FE41A1" w14:paraId="06A2AB38" w14:textId="77777777" w:rsidTr="00FE41A1">
        <w:tc>
          <w:tcPr>
            <w:tcW w:w="900" w:type="dxa"/>
            <w:tcBorders>
              <w:top w:val="single" w:sz="4" w:space="0" w:color="000000"/>
              <w:left w:val="single" w:sz="4" w:space="0" w:color="000000"/>
              <w:bottom w:val="single" w:sz="4" w:space="0" w:color="000000"/>
              <w:right w:val="single" w:sz="4" w:space="0" w:color="000000"/>
            </w:tcBorders>
          </w:tcPr>
          <w:p w14:paraId="3D79A738" w14:textId="77777777" w:rsidR="00FE41A1" w:rsidRDefault="00C20FEB">
            <w:pPr>
              <w:spacing w:before="36" w:after="36"/>
              <w:rPr>
                <w:rFonts w:ascii="Cambria" w:eastAsia="Cambria" w:hAnsi="Cambria" w:cs="Cambria"/>
                <w:sz w:val="24"/>
                <w:szCs w:val="24"/>
              </w:rPr>
            </w:pPr>
            <w:r>
              <w:rPr>
                <w:rFonts w:ascii="Cambria" w:eastAsia="Cambria" w:hAnsi="Cambria" w:cs="Cambria"/>
                <w:b/>
                <w:bCs/>
                <w:sz w:val="24"/>
                <w:szCs w:val="24"/>
              </w:rPr>
              <w:t>I2</w:t>
            </w:r>
          </w:p>
        </w:tc>
        <w:tc>
          <w:tcPr>
            <w:tcW w:w="1860" w:type="dxa"/>
            <w:tcBorders>
              <w:top w:val="single" w:sz="4" w:space="0" w:color="000000"/>
              <w:left w:val="single" w:sz="4" w:space="0" w:color="000000"/>
              <w:bottom w:val="single" w:sz="4" w:space="0" w:color="000000"/>
              <w:right w:val="single" w:sz="4" w:space="0" w:color="000000"/>
            </w:tcBorders>
          </w:tcPr>
          <w:p w14:paraId="7F10E150"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Reminder tier, 8 days or more</w:t>
            </w:r>
          </w:p>
        </w:tc>
        <w:tc>
          <w:tcPr>
            <w:tcW w:w="2910" w:type="dxa"/>
            <w:tcBorders>
              <w:top w:val="single" w:sz="4" w:space="0" w:color="000000"/>
              <w:left w:val="single" w:sz="4" w:space="0" w:color="000000"/>
              <w:bottom w:val="single" w:sz="4" w:space="0" w:color="000000"/>
              <w:right w:val="single" w:sz="4" w:space="0" w:color="000000"/>
            </w:tcBorders>
          </w:tcPr>
          <w:p w14:paraId="45A0AF53"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Personalised e-mail/SMS at 30 and 14 days before arrival (max 2)</w:t>
            </w:r>
          </w:p>
        </w:tc>
        <w:tc>
          <w:tcPr>
            <w:tcW w:w="1650" w:type="dxa"/>
            <w:tcBorders>
              <w:top w:val="single" w:sz="4" w:space="0" w:color="000000"/>
              <w:left w:val="single" w:sz="4" w:space="0" w:color="000000"/>
              <w:bottom w:val="single" w:sz="4" w:space="0" w:color="000000"/>
              <w:right w:val="single" w:sz="4" w:space="0" w:color="000000"/>
            </w:tcBorders>
          </w:tcPr>
          <w:p w14:paraId="4072E755"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n8n, monitored by Reservations</w:t>
            </w:r>
          </w:p>
        </w:tc>
        <w:tc>
          <w:tcPr>
            <w:tcW w:w="1350" w:type="dxa"/>
            <w:tcBorders>
              <w:top w:val="single" w:sz="4" w:space="0" w:color="000000"/>
              <w:left w:val="single" w:sz="4" w:space="0" w:color="000000"/>
              <w:bottom w:val="single" w:sz="4" w:space="0" w:color="000000"/>
              <w:right w:val="single" w:sz="4" w:space="0" w:color="000000"/>
            </w:tcBorders>
          </w:tcPr>
          <w:p w14:paraId="13217C1A"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Automatic</w:t>
            </w:r>
          </w:p>
        </w:tc>
      </w:tr>
      <w:tr w:rsidR="00FE41A1" w14:paraId="191FF045" w14:textId="77777777" w:rsidTr="00FE41A1">
        <w:tc>
          <w:tcPr>
            <w:tcW w:w="900" w:type="dxa"/>
            <w:tcBorders>
              <w:top w:val="single" w:sz="4" w:space="0" w:color="000000"/>
              <w:left w:val="single" w:sz="4" w:space="0" w:color="000000"/>
              <w:bottom w:val="single" w:sz="4" w:space="0" w:color="000000"/>
              <w:right w:val="single" w:sz="4" w:space="0" w:color="000000"/>
            </w:tcBorders>
          </w:tcPr>
          <w:p w14:paraId="298F388B" w14:textId="77777777" w:rsidR="00FE41A1" w:rsidRDefault="00C20FEB">
            <w:pPr>
              <w:spacing w:before="36" w:after="36"/>
              <w:rPr>
                <w:rFonts w:ascii="Cambria" w:eastAsia="Cambria" w:hAnsi="Cambria" w:cs="Cambria"/>
                <w:sz w:val="24"/>
                <w:szCs w:val="24"/>
              </w:rPr>
            </w:pPr>
            <w:r>
              <w:rPr>
                <w:rFonts w:ascii="Cambria" w:eastAsia="Cambria" w:hAnsi="Cambria" w:cs="Cambria"/>
                <w:b/>
                <w:bCs/>
                <w:sz w:val="24"/>
                <w:szCs w:val="24"/>
              </w:rPr>
              <w:lastRenderedPageBreak/>
              <w:t>I3</w:t>
            </w:r>
          </w:p>
        </w:tc>
        <w:tc>
          <w:tcPr>
            <w:tcW w:w="1860" w:type="dxa"/>
            <w:tcBorders>
              <w:top w:val="single" w:sz="4" w:space="0" w:color="000000"/>
              <w:left w:val="single" w:sz="4" w:space="0" w:color="000000"/>
              <w:bottom w:val="single" w:sz="4" w:space="0" w:color="000000"/>
              <w:right w:val="single" w:sz="4" w:space="0" w:color="000000"/>
            </w:tcBorders>
          </w:tcPr>
          <w:p w14:paraId="767904FC"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Call tier, 8 days or more</w:t>
            </w:r>
          </w:p>
        </w:tc>
        <w:tc>
          <w:tcPr>
            <w:tcW w:w="2910" w:type="dxa"/>
            <w:tcBorders>
              <w:top w:val="single" w:sz="4" w:space="0" w:color="000000"/>
              <w:left w:val="single" w:sz="4" w:space="0" w:color="000000"/>
              <w:bottom w:val="single" w:sz="4" w:space="0" w:color="000000"/>
              <w:right w:val="single" w:sz="4" w:space="0" w:color="000000"/>
            </w:tcBorders>
          </w:tcPr>
          <w:p w14:paraId="1BC1253F"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Phone call within 7 days of the decision and at least 8 days before arrival; max 20 call tasks per day; tasks without a free slot go to manual review</w:t>
            </w:r>
          </w:p>
        </w:tc>
        <w:tc>
          <w:tcPr>
            <w:tcW w:w="1650" w:type="dxa"/>
            <w:tcBorders>
              <w:top w:val="single" w:sz="4" w:space="0" w:color="000000"/>
              <w:left w:val="single" w:sz="4" w:space="0" w:color="000000"/>
              <w:bottom w:val="single" w:sz="4" w:space="0" w:color="000000"/>
              <w:right w:val="single" w:sz="4" w:space="0" w:color="000000"/>
            </w:tcBorders>
          </w:tcPr>
          <w:p w14:paraId="5BBE925D"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Reservations</w:t>
            </w:r>
          </w:p>
        </w:tc>
        <w:tc>
          <w:tcPr>
            <w:tcW w:w="1350" w:type="dxa"/>
            <w:tcBorders>
              <w:top w:val="single" w:sz="4" w:space="0" w:color="000000"/>
              <w:left w:val="single" w:sz="4" w:space="0" w:color="000000"/>
              <w:bottom w:val="single" w:sz="4" w:space="0" w:color="000000"/>
              <w:right w:val="single" w:sz="4" w:space="0" w:color="000000"/>
            </w:tcBorders>
          </w:tcPr>
          <w:p w14:paraId="3901E7A1"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Internal task</w:t>
            </w:r>
          </w:p>
        </w:tc>
      </w:tr>
      <w:tr w:rsidR="00FE41A1" w14:paraId="540A9447" w14:textId="77777777" w:rsidTr="00FE41A1">
        <w:tc>
          <w:tcPr>
            <w:tcW w:w="900" w:type="dxa"/>
            <w:tcBorders>
              <w:top w:val="single" w:sz="4" w:space="0" w:color="000000"/>
              <w:left w:val="single" w:sz="4" w:space="0" w:color="000000"/>
              <w:bottom w:val="single" w:sz="4" w:space="0" w:color="000000"/>
              <w:right w:val="single" w:sz="4" w:space="0" w:color="000000"/>
            </w:tcBorders>
          </w:tcPr>
          <w:p w14:paraId="7951464D" w14:textId="77777777" w:rsidR="00FE41A1" w:rsidRDefault="00C20FEB">
            <w:pPr>
              <w:spacing w:before="36" w:after="36"/>
              <w:rPr>
                <w:rFonts w:ascii="Cambria" w:eastAsia="Cambria" w:hAnsi="Cambria" w:cs="Cambria"/>
                <w:sz w:val="24"/>
                <w:szCs w:val="24"/>
              </w:rPr>
            </w:pPr>
            <w:r>
              <w:rPr>
                <w:rFonts w:ascii="Cambria" w:eastAsia="Cambria" w:hAnsi="Cambria" w:cs="Cambria"/>
                <w:b/>
                <w:bCs/>
                <w:sz w:val="24"/>
                <w:szCs w:val="24"/>
              </w:rPr>
              <w:t>I4</w:t>
            </w:r>
          </w:p>
        </w:tc>
        <w:tc>
          <w:tcPr>
            <w:tcW w:w="1860" w:type="dxa"/>
            <w:tcBorders>
              <w:top w:val="single" w:sz="4" w:space="0" w:color="000000"/>
              <w:left w:val="single" w:sz="4" w:space="0" w:color="000000"/>
              <w:bottom w:val="single" w:sz="4" w:space="0" w:color="000000"/>
              <w:right w:val="single" w:sz="4" w:space="0" w:color="000000"/>
            </w:tcBorders>
          </w:tcPr>
          <w:p w14:paraId="3E0303DD"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Guest asks to change during an I3 call</w:t>
            </w:r>
          </w:p>
        </w:tc>
        <w:tc>
          <w:tcPr>
            <w:tcW w:w="2910" w:type="dxa"/>
            <w:tcBorders>
              <w:top w:val="single" w:sz="4" w:space="0" w:color="000000"/>
              <w:left w:val="single" w:sz="4" w:space="0" w:color="000000"/>
              <w:bottom w:val="single" w:sz="4" w:space="0" w:color="000000"/>
              <w:right w:val="single" w:sz="4" w:space="0" w:color="000000"/>
            </w:tcBorders>
          </w:tcPr>
          <w:p w14:paraId="14B813EC"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Offer a date or room change</w:t>
            </w:r>
          </w:p>
        </w:tc>
        <w:tc>
          <w:tcPr>
            <w:tcW w:w="1650" w:type="dxa"/>
            <w:tcBorders>
              <w:top w:val="single" w:sz="4" w:space="0" w:color="000000"/>
              <w:left w:val="single" w:sz="4" w:space="0" w:color="000000"/>
              <w:bottom w:val="single" w:sz="4" w:space="0" w:color="000000"/>
              <w:right w:val="single" w:sz="4" w:space="0" w:color="000000"/>
            </w:tcBorders>
          </w:tcPr>
          <w:p w14:paraId="74E10804"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Reservations</w:t>
            </w:r>
          </w:p>
        </w:tc>
        <w:tc>
          <w:tcPr>
            <w:tcW w:w="1350" w:type="dxa"/>
            <w:tcBorders>
              <w:top w:val="single" w:sz="4" w:space="0" w:color="000000"/>
              <w:left w:val="single" w:sz="4" w:space="0" w:color="000000"/>
              <w:bottom w:val="single" w:sz="4" w:space="0" w:color="000000"/>
              <w:right w:val="single" w:sz="4" w:space="0" w:color="000000"/>
            </w:tcBorders>
          </w:tcPr>
          <w:p w14:paraId="77FD8600"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Revenue Manager if price changes (always, in the prototype)</w:t>
            </w:r>
          </w:p>
        </w:tc>
      </w:tr>
      <w:tr w:rsidR="00FE41A1" w14:paraId="6DC6D8C9" w14:textId="77777777" w:rsidTr="00FE41A1">
        <w:tc>
          <w:tcPr>
            <w:tcW w:w="900" w:type="dxa"/>
            <w:tcBorders>
              <w:top w:val="single" w:sz="4" w:space="0" w:color="000000"/>
              <w:left w:val="single" w:sz="4" w:space="0" w:color="000000"/>
              <w:bottom w:val="single" w:sz="4" w:space="0" w:color="000000"/>
              <w:right w:val="single" w:sz="4" w:space="0" w:color="000000"/>
            </w:tcBorders>
          </w:tcPr>
          <w:p w14:paraId="34E73F63" w14:textId="77777777" w:rsidR="00FE41A1" w:rsidRDefault="00C20FEB">
            <w:pPr>
              <w:spacing w:before="36" w:after="36"/>
              <w:rPr>
                <w:rFonts w:ascii="Cambria" w:eastAsia="Cambria" w:hAnsi="Cambria" w:cs="Cambria"/>
                <w:sz w:val="24"/>
                <w:szCs w:val="24"/>
              </w:rPr>
            </w:pPr>
            <w:r>
              <w:rPr>
                <w:rFonts w:ascii="Cambria" w:eastAsia="Cambria" w:hAnsi="Cambria" w:cs="Cambria"/>
                <w:b/>
                <w:bCs/>
                <w:sz w:val="24"/>
                <w:szCs w:val="24"/>
              </w:rPr>
              <w:t>I5</w:t>
            </w:r>
          </w:p>
        </w:tc>
        <w:tc>
          <w:tcPr>
            <w:tcW w:w="1860" w:type="dxa"/>
            <w:tcBorders>
              <w:top w:val="single" w:sz="4" w:space="0" w:color="000000"/>
              <w:left w:val="single" w:sz="4" w:space="0" w:color="000000"/>
              <w:bottom w:val="single" w:sz="4" w:space="0" w:color="000000"/>
              <w:right w:val="single" w:sz="4" w:space="0" w:color="000000"/>
            </w:tcBorders>
          </w:tcPr>
          <w:p w14:paraId="26777968"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Call tier, 7 days or fewer</w:t>
            </w:r>
          </w:p>
        </w:tc>
        <w:tc>
          <w:tcPr>
            <w:tcW w:w="2910" w:type="dxa"/>
            <w:tcBorders>
              <w:top w:val="single" w:sz="4" w:space="0" w:color="000000"/>
              <w:left w:val="single" w:sz="4" w:space="0" w:color="000000"/>
              <w:bottom w:val="single" w:sz="4" w:space="0" w:color="000000"/>
              <w:right w:val="single" w:sz="4" w:space="0" w:color="000000"/>
            </w:tcBorders>
          </w:tcPr>
          <w:p w14:paraId="50794659"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No contact; count in the date × room-type cancellation buffer</w:t>
            </w:r>
          </w:p>
        </w:tc>
        <w:tc>
          <w:tcPr>
            <w:tcW w:w="1650" w:type="dxa"/>
            <w:tcBorders>
              <w:top w:val="single" w:sz="4" w:space="0" w:color="000000"/>
              <w:left w:val="single" w:sz="4" w:space="0" w:color="000000"/>
              <w:bottom w:val="single" w:sz="4" w:space="0" w:color="000000"/>
              <w:right w:val="single" w:sz="4" w:space="0" w:color="000000"/>
            </w:tcBorders>
          </w:tcPr>
          <w:p w14:paraId="578CADAE"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Revenue Manager</w:t>
            </w:r>
          </w:p>
        </w:tc>
        <w:tc>
          <w:tcPr>
            <w:tcW w:w="1350" w:type="dxa"/>
            <w:tcBorders>
              <w:top w:val="single" w:sz="4" w:space="0" w:color="000000"/>
              <w:left w:val="single" w:sz="4" w:space="0" w:color="000000"/>
              <w:bottom w:val="single" w:sz="4" w:space="0" w:color="000000"/>
              <w:right w:val="single" w:sz="4" w:space="0" w:color="000000"/>
            </w:tcBorders>
          </w:tcPr>
          <w:p w14:paraId="4AEFD4E3"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w:t>
            </w:r>
          </w:p>
        </w:tc>
      </w:tr>
      <w:tr w:rsidR="00FE41A1" w14:paraId="464F032D" w14:textId="77777777" w:rsidTr="00FE41A1">
        <w:tc>
          <w:tcPr>
            <w:tcW w:w="900" w:type="dxa"/>
            <w:tcBorders>
              <w:top w:val="single" w:sz="4" w:space="0" w:color="000000"/>
              <w:left w:val="single" w:sz="4" w:space="0" w:color="000000"/>
              <w:bottom w:val="single" w:sz="4" w:space="0" w:color="000000"/>
              <w:right w:val="single" w:sz="4" w:space="0" w:color="000000"/>
            </w:tcBorders>
          </w:tcPr>
          <w:p w14:paraId="00778C70" w14:textId="77777777" w:rsidR="00FE41A1" w:rsidRDefault="00C20FEB">
            <w:pPr>
              <w:spacing w:before="36" w:after="36"/>
              <w:rPr>
                <w:rFonts w:ascii="Cambria" w:eastAsia="Cambria" w:hAnsi="Cambria" w:cs="Cambria"/>
                <w:sz w:val="24"/>
                <w:szCs w:val="24"/>
              </w:rPr>
            </w:pPr>
            <w:r>
              <w:rPr>
                <w:rFonts w:ascii="Cambria" w:eastAsia="Cambria" w:hAnsi="Cambria" w:cs="Cambria"/>
                <w:b/>
                <w:bCs/>
                <w:sz w:val="24"/>
                <w:szCs w:val="24"/>
              </w:rPr>
              <w:t>I6</w:t>
            </w:r>
          </w:p>
        </w:tc>
        <w:tc>
          <w:tcPr>
            <w:tcW w:w="1860" w:type="dxa"/>
            <w:tcBorders>
              <w:top w:val="single" w:sz="4" w:space="0" w:color="000000"/>
              <w:left w:val="single" w:sz="4" w:space="0" w:color="000000"/>
              <w:bottom w:val="single" w:sz="4" w:space="0" w:color="000000"/>
              <w:right w:val="single" w:sz="4" w:space="0" w:color="000000"/>
            </w:tcBorders>
          </w:tcPr>
          <w:p w14:paraId="05534A15"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Call tier, no deposit, high value</w:t>
            </w:r>
          </w:p>
        </w:tc>
        <w:tc>
          <w:tcPr>
            <w:tcW w:w="2910" w:type="dxa"/>
            <w:tcBorders>
              <w:top w:val="single" w:sz="4" w:space="0" w:color="000000"/>
              <w:left w:val="single" w:sz="4" w:space="0" w:color="000000"/>
              <w:bottom w:val="single" w:sz="4" w:space="0" w:color="000000"/>
              <w:right w:val="single" w:sz="4" w:space="0" w:color="000000"/>
            </w:tcBorders>
          </w:tcPr>
          <w:p w14:paraId="674DAD3E"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 xml:space="preserve">Request a deposit. </w:t>
            </w:r>
            <w:r>
              <w:rPr>
                <w:rFonts w:ascii="Cambria" w:eastAsia="Cambria" w:hAnsi="Cambria" w:cs="Cambria"/>
                <w:b/>
                <w:bCs/>
                <w:sz w:val="24"/>
                <w:szCs w:val="24"/>
              </w:rPr>
              <w:t>Off by default</w:t>
            </w:r>
          </w:p>
        </w:tc>
        <w:tc>
          <w:tcPr>
            <w:tcW w:w="1650" w:type="dxa"/>
            <w:tcBorders>
              <w:top w:val="single" w:sz="4" w:space="0" w:color="000000"/>
              <w:left w:val="single" w:sz="4" w:space="0" w:color="000000"/>
              <w:bottom w:val="single" w:sz="4" w:space="0" w:color="000000"/>
              <w:right w:val="single" w:sz="4" w:space="0" w:color="000000"/>
            </w:tcBorders>
          </w:tcPr>
          <w:p w14:paraId="29FC0FE7"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Reservations</w:t>
            </w:r>
          </w:p>
        </w:tc>
        <w:tc>
          <w:tcPr>
            <w:tcW w:w="1350" w:type="dxa"/>
            <w:tcBorders>
              <w:top w:val="single" w:sz="4" w:space="0" w:color="000000"/>
              <w:left w:val="single" w:sz="4" w:space="0" w:color="000000"/>
              <w:bottom w:val="single" w:sz="4" w:space="0" w:color="000000"/>
              <w:right w:val="single" w:sz="4" w:space="0" w:color="000000"/>
            </w:tcBorders>
          </w:tcPr>
          <w:p w14:paraId="45FAEC7B"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Revenue Manager (GDPR Art. 22)</w:t>
            </w:r>
          </w:p>
        </w:tc>
      </w:tr>
      <w:tr w:rsidR="00FE41A1" w14:paraId="375FD68D" w14:textId="77777777" w:rsidTr="00FE41A1">
        <w:tc>
          <w:tcPr>
            <w:tcW w:w="900" w:type="dxa"/>
            <w:tcBorders>
              <w:top w:val="single" w:sz="4" w:space="0" w:color="000000"/>
              <w:left w:val="single" w:sz="4" w:space="0" w:color="000000"/>
              <w:bottom w:val="single" w:sz="4" w:space="0" w:color="000000"/>
              <w:right w:val="single" w:sz="4" w:space="0" w:color="000000"/>
            </w:tcBorders>
          </w:tcPr>
          <w:p w14:paraId="60399CAE" w14:textId="77777777" w:rsidR="00FE41A1" w:rsidRDefault="00C20FEB">
            <w:pPr>
              <w:spacing w:before="36" w:after="36"/>
              <w:rPr>
                <w:rFonts w:ascii="Cambria" w:eastAsia="Cambria" w:hAnsi="Cambria" w:cs="Cambria"/>
                <w:sz w:val="24"/>
                <w:szCs w:val="24"/>
              </w:rPr>
            </w:pPr>
            <w:r>
              <w:rPr>
                <w:rFonts w:ascii="Cambria" w:eastAsia="Cambria" w:hAnsi="Cambria" w:cs="Cambria"/>
                <w:b/>
                <w:bCs/>
                <w:sz w:val="24"/>
                <w:szCs w:val="24"/>
              </w:rPr>
              <w:t>G1</w:t>
            </w:r>
          </w:p>
        </w:tc>
        <w:tc>
          <w:tcPr>
            <w:tcW w:w="1860" w:type="dxa"/>
            <w:tcBorders>
              <w:top w:val="single" w:sz="4" w:space="0" w:color="000000"/>
              <w:left w:val="single" w:sz="4" w:space="0" w:color="000000"/>
              <w:bottom w:val="single" w:sz="4" w:space="0" w:color="000000"/>
              <w:right w:val="single" w:sz="4" w:space="0" w:color="000000"/>
            </w:tcBorders>
          </w:tcPr>
          <w:p w14:paraId="1D3C960E"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Group block, group-rule risk ≥ 0.5, &gt; 30 days ahead</w:t>
            </w:r>
          </w:p>
        </w:tc>
        <w:tc>
          <w:tcPr>
            <w:tcW w:w="2910" w:type="dxa"/>
            <w:tcBorders>
              <w:top w:val="single" w:sz="4" w:space="0" w:color="000000"/>
              <w:left w:val="single" w:sz="4" w:space="0" w:color="000000"/>
              <w:bottom w:val="single" w:sz="4" w:space="0" w:color="000000"/>
              <w:right w:val="single" w:sz="4" w:space="0" w:color="000000"/>
            </w:tcBorders>
          </w:tcPr>
          <w:p w14:paraId="38555E91"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Ask the agent to confirm or release the block 30 days before arrival</w:t>
            </w:r>
          </w:p>
        </w:tc>
        <w:tc>
          <w:tcPr>
            <w:tcW w:w="1650" w:type="dxa"/>
            <w:tcBorders>
              <w:top w:val="single" w:sz="4" w:space="0" w:color="000000"/>
              <w:left w:val="single" w:sz="4" w:space="0" w:color="000000"/>
              <w:bottom w:val="single" w:sz="4" w:space="0" w:color="000000"/>
              <w:right w:val="single" w:sz="4" w:space="0" w:color="000000"/>
            </w:tcBorders>
          </w:tcPr>
          <w:p w14:paraId="3E19C574"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Distribution / Sales</w:t>
            </w:r>
          </w:p>
        </w:tc>
        <w:tc>
          <w:tcPr>
            <w:tcW w:w="1350" w:type="dxa"/>
            <w:tcBorders>
              <w:top w:val="single" w:sz="4" w:space="0" w:color="000000"/>
              <w:left w:val="single" w:sz="4" w:space="0" w:color="000000"/>
              <w:bottom w:val="single" w:sz="4" w:space="0" w:color="000000"/>
              <w:right w:val="single" w:sz="4" w:space="0" w:color="000000"/>
            </w:tcBorders>
          </w:tcPr>
          <w:p w14:paraId="7DB8D8BD"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Revenue Manager</w:t>
            </w:r>
          </w:p>
        </w:tc>
      </w:tr>
      <w:tr w:rsidR="00FE41A1" w14:paraId="3976634F" w14:textId="77777777" w:rsidTr="00FE41A1">
        <w:tc>
          <w:tcPr>
            <w:tcW w:w="900" w:type="dxa"/>
            <w:tcBorders>
              <w:top w:val="single" w:sz="4" w:space="0" w:color="000000"/>
              <w:left w:val="single" w:sz="4" w:space="0" w:color="000000"/>
              <w:bottom w:val="single" w:sz="4" w:space="0" w:color="000000"/>
              <w:right w:val="single" w:sz="4" w:space="0" w:color="000000"/>
            </w:tcBorders>
          </w:tcPr>
          <w:p w14:paraId="72B6BDDB" w14:textId="77777777" w:rsidR="00FE41A1" w:rsidRDefault="00C20FEB">
            <w:pPr>
              <w:spacing w:before="36" w:after="36"/>
              <w:rPr>
                <w:rFonts w:ascii="Cambria" w:eastAsia="Cambria" w:hAnsi="Cambria" w:cs="Cambria"/>
                <w:sz w:val="24"/>
                <w:szCs w:val="24"/>
              </w:rPr>
            </w:pPr>
            <w:r>
              <w:rPr>
                <w:rFonts w:ascii="Cambria" w:eastAsia="Cambria" w:hAnsi="Cambria" w:cs="Cambria"/>
                <w:b/>
                <w:bCs/>
                <w:sz w:val="24"/>
                <w:szCs w:val="24"/>
              </w:rPr>
              <w:t>G2</w:t>
            </w:r>
          </w:p>
        </w:tc>
        <w:tc>
          <w:tcPr>
            <w:tcW w:w="1860" w:type="dxa"/>
            <w:tcBorders>
              <w:top w:val="single" w:sz="4" w:space="0" w:color="000000"/>
              <w:left w:val="single" w:sz="4" w:space="0" w:color="000000"/>
              <w:bottom w:val="single" w:sz="4" w:space="0" w:color="000000"/>
              <w:right w:val="single" w:sz="4" w:space="0" w:color="000000"/>
            </w:tcBorders>
          </w:tcPr>
          <w:p w14:paraId="679E6435"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Released or forecast-cancelled rooms</w:t>
            </w:r>
          </w:p>
        </w:tc>
        <w:tc>
          <w:tcPr>
            <w:tcW w:w="2910" w:type="dxa"/>
            <w:tcBorders>
              <w:top w:val="single" w:sz="4" w:space="0" w:color="000000"/>
              <w:left w:val="single" w:sz="4" w:space="0" w:color="000000"/>
              <w:bottom w:val="single" w:sz="4" w:space="0" w:color="000000"/>
              <w:right w:val="single" w:sz="4" w:space="0" w:color="000000"/>
            </w:tcBorders>
          </w:tcPr>
          <w:p w14:paraId="42772397"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Reallocate capacity and put rooms back on sale</w:t>
            </w:r>
          </w:p>
        </w:tc>
        <w:tc>
          <w:tcPr>
            <w:tcW w:w="1650" w:type="dxa"/>
            <w:tcBorders>
              <w:top w:val="single" w:sz="4" w:space="0" w:color="000000"/>
              <w:left w:val="single" w:sz="4" w:space="0" w:color="000000"/>
              <w:bottom w:val="single" w:sz="4" w:space="0" w:color="000000"/>
              <w:right w:val="single" w:sz="4" w:space="0" w:color="000000"/>
            </w:tcBorders>
          </w:tcPr>
          <w:p w14:paraId="6F9D25A1"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Revenue Manager</w:t>
            </w:r>
          </w:p>
        </w:tc>
        <w:tc>
          <w:tcPr>
            <w:tcW w:w="1350" w:type="dxa"/>
            <w:tcBorders>
              <w:top w:val="single" w:sz="4" w:space="0" w:color="000000"/>
              <w:left w:val="single" w:sz="4" w:space="0" w:color="000000"/>
              <w:bottom w:val="single" w:sz="4" w:space="0" w:color="000000"/>
              <w:right w:val="single" w:sz="4" w:space="0" w:color="000000"/>
            </w:tcBorders>
          </w:tcPr>
          <w:p w14:paraId="7AB98027"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Required</w:t>
            </w:r>
          </w:p>
        </w:tc>
      </w:tr>
      <w:tr w:rsidR="00FE41A1" w14:paraId="097EC125" w14:textId="77777777" w:rsidTr="00FE41A1">
        <w:tc>
          <w:tcPr>
            <w:tcW w:w="900" w:type="dxa"/>
            <w:tcBorders>
              <w:top w:val="single" w:sz="4" w:space="0" w:color="000000"/>
              <w:left w:val="single" w:sz="4" w:space="0" w:color="000000"/>
              <w:bottom w:val="single" w:sz="4" w:space="0" w:color="000000"/>
              <w:right w:val="single" w:sz="4" w:space="0" w:color="000000"/>
            </w:tcBorders>
          </w:tcPr>
          <w:p w14:paraId="0DCCB361" w14:textId="77777777" w:rsidR="00FE41A1" w:rsidRDefault="00C20FEB">
            <w:pPr>
              <w:spacing w:before="36" w:after="36"/>
              <w:rPr>
                <w:rFonts w:ascii="Cambria" w:eastAsia="Cambria" w:hAnsi="Cambria" w:cs="Cambria"/>
                <w:sz w:val="24"/>
                <w:szCs w:val="24"/>
              </w:rPr>
            </w:pPr>
            <w:r>
              <w:rPr>
                <w:rFonts w:ascii="Cambria" w:eastAsia="Cambria" w:hAnsi="Cambria" w:cs="Cambria"/>
                <w:b/>
                <w:bCs/>
                <w:sz w:val="24"/>
                <w:szCs w:val="24"/>
              </w:rPr>
              <w:t>G3</w:t>
            </w:r>
          </w:p>
        </w:tc>
        <w:tc>
          <w:tcPr>
            <w:tcW w:w="1860" w:type="dxa"/>
            <w:tcBorders>
              <w:top w:val="single" w:sz="4" w:space="0" w:color="000000"/>
              <w:left w:val="single" w:sz="4" w:space="0" w:color="000000"/>
              <w:bottom w:val="single" w:sz="4" w:space="0" w:color="000000"/>
              <w:right w:val="single" w:sz="4" w:space="0" w:color="000000"/>
            </w:tcBorders>
          </w:tcPr>
          <w:p w14:paraId="010A5660"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High forecast cancellations on a high-demand date</w:t>
            </w:r>
          </w:p>
        </w:tc>
        <w:tc>
          <w:tcPr>
            <w:tcW w:w="2910" w:type="dxa"/>
            <w:tcBorders>
              <w:top w:val="single" w:sz="4" w:space="0" w:color="000000"/>
              <w:left w:val="single" w:sz="4" w:space="0" w:color="000000"/>
              <w:bottom w:val="single" w:sz="4" w:space="0" w:color="000000"/>
              <w:right w:val="single" w:sz="4" w:space="0" w:color="000000"/>
            </w:tcBorders>
          </w:tcPr>
          <w:p w14:paraId="04A054F4"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 xml:space="preserve">Controlled overbooking. </w:t>
            </w:r>
            <w:r>
              <w:rPr>
                <w:rFonts w:ascii="Cambria" w:eastAsia="Cambria" w:hAnsi="Cambria" w:cs="Cambria"/>
                <w:b/>
                <w:bCs/>
                <w:sz w:val="24"/>
                <w:szCs w:val="24"/>
              </w:rPr>
              <w:t>Disabled</w:t>
            </w:r>
            <w:r>
              <w:rPr>
                <w:rFonts w:ascii="Cambria" w:eastAsia="Cambria" w:hAnsi="Cambria" w:cs="Cambria"/>
                <w:sz w:val="24"/>
                <w:szCs w:val="24"/>
              </w:rPr>
              <w:t>: exploratory analysis only</w:t>
            </w:r>
          </w:p>
        </w:tc>
        <w:tc>
          <w:tcPr>
            <w:tcW w:w="1650" w:type="dxa"/>
            <w:tcBorders>
              <w:top w:val="single" w:sz="4" w:space="0" w:color="000000"/>
              <w:left w:val="single" w:sz="4" w:space="0" w:color="000000"/>
              <w:bottom w:val="single" w:sz="4" w:space="0" w:color="000000"/>
              <w:right w:val="single" w:sz="4" w:space="0" w:color="000000"/>
            </w:tcBorders>
          </w:tcPr>
          <w:p w14:paraId="15E7D156"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Revenue Manager</w:t>
            </w:r>
          </w:p>
        </w:tc>
        <w:tc>
          <w:tcPr>
            <w:tcW w:w="1350" w:type="dxa"/>
            <w:tcBorders>
              <w:top w:val="single" w:sz="4" w:space="0" w:color="000000"/>
              <w:left w:val="single" w:sz="4" w:space="0" w:color="000000"/>
              <w:bottom w:val="single" w:sz="4" w:space="0" w:color="000000"/>
              <w:right w:val="single" w:sz="4" w:space="0" w:color="000000"/>
            </w:tcBorders>
          </w:tcPr>
          <w:p w14:paraId="79569428"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GM sets limits</w:t>
            </w:r>
          </w:p>
        </w:tc>
      </w:tr>
    </w:tbl>
    <w:p w14:paraId="5EC462CF" w14:textId="77777777" w:rsidR="00FE41A1" w:rsidRDefault="00C20FEB">
      <w:pPr>
        <w:keepNext/>
        <w:spacing w:after="200"/>
        <w:rPr>
          <w:rFonts w:ascii="Cambria" w:eastAsia="Cambria" w:hAnsi="Cambria" w:cs="Cambria"/>
          <w:sz w:val="24"/>
          <w:szCs w:val="24"/>
        </w:rPr>
      </w:pPr>
      <w:r>
        <w:rPr>
          <w:rFonts w:ascii="Cambria" w:eastAsia="Cambria" w:hAnsi="Cambria" w:cs="Cambria"/>
          <w:noProof/>
          <w:sz w:val="24"/>
          <w:szCs w:val="24"/>
        </w:rPr>
        <w:lastRenderedPageBreak/>
        <w:drawing>
          <wp:inline distT="0" distB="0" distL="114300" distR="114300" wp14:anchorId="10AF8EE7" wp14:editId="3A09F315">
            <wp:extent cx="5334000" cy="3698647"/>
            <wp:effectExtent l="0" t="0" r="0" b="0"/>
            <wp:docPr id="2" name="image2.png" descr="Figure 5.2. Decision workflow: from risk score to action"/>
            <wp:cNvGraphicFramePr/>
            <a:graphic xmlns:a="http://schemas.openxmlformats.org/drawingml/2006/main">
              <a:graphicData uri="http://schemas.openxmlformats.org/drawingml/2006/picture">
                <pic:pic xmlns:pic="http://schemas.openxmlformats.org/drawingml/2006/picture">
                  <pic:nvPicPr>
                    <pic:cNvPr id="0" name="image2.png" descr="Figure 5.2. Decision workflow: from risk score to action"/>
                    <pic:cNvPicPr preferRelativeResize="0"/>
                  </pic:nvPicPr>
                  <pic:blipFill>
                    <a:blip r:embed="rId12"/>
                    <a:srcRect/>
                    <a:stretch>
                      <a:fillRect/>
                    </a:stretch>
                  </pic:blipFill>
                  <pic:spPr>
                    <a:xfrm>
                      <a:off x="0" y="0"/>
                      <a:ext cx="5334000" cy="3698647"/>
                    </a:xfrm>
                    <a:prstGeom prst="rect">
                      <a:avLst/>
                    </a:prstGeom>
                    <a:ln/>
                  </pic:spPr>
                </pic:pic>
              </a:graphicData>
            </a:graphic>
          </wp:inline>
        </w:drawing>
      </w:r>
    </w:p>
    <w:p w14:paraId="2F0F8C25" w14:textId="77777777" w:rsidR="00FE41A1" w:rsidRDefault="00C20FEB">
      <w:pPr>
        <w:spacing w:after="120"/>
        <w:rPr>
          <w:rFonts w:ascii="Cambria" w:eastAsia="Cambria" w:hAnsi="Cambria" w:cs="Cambria"/>
          <w:i/>
          <w:iCs/>
          <w:sz w:val="24"/>
          <w:szCs w:val="24"/>
        </w:rPr>
      </w:pPr>
      <w:r>
        <w:rPr>
          <w:rFonts w:ascii="Cambria" w:eastAsia="Cambria" w:hAnsi="Cambria" w:cs="Cambria"/>
          <w:i/>
          <w:iCs/>
          <w:sz w:val="24"/>
          <w:szCs w:val="24"/>
        </w:rPr>
        <w:t>Figure 5.2. Decision workflow: from risk score to action</w:t>
      </w:r>
    </w:p>
    <w:p w14:paraId="02804555" w14:textId="77777777" w:rsidR="00FE41A1" w:rsidRDefault="00C20FEB">
      <w:pPr>
        <w:spacing w:before="180" w:after="180"/>
        <w:rPr>
          <w:rFonts w:ascii="Cambria" w:eastAsia="Cambria" w:hAnsi="Cambria" w:cs="Cambria"/>
          <w:sz w:val="24"/>
          <w:szCs w:val="24"/>
        </w:rPr>
      </w:pPr>
      <w:r>
        <w:rPr>
          <w:rFonts w:ascii="Cambria" w:eastAsia="Cambria" w:hAnsi="Cambria" w:cs="Cambria"/>
          <w:sz w:val="24"/>
          <w:szCs w:val="24"/>
        </w:rPr>
        <w:t>In production, n8n would run the automatic actions on their scheduled date after re-checking booking status, opt-out and guest response. In the prototype (Part 4) these checks, plus the call window and the daily call limit, run in the dashboard and again in a demo n8n workflow that sends nothing. Actions that change price, capacity or the guest’s obligations cannot run without approval.</w:t>
      </w:r>
    </w:p>
    <w:p w14:paraId="0DF071D9" w14:textId="77777777" w:rsidR="00FE41A1" w:rsidRDefault="00C20FEB">
      <w:pPr>
        <w:spacing w:before="180" w:after="180"/>
        <w:rPr>
          <w:rFonts w:ascii="Cambria" w:eastAsia="Cambria" w:hAnsi="Cambria" w:cs="Cambria"/>
          <w:sz w:val="24"/>
          <w:szCs w:val="24"/>
        </w:rPr>
      </w:pPr>
      <w:r>
        <w:rPr>
          <w:rFonts w:ascii="Cambria" w:eastAsia="Cambria" w:hAnsi="Cambria" w:cs="Cambria"/>
          <w:b/>
          <w:bCs/>
          <w:sz w:val="24"/>
          <w:szCs w:val="24"/>
        </w:rPr>
        <w:t>Step 3: Value each action.</w:t>
      </w:r>
    </w:p>
    <w:p w14:paraId="5C4C4C80" w14:textId="77777777" w:rsidR="00FE41A1" w:rsidRDefault="00C20FEB">
      <w:pPr>
        <w:numPr>
          <w:ilvl w:val="0"/>
          <w:numId w:val="18"/>
        </w:numPr>
        <w:spacing w:before="36" w:after="36"/>
        <w:rPr>
          <w:rFonts w:ascii="Cambria" w:eastAsia="Cambria" w:hAnsi="Cambria" w:cs="Cambria"/>
          <w:sz w:val="24"/>
          <w:szCs w:val="24"/>
        </w:rPr>
      </w:pPr>
      <w:r>
        <w:rPr>
          <w:rFonts w:ascii="Cambria" w:eastAsia="Cambria" w:hAnsi="Cambria" w:cs="Cambria"/>
          <w:b/>
          <w:bCs/>
          <w:sz w:val="24"/>
          <w:szCs w:val="24"/>
        </w:rPr>
        <w:t>Benefit:</w:t>
      </w:r>
      <w:r>
        <w:rPr>
          <w:rFonts w:ascii="Cambria" w:eastAsia="Cambria" w:hAnsi="Cambria" w:cs="Cambria"/>
          <w:sz w:val="24"/>
          <w:szCs w:val="24"/>
        </w:rPr>
        <w:t xml:space="preserve"> for a booking that would have cancelled, a contact prevents a share of the cancellation (the </w:t>
      </w:r>
      <w:r>
        <w:rPr>
          <w:rFonts w:ascii="Cambria" w:eastAsia="Cambria" w:hAnsi="Cambria" w:cs="Cambria"/>
          <w:i/>
          <w:iCs/>
          <w:sz w:val="24"/>
          <w:szCs w:val="24"/>
        </w:rPr>
        <w:t>uplift</w:t>
      </w:r>
      <w:r>
        <w:rPr>
          <w:rFonts w:ascii="Cambria" w:eastAsia="Cambria" w:hAnsi="Cambria" w:cs="Cambria"/>
          <w:sz w:val="24"/>
          <w:szCs w:val="24"/>
        </w:rPr>
        <w:t>). One prevented cancellation is worth the booking’s contribution minus what the hotel would have recovered anyway (resale contribution, less handling cost, plus any deposit kept). Late cancellations are worth more to prevent, because the room is harder to resell.</w:t>
      </w:r>
    </w:p>
    <w:p w14:paraId="761FC3F5" w14:textId="77777777" w:rsidR="00FE41A1" w:rsidRDefault="00C20FEB">
      <w:pPr>
        <w:numPr>
          <w:ilvl w:val="0"/>
          <w:numId w:val="18"/>
        </w:numPr>
        <w:spacing w:before="36" w:after="36"/>
        <w:rPr>
          <w:rFonts w:ascii="Cambria" w:eastAsia="Cambria" w:hAnsi="Cambria" w:cs="Cambria"/>
          <w:sz w:val="24"/>
          <w:szCs w:val="24"/>
        </w:rPr>
      </w:pPr>
      <w:r>
        <w:rPr>
          <w:rFonts w:ascii="Cambria" w:eastAsia="Cambria" w:hAnsi="Cambria" w:cs="Cambria"/>
          <w:b/>
          <w:bCs/>
          <w:sz w:val="24"/>
          <w:szCs w:val="24"/>
        </w:rPr>
        <w:t>Backfire:</w:t>
      </w:r>
      <w:r>
        <w:rPr>
          <w:rFonts w:ascii="Cambria" w:eastAsia="Cambria" w:hAnsi="Cambria" w:cs="Cambria"/>
          <w:sz w:val="24"/>
          <w:szCs w:val="24"/>
        </w:rPr>
        <w:t xml:space="preserve"> a reminder can prompt a guest who would have stayed to cancel, since 99.96% of individual bookings are No Deposit and free to cancel. This loss is subtracted.</w:t>
      </w:r>
    </w:p>
    <w:p w14:paraId="3BAD78B4" w14:textId="77777777" w:rsidR="00FE41A1" w:rsidRDefault="00C20FEB">
      <w:pPr>
        <w:numPr>
          <w:ilvl w:val="0"/>
          <w:numId w:val="18"/>
        </w:numPr>
        <w:spacing w:before="36" w:after="36"/>
        <w:rPr>
          <w:rFonts w:ascii="Cambria" w:eastAsia="Cambria" w:hAnsi="Cambria" w:cs="Cambria"/>
          <w:sz w:val="24"/>
          <w:szCs w:val="24"/>
        </w:rPr>
      </w:pPr>
      <w:r>
        <w:rPr>
          <w:rFonts w:ascii="Cambria" w:eastAsia="Cambria" w:hAnsi="Cambria" w:cs="Cambria"/>
          <w:b/>
          <w:bCs/>
          <w:sz w:val="24"/>
          <w:szCs w:val="24"/>
        </w:rPr>
        <w:t>Variable cost:</w:t>
      </w:r>
      <w:r>
        <w:rPr>
          <w:rFonts w:ascii="Cambria" w:eastAsia="Cambria" w:hAnsi="Cambria" w:cs="Cambria"/>
          <w:sz w:val="24"/>
          <w:szCs w:val="24"/>
        </w:rPr>
        <w:t xml:space="preserve"> EUR 1.41 per call task (6 minutes × 1.5 attempts at EUR 9.40/hour) and EUR 0.05 per SMS. No cost is counted for bookings that cancel before their scheduled contact.</w:t>
      </w:r>
    </w:p>
    <w:p w14:paraId="08FC5E0C" w14:textId="77777777" w:rsidR="00FE41A1" w:rsidRDefault="00C20FEB">
      <w:pPr>
        <w:numPr>
          <w:ilvl w:val="0"/>
          <w:numId w:val="18"/>
        </w:numPr>
        <w:spacing w:before="36" w:after="36"/>
        <w:rPr>
          <w:rFonts w:ascii="Cambria" w:eastAsia="Cambria" w:hAnsi="Cambria" w:cs="Cambria"/>
          <w:sz w:val="24"/>
          <w:szCs w:val="24"/>
        </w:rPr>
      </w:pPr>
      <w:r>
        <w:rPr>
          <w:rFonts w:ascii="Cambria" w:eastAsia="Cambria" w:hAnsi="Cambria" w:cs="Cambria"/>
          <w:b/>
          <w:bCs/>
          <w:sz w:val="24"/>
          <w:szCs w:val="24"/>
        </w:rPr>
        <w:t>Programme cost:</w:t>
      </w:r>
      <w:r>
        <w:rPr>
          <w:rFonts w:ascii="Cambria" w:eastAsia="Cambria" w:hAnsi="Cambria" w:cs="Cambria"/>
          <w:sz w:val="24"/>
          <w:szCs w:val="24"/>
        </w:rPr>
        <w:t xml:space="preserve"> EUR 15,564 one-off (integration, n8n workflows, dashboard, training) and EUR 3,360 per year (hosting, monitoring).</w:t>
      </w:r>
    </w:p>
    <w:p w14:paraId="54B09EDE" w14:textId="77777777" w:rsidR="00FE41A1" w:rsidRDefault="00C20FEB">
      <w:pPr>
        <w:numPr>
          <w:ilvl w:val="0"/>
          <w:numId w:val="18"/>
        </w:numPr>
        <w:spacing w:before="36" w:after="36"/>
        <w:rPr>
          <w:rFonts w:ascii="Cambria" w:eastAsia="Cambria" w:hAnsi="Cambria" w:cs="Cambria"/>
          <w:sz w:val="24"/>
          <w:szCs w:val="24"/>
        </w:rPr>
      </w:pPr>
      <w:r>
        <w:rPr>
          <w:rFonts w:ascii="Cambria" w:eastAsia="Cambria" w:hAnsi="Cambria" w:cs="Cambria"/>
          <w:b/>
          <w:bCs/>
          <w:sz w:val="24"/>
          <w:szCs w:val="24"/>
        </w:rPr>
        <w:t>Base assumptions:</w:t>
      </w:r>
      <w:r>
        <w:rPr>
          <w:rFonts w:ascii="Cambria" w:eastAsia="Cambria" w:hAnsi="Cambria" w:cs="Cambria"/>
          <w:sz w:val="24"/>
          <w:szCs w:val="24"/>
        </w:rPr>
        <w:t xml:space="preserve"> uplift 10% for calls and 3% for reminders; backfire 0% for calls and 0.5% for reminders. The reminder uplift is benchmarked well below the effect </w:t>
      </w:r>
      <w:r>
        <w:rPr>
          <w:rFonts w:ascii="Cambria" w:eastAsia="Cambria" w:hAnsi="Cambria" w:cs="Cambria"/>
          <w:sz w:val="24"/>
          <w:szCs w:val="24"/>
        </w:rPr>
        <w:lastRenderedPageBreak/>
        <w:t>of SMS reminders on healthcare no-shows (Gurol-Urganci et al., 2013), because hotel cancellations are mostly deliberate.</w:t>
      </w:r>
    </w:p>
    <w:p w14:paraId="16CB8072" w14:textId="77777777" w:rsidR="00FE41A1" w:rsidRDefault="00C20FEB">
      <w:pPr>
        <w:pStyle w:val="Heading3"/>
        <w:keepNext/>
        <w:keepLines/>
        <w:pBdr>
          <w:top w:val="nil"/>
          <w:left w:val="nil"/>
          <w:bottom w:val="nil"/>
          <w:right w:val="nil"/>
          <w:between w:val="nil"/>
        </w:pBdr>
        <w:spacing w:before="200"/>
        <w:ind w:firstLine="0"/>
        <w:rPr>
          <w:i w:val="0"/>
          <w:iCs w:val="0"/>
          <w:color w:val="1F3864"/>
        </w:rPr>
      </w:pPr>
      <w:bookmarkStart w:id="33" w:name="_Toc243432507"/>
      <w:r>
        <w:rPr>
          <w:i w:val="0"/>
          <w:iCs w:val="0"/>
          <w:color w:val="1F3864"/>
        </w:rPr>
        <w:t>5.2.3. Prototype analysis (mock results)</w:t>
      </w:r>
      <w:bookmarkEnd w:id="33"/>
    </w:p>
    <w:p w14:paraId="180B4811" w14:textId="77777777" w:rsidR="00FE41A1" w:rsidRDefault="00C20FEB">
      <w:pPr>
        <w:spacing w:before="180" w:after="180"/>
        <w:rPr>
          <w:rFonts w:ascii="Cambria" w:eastAsia="Cambria" w:hAnsi="Cambria" w:cs="Cambria"/>
          <w:sz w:val="24"/>
          <w:szCs w:val="24"/>
        </w:rPr>
      </w:pPr>
      <w:r>
        <w:rPr>
          <w:rFonts w:ascii="Cambria" w:eastAsia="Cambria" w:hAnsi="Cambria" w:cs="Cambria"/>
          <w:b/>
          <w:bCs/>
          <w:sz w:val="24"/>
          <w:szCs w:val="24"/>
        </w:rPr>
        <w:t>Scenario comparison (2017 operational queue, simulated, annualised):</w:t>
      </w:r>
    </w:p>
    <w:tbl>
      <w:tblPr>
        <w:tblStyle w:val="af"/>
        <w:tblW w:w="8535" w:type="dxa"/>
        <w:tblInd w:w="-227" w:type="dxa"/>
        <w:tblLayout w:type="fixed"/>
        <w:tblLook w:val="0020" w:firstRow="1" w:lastRow="0" w:firstColumn="0" w:lastColumn="0" w:noHBand="0" w:noVBand="0"/>
      </w:tblPr>
      <w:tblGrid>
        <w:gridCol w:w="2595"/>
        <w:gridCol w:w="1185"/>
        <w:gridCol w:w="1560"/>
        <w:gridCol w:w="1590"/>
        <w:gridCol w:w="1605"/>
      </w:tblGrid>
      <w:tr w:rsidR="00FE41A1" w14:paraId="74B624E2" w14:textId="77777777" w:rsidTr="00FE41A1">
        <w:trPr>
          <w:cnfStyle w:val="100000000000" w:firstRow="1" w:lastRow="0" w:firstColumn="0" w:lastColumn="0" w:oddVBand="0" w:evenVBand="0" w:oddHBand="0" w:evenHBand="0" w:firstRowFirstColumn="0" w:firstRowLastColumn="0" w:lastRowFirstColumn="0" w:lastRowLastColumn="0"/>
          <w:tblHeader/>
        </w:trPr>
        <w:tc>
          <w:tcPr>
            <w:tcW w:w="2595" w:type="dxa"/>
            <w:tcBorders>
              <w:top w:val="single" w:sz="4" w:space="0" w:color="000000"/>
              <w:left w:val="single" w:sz="4" w:space="0" w:color="000000"/>
              <w:bottom w:val="single" w:sz="4" w:space="0" w:color="000000"/>
              <w:right w:val="single" w:sz="4" w:space="0" w:color="000000"/>
            </w:tcBorders>
          </w:tcPr>
          <w:p w14:paraId="03D885ED"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Scenario</w:t>
            </w:r>
          </w:p>
        </w:tc>
        <w:tc>
          <w:tcPr>
            <w:tcW w:w="1185" w:type="dxa"/>
            <w:tcBorders>
              <w:top w:val="single" w:sz="4" w:space="0" w:color="000000"/>
              <w:left w:val="single" w:sz="4" w:space="0" w:color="000000"/>
              <w:bottom w:val="single" w:sz="4" w:space="0" w:color="000000"/>
              <w:right w:val="single" w:sz="4" w:space="0" w:color="000000"/>
            </w:tcBorders>
          </w:tcPr>
          <w:p w14:paraId="24968F18"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Calls</w:t>
            </w:r>
          </w:p>
        </w:tc>
        <w:tc>
          <w:tcPr>
            <w:tcW w:w="1560" w:type="dxa"/>
            <w:tcBorders>
              <w:top w:val="single" w:sz="4" w:space="0" w:color="000000"/>
              <w:left w:val="single" w:sz="4" w:space="0" w:color="000000"/>
              <w:bottom w:val="single" w:sz="4" w:space="0" w:color="000000"/>
              <w:right w:val="single" w:sz="4" w:space="0" w:color="000000"/>
            </w:tcBorders>
          </w:tcPr>
          <w:p w14:paraId="3EFC55D3"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Reminder bookings</w:t>
            </w:r>
          </w:p>
        </w:tc>
        <w:tc>
          <w:tcPr>
            <w:tcW w:w="1590" w:type="dxa"/>
            <w:tcBorders>
              <w:top w:val="single" w:sz="4" w:space="0" w:color="000000"/>
              <w:left w:val="single" w:sz="4" w:space="0" w:color="000000"/>
              <w:bottom w:val="single" w:sz="4" w:space="0" w:color="000000"/>
              <w:right w:val="single" w:sz="4" w:space="0" w:color="000000"/>
            </w:tcBorders>
          </w:tcPr>
          <w:p w14:paraId="71754BC7"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Cancellations prevented</w:t>
            </w:r>
          </w:p>
        </w:tc>
        <w:tc>
          <w:tcPr>
            <w:tcW w:w="1605" w:type="dxa"/>
            <w:tcBorders>
              <w:top w:val="single" w:sz="4" w:space="0" w:color="000000"/>
              <w:left w:val="single" w:sz="4" w:space="0" w:color="000000"/>
              <w:bottom w:val="single" w:sz="4" w:space="0" w:color="000000"/>
              <w:right w:val="single" w:sz="4" w:space="0" w:color="000000"/>
            </w:tcBorders>
          </w:tcPr>
          <w:p w14:paraId="3BE9001D"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Net benefit per year*</w:t>
            </w:r>
          </w:p>
        </w:tc>
      </w:tr>
      <w:tr w:rsidR="00FE41A1" w14:paraId="4916868E" w14:textId="77777777" w:rsidTr="00FE41A1">
        <w:tc>
          <w:tcPr>
            <w:tcW w:w="2595" w:type="dxa"/>
            <w:tcBorders>
              <w:top w:val="single" w:sz="4" w:space="0" w:color="000000"/>
              <w:left w:val="single" w:sz="4" w:space="0" w:color="000000"/>
              <w:bottom w:val="single" w:sz="4" w:space="0" w:color="000000"/>
              <w:right w:val="single" w:sz="4" w:space="0" w:color="000000"/>
            </w:tcBorders>
          </w:tcPr>
          <w:p w14:paraId="0AB1F5D4"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S0 Status quo</w:t>
            </w:r>
          </w:p>
        </w:tc>
        <w:tc>
          <w:tcPr>
            <w:tcW w:w="1185" w:type="dxa"/>
            <w:tcBorders>
              <w:top w:val="single" w:sz="4" w:space="0" w:color="000000"/>
              <w:left w:val="single" w:sz="4" w:space="0" w:color="000000"/>
              <w:bottom w:val="single" w:sz="4" w:space="0" w:color="000000"/>
              <w:right w:val="single" w:sz="4" w:space="0" w:color="000000"/>
            </w:tcBorders>
          </w:tcPr>
          <w:p w14:paraId="68308614"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0</w:t>
            </w:r>
          </w:p>
        </w:tc>
        <w:tc>
          <w:tcPr>
            <w:tcW w:w="1560" w:type="dxa"/>
            <w:tcBorders>
              <w:top w:val="single" w:sz="4" w:space="0" w:color="000000"/>
              <w:left w:val="single" w:sz="4" w:space="0" w:color="000000"/>
              <w:bottom w:val="single" w:sz="4" w:space="0" w:color="000000"/>
              <w:right w:val="single" w:sz="4" w:space="0" w:color="000000"/>
            </w:tcBorders>
          </w:tcPr>
          <w:p w14:paraId="289492B8"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0</w:t>
            </w:r>
          </w:p>
        </w:tc>
        <w:tc>
          <w:tcPr>
            <w:tcW w:w="1590" w:type="dxa"/>
            <w:tcBorders>
              <w:top w:val="single" w:sz="4" w:space="0" w:color="000000"/>
              <w:left w:val="single" w:sz="4" w:space="0" w:color="000000"/>
              <w:bottom w:val="single" w:sz="4" w:space="0" w:color="000000"/>
              <w:right w:val="single" w:sz="4" w:space="0" w:color="000000"/>
            </w:tcBorders>
          </w:tcPr>
          <w:p w14:paraId="66CD746F"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0</w:t>
            </w:r>
          </w:p>
        </w:tc>
        <w:tc>
          <w:tcPr>
            <w:tcW w:w="1605" w:type="dxa"/>
            <w:tcBorders>
              <w:top w:val="single" w:sz="4" w:space="0" w:color="000000"/>
              <w:left w:val="single" w:sz="4" w:space="0" w:color="000000"/>
              <w:bottom w:val="single" w:sz="4" w:space="0" w:color="000000"/>
              <w:right w:val="single" w:sz="4" w:space="0" w:color="000000"/>
            </w:tcBorders>
          </w:tcPr>
          <w:p w14:paraId="72F8AD20"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0</w:t>
            </w:r>
          </w:p>
        </w:tc>
      </w:tr>
      <w:tr w:rsidR="00FE41A1" w14:paraId="79CBAF03" w14:textId="77777777" w:rsidTr="00FE41A1">
        <w:tc>
          <w:tcPr>
            <w:tcW w:w="2595" w:type="dxa"/>
            <w:tcBorders>
              <w:top w:val="single" w:sz="4" w:space="0" w:color="000000"/>
              <w:left w:val="single" w:sz="4" w:space="0" w:color="000000"/>
              <w:bottom w:val="single" w:sz="4" w:space="0" w:color="000000"/>
              <w:right w:val="single" w:sz="4" w:space="0" w:color="000000"/>
            </w:tcBorders>
          </w:tcPr>
          <w:p w14:paraId="0034DF04"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S1 Reminders for all</w:t>
            </w:r>
          </w:p>
        </w:tc>
        <w:tc>
          <w:tcPr>
            <w:tcW w:w="1185" w:type="dxa"/>
            <w:tcBorders>
              <w:top w:val="single" w:sz="4" w:space="0" w:color="000000"/>
              <w:left w:val="single" w:sz="4" w:space="0" w:color="000000"/>
              <w:bottom w:val="single" w:sz="4" w:space="0" w:color="000000"/>
              <w:right w:val="single" w:sz="4" w:space="0" w:color="000000"/>
            </w:tcBorders>
          </w:tcPr>
          <w:p w14:paraId="075C3F60"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0</w:t>
            </w:r>
          </w:p>
        </w:tc>
        <w:tc>
          <w:tcPr>
            <w:tcW w:w="1560" w:type="dxa"/>
            <w:tcBorders>
              <w:top w:val="single" w:sz="4" w:space="0" w:color="000000"/>
              <w:left w:val="single" w:sz="4" w:space="0" w:color="000000"/>
              <w:bottom w:val="single" w:sz="4" w:space="0" w:color="000000"/>
              <w:right w:val="single" w:sz="4" w:space="0" w:color="000000"/>
            </w:tcBorders>
          </w:tcPr>
          <w:p w14:paraId="78F7EBB6"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10,703</w:t>
            </w:r>
          </w:p>
        </w:tc>
        <w:tc>
          <w:tcPr>
            <w:tcW w:w="1590" w:type="dxa"/>
            <w:tcBorders>
              <w:top w:val="single" w:sz="4" w:space="0" w:color="000000"/>
              <w:left w:val="single" w:sz="4" w:space="0" w:color="000000"/>
              <w:bottom w:val="single" w:sz="4" w:space="0" w:color="000000"/>
              <w:right w:val="single" w:sz="4" w:space="0" w:color="000000"/>
            </w:tcBorders>
          </w:tcPr>
          <w:p w14:paraId="5A1AA948"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39</w:t>
            </w:r>
          </w:p>
        </w:tc>
        <w:tc>
          <w:tcPr>
            <w:tcW w:w="1605" w:type="dxa"/>
            <w:tcBorders>
              <w:top w:val="single" w:sz="4" w:space="0" w:color="000000"/>
              <w:left w:val="single" w:sz="4" w:space="0" w:color="000000"/>
              <w:bottom w:val="single" w:sz="4" w:space="0" w:color="000000"/>
              <w:right w:val="single" w:sz="4" w:space="0" w:color="000000"/>
            </w:tcBorders>
          </w:tcPr>
          <w:p w14:paraId="4BDD09BF"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EUR 3.1k</w:t>
            </w:r>
          </w:p>
        </w:tc>
      </w:tr>
      <w:tr w:rsidR="00FE41A1" w14:paraId="712307B4" w14:textId="77777777" w:rsidTr="00FE41A1">
        <w:tc>
          <w:tcPr>
            <w:tcW w:w="2595" w:type="dxa"/>
            <w:tcBorders>
              <w:top w:val="single" w:sz="4" w:space="0" w:color="000000"/>
              <w:left w:val="single" w:sz="4" w:space="0" w:color="000000"/>
              <w:bottom w:val="single" w:sz="4" w:space="0" w:color="000000"/>
              <w:right w:val="single" w:sz="4" w:space="0" w:color="000000"/>
            </w:tcBorders>
          </w:tcPr>
          <w:p w14:paraId="16060300"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S2 Rule-based tiers (5% / 20%)</w:t>
            </w:r>
          </w:p>
        </w:tc>
        <w:tc>
          <w:tcPr>
            <w:tcW w:w="1185" w:type="dxa"/>
            <w:tcBorders>
              <w:top w:val="single" w:sz="4" w:space="0" w:color="000000"/>
              <w:left w:val="single" w:sz="4" w:space="0" w:color="000000"/>
              <w:bottom w:val="single" w:sz="4" w:space="0" w:color="000000"/>
              <w:right w:val="single" w:sz="4" w:space="0" w:color="000000"/>
            </w:tcBorders>
          </w:tcPr>
          <w:p w14:paraId="7FADC2AE"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586</w:t>
            </w:r>
          </w:p>
        </w:tc>
        <w:tc>
          <w:tcPr>
            <w:tcW w:w="1560" w:type="dxa"/>
            <w:tcBorders>
              <w:top w:val="single" w:sz="4" w:space="0" w:color="000000"/>
              <w:left w:val="single" w:sz="4" w:space="0" w:color="000000"/>
              <w:bottom w:val="single" w:sz="4" w:space="0" w:color="000000"/>
              <w:right w:val="single" w:sz="4" w:space="0" w:color="000000"/>
            </w:tcBorders>
          </w:tcPr>
          <w:p w14:paraId="48128971"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1,810</w:t>
            </w:r>
          </w:p>
        </w:tc>
        <w:tc>
          <w:tcPr>
            <w:tcW w:w="1590" w:type="dxa"/>
            <w:tcBorders>
              <w:top w:val="single" w:sz="4" w:space="0" w:color="000000"/>
              <w:left w:val="single" w:sz="4" w:space="0" w:color="000000"/>
              <w:bottom w:val="single" w:sz="4" w:space="0" w:color="000000"/>
              <w:right w:val="single" w:sz="4" w:space="0" w:color="000000"/>
            </w:tcBorders>
          </w:tcPr>
          <w:p w14:paraId="0A2F9430"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27</w:t>
            </w:r>
          </w:p>
        </w:tc>
        <w:tc>
          <w:tcPr>
            <w:tcW w:w="1605" w:type="dxa"/>
            <w:tcBorders>
              <w:top w:val="single" w:sz="4" w:space="0" w:color="000000"/>
              <w:left w:val="single" w:sz="4" w:space="0" w:color="000000"/>
              <w:bottom w:val="single" w:sz="4" w:space="0" w:color="000000"/>
              <w:right w:val="single" w:sz="4" w:space="0" w:color="000000"/>
            </w:tcBorders>
          </w:tcPr>
          <w:p w14:paraId="5E54AAA3"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EUR 4.4k</w:t>
            </w:r>
          </w:p>
        </w:tc>
      </w:tr>
      <w:tr w:rsidR="00FE41A1" w14:paraId="646AC7D5" w14:textId="77777777" w:rsidTr="00FE41A1">
        <w:tc>
          <w:tcPr>
            <w:tcW w:w="2595" w:type="dxa"/>
            <w:tcBorders>
              <w:top w:val="single" w:sz="4" w:space="0" w:color="000000"/>
              <w:left w:val="single" w:sz="4" w:space="0" w:color="000000"/>
              <w:bottom w:val="single" w:sz="4" w:space="0" w:color="000000"/>
              <w:right w:val="single" w:sz="4" w:space="0" w:color="000000"/>
            </w:tcBorders>
          </w:tcPr>
          <w:p w14:paraId="67EB7215"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S3 Model tiers, Method 1 default (5% / 20%)</w:t>
            </w:r>
          </w:p>
        </w:tc>
        <w:tc>
          <w:tcPr>
            <w:tcW w:w="1185" w:type="dxa"/>
            <w:tcBorders>
              <w:top w:val="single" w:sz="4" w:space="0" w:color="000000"/>
              <w:left w:val="single" w:sz="4" w:space="0" w:color="000000"/>
              <w:bottom w:val="single" w:sz="4" w:space="0" w:color="000000"/>
              <w:right w:val="single" w:sz="4" w:space="0" w:color="000000"/>
            </w:tcBorders>
          </w:tcPr>
          <w:p w14:paraId="4E848CD5"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574</w:t>
            </w:r>
          </w:p>
        </w:tc>
        <w:tc>
          <w:tcPr>
            <w:tcW w:w="1560" w:type="dxa"/>
            <w:tcBorders>
              <w:top w:val="single" w:sz="4" w:space="0" w:color="000000"/>
              <w:left w:val="single" w:sz="4" w:space="0" w:color="000000"/>
              <w:bottom w:val="single" w:sz="4" w:space="0" w:color="000000"/>
              <w:right w:val="single" w:sz="4" w:space="0" w:color="000000"/>
            </w:tcBorders>
          </w:tcPr>
          <w:p w14:paraId="4E1BB539"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1,803</w:t>
            </w:r>
          </w:p>
        </w:tc>
        <w:tc>
          <w:tcPr>
            <w:tcW w:w="1590" w:type="dxa"/>
            <w:tcBorders>
              <w:top w:val="single" w:sz="4" w:space="0" w:color="000000"/>
              <w:left w:val="single" w:sz="4" w:space="0" w:color="000000"/>
              <w:bottom w:val="single" w:sz="4" w:space="0" w:color="000000"/>
              <w:right w:val="single" w:sz="4" w:space="0" w:color="000000"/>
            </w:tcBorders>
          </w:tcPr>
          <w:p w14:paraId="1804307D"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35</w:t>
            </w:r>
          </w:p>
        </w:tc>
        <w:tc>
          <w:tcPr>
            <w:tcW w:w="1605" w:type="dxa"/>
            <w:tcBorders>
              <w:top w:val="single" w:sz="4" w:space="0" w:color="000000"/>
              <w:left w:val="single" w:sz="4" w:space="0" w:color="000000"/>
              <w:bottom w:val="single" w:sz="4" w:space="0" w:color="000000"/>
              <w:right w:val="single" w:sz="4" w:space="0" w:color="000000"/>
            </w:tcBorders>
          </w:tcPr>
          <w:p w14:paraId="73C4EAA6"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EUR 12.6k</w:t>
            </w:r>
          </w:p>
        </w:tc>
      </w:tr>
      <w:tr w:rsidR="00FE41A1" w14:paraId="3E003302" w14:textId="77777777" w:rsidTr="00FE41A1">
        <w:tc>
          <w:tcPr>
            <w:tcW w:w="2595" w:type="dxa"/>
            <w:tcBorders>
              <w:top w:val="single" w:sz="4" w:space="0" w:color="000000"/>
              <w:left w:val="single" w:sz="4" w:space="0" w:color="000000"/>
              <w:bottom w:val="single" w:sz="4" w:space="0" w:color="000000"/>
              <w:right w:val="single" w:sz="4" w:space="0" w:color="000000"/>
            </w:tcBorders>
          </w:tcPr>
          <w:p w14:paraId="6F811503" w14:textId="77777777" w:rsidR="00FE41A1" w:rsidRDefault="00C20FEB">
            <w:pPr>
              <w:spacing w:before="36" w:after="36"/>
              <w:rPr>
                <w:rFonts w:ascii="Cambria" w:eastAsia="Cambria" w:hAnsi="Cambria" w:cs="Cambria"/>
                <w:sz w:val="24"/>
                <w:szCs w:val="24"/>
              </w:rPr>
            </w:pPr>
            <w:r>
              <w:rPr>
                <w:rFonts w:ascii="Cambria" w:eastAsia="Cambria" w:hAnsi="Cambria" w:cs="Cambria"/>
                <w:b/>
                <w:bCs/>
                <w:sz w:val="24"/>
                <w:szCs w:val="24"/>
              </w:rPr>
              <w:t>S4 G1 policy (15% / 60%, proposed)</w:t>
            </w:r>
          </w:p>
        </w:tc>
        <w:tc>
          <w:tcPr>
            <w:tcW w:w="1185" w:type="dxa"/>
            <w:tcBorders>
              <w:top w:val="single" w:sz="4" w:space="0" w:color="000000"/>
              <w:left w:val="single" w:sz="4" w:space="0" w:color="000000"/>
              <w:bottom w:val="single" w:sz="4" w:space="0" w:color="000000"/>
              <w:right w:val="single" w:sz="4" w:space="0" w:color="000000"/>
            </w:tcBorders>
          </w:tcPr>
          <w:p w14:paraId="460FFDBD"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1,744</w:t>
            </w:r>
          </w:p>
        </w:tc>
        <w:tc>
          <w:tcPr>
            <w:tcW w:w="1560" w:type="dxa"/>
            <w:tcBorders>
              <w:top w:val="single" w:sz="4" w:space="0" w:color="000000"/>
              <w:left w:val="single" w:sz="4" w:space="0" w:color="000000"/>
              <w:bottom w:val="single" w:sz="4" w:space="0" w:color="000000"/>
              <w:right w:val="single" w:sz="4" w:space="0" w:color="000000"/>
            </w:tcBorders>
          </w:tcPr>
          <w:p w14:paraId="6E8619FE"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5,186</w:t>
            </w:r>
          </w:p>
        </w:tc>
        <w:tc>
          <w:tcPr>
            <w:tcW w:w="1590" w:type="dxa"/>
            <w:tcBorders>
              <w:top w:val="single" w:sz="4" w:space="0" w:color="000000"/>
              <w:left w:val="single" w:sz="4" w:space="0" w:color="000000"/>
              <w:bottom w:val="single" w:sz="4" w:space="0" w:color="000000"/>
              <w:right w:val="single" w:sz="4" w:space="0" w:color="000000"/>
            </w:tcBorders>
          </w:tcPr>
          <w:p w14:paraId="29A0196A"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86</w:t>
            </w:r>
          </w:p>
        </w:tc>
        <w:tc>
          <w:tcPr>
            <w:tcW w:w="1605" w:type="dxa"/>
            <w:tcBorders>
              <w:top w:val="single" w:sz="4" w:space="0" w:color="000000"/>
              <w:left w:val="single" w:sz="4" w:space="0" w:color="000000"/>
              <w:bottom w:val="single" w:sz="4" w:space="0" w:color="000000"/>
              <w:right w:val="single" w:sz="4" w:space="0" w:color="000000"/>
            </w:tcBorders>
          </w:tcPr>
          <w:p w14:paraId="7DFBBFF6"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b/>
                <w:bCs/>
                <w:sz w:val="24"/>
                <w:szCs w:val="24"/>
              </w:rPr>
              <w:t>EUR 30.4k</w:t>
            </w:r>
          </w:p>
        </w:tc>
      </w:tr>
      <w:tr w:rsidR="00FE41A1" w14:paraId="5D4AA05C" w14:textId="77777777" w:rsidTr="00FE41A1">
        <w:tc>
          <w:tcPr>
            <w:tcW w:w="2595" w:type="dxa"/>
            <w:tcBorders>
              <w:top w:val="single" w:sz="4" w:space="0" w:color="000000"/>
              <w:left w:val="single" w:sz="4" w:space="0" w:color="000000"/>
              <w:bottom w:val="single" w:sz="4" w:space="0" w:color="000000"/>
              <w:right w:val="single" w:sz="4" w:space="0" w:color="000000"/>
            </w:tcBorders>
          </w:tcPr>
          <w:p w14:paraId="28B1AA45"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S5 S4 + group track (G1 release asks)</w:t>
            </w:r>
          </w:p>
        </w:tc>
        <w:tc>
          <w:tcPr>
            <w:tcW w:w="1185" w:type="dxa"/>
            <w:tcBorders>
              <w:top w:val="single" w:sz="4" w:space="0" w:color="000000"/>
              <w:left w:val="single" w:sz="4" w:space="0" w:color="000000"/>
              <w:bottom w:val="single" w:sz="4" w:space="0" w:color="000000"/>
              <w:right w:val="single" w:sz="4" w:space="0" w:color="000000"/>
            </w:tcBorders>
          </w:tcPr>
          <w:p w14:paraId="42DDEB0A"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1,744</w:t>
            </w:r>
          </w:p>
        </w:tc>
        <w:tc>
          <w:tcPr>
            <w:tcW w:w="1560" w:type="dxa"/>
            <w:tcBorders>
              <w:top w:val="single" w:sz="4" w:space="0" w:color="000000"/>
              <w:left w:val="single" w:sz="4" w:space="0" w:color="000000"/>
              <w:bottom w:val="single" w:sz="4" w:space="0" w:color="000000"/>
              <w:right w:val="single" w:sz="4" w:space="0" w:color="000000"/>
            </w:tcBorders>
          </w:tcPr>
          <w:p w14:paraId="568EAD88"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5,186</w:t>
            </w:r>
          </w:p>
        </w:tc>
        <w:tc>
          <w:tcPr>
            <w:tcW w:w="1590" w:type="dxa"/>
            <w:tcBorders>
              <w:top w:val="single" w:sz="4" w:space="0" w:color="000000"/>
              <w:left w:val="single" w:sz="4" w:space="0" w:color="000000"/>
              <w:bottom w:val="single" w:sz="4" w:space="0" w:color="000000"/>
              <w:right w:val="single" w:sz="4" w:space="0" w:color="000000"/>
            </w:tcBorders>
          </w:tcPr>
          <w:p w14:paraId="3AA41E83"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86</w:t>
            </w:r>
          </w:p>
        </w:tc>
        <w:tc>
          <w:tcPr>
            <w:tcW w:w="1605" w:type="dxa"/>
            <w:tcBorders>
              <w:top w:val="single" w:sz="4" w:space="0" w:color="000000"/>
              <w:left w:val="single" w:sz="4" w:space="0" w:color="000000"/>
              <w:bottom w:val="single" w:sz="4" w:space="0" w:color="000000"/>
              <w:right w:val="single" w:sz="4" w:space="0" w:color="000000"/>
            </w:tcBorders>
          </w:tcPr>
          <w:p w14:paraId="453354D7"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EUR 31.5k</w:t>
            </w:r>
          </w:p>
        </w:tc>
      </w:tr>
    </w:tbl>
    <w:p w14:paraId="12F6C49D" w14:textId="77777777" w:rsidR="00FE41A1" w:rsidRDefault="00C20FEB">
      <w:pPr>
        <w:spacing w:before="180" w:after="180"/>
        <w:rPr>
          <w:rFonts w:ascii="Cambria" w:eastAsia="Cambria" w:hAnsi="Cambria" w:cs="Cambria"/>
          <w:sz w:val="24"/>
          <w:szCs w:val="24"/>
        </w:rPr>
      </w:pPr>
      <w:r>
        <w:rPr>
          <w:rFonts w:ascii="Cambria" w:eastAsia="Cambria" w:hAnsi="Cambria" w:cs="Cambria"/>
          <w:i/>
          <w:iCs/>
          <w:sz w:val="24"/>
          <w:szCs w:val="24"/>
        </w:rPr>
        <w:t>*After variable intervention costs and backfire losses; before programme costs. Prevented cancellations are expected values over the 35-week queue.</w:t>
      </w:r>
    </w:p>
    <w:p w14:paraId="1FE170B0" w14:textId="77777777" w:rsidR="00FE41A1" w:rsidRDefault="00C20FEB">
      <w:pPr>
        <w:keepNext/>
        <w:spacing w:after="200"/>
        <w:rPr>
          <w:rFonts w:ascii="Cambria" w:eastAsia="Cambria" w:hAnsi="Cambria" w:cs="Cambria"/>
          <w:sz w:val="24"/>
          <w:szCs w:val="24"/>
        </w:rPr>
      </w:pPr>
      <w:r>
        <w:rPr>
          <w:rFonts w:ascii="Cambria" w:eastAsia="Cambria" w:hAnsi="Cambria" w:cs="Cambria"/>
          <w:noProof/>
          <w:sz w:val="24"/>
          <w:szCs w:val="24"/>
        </w:rPr>
        <w:drawing>
          <wp:inline distT="0" distB="0" distL="114300" distR="114300" wp14:anchorId="2ABF4B31" wp14:editId="07B4531F">
            <wp:extent cx="5334000" cy="2143873"/>
            <wp:effectExtent l="0" t="0" r="0" b="0"/>
            <wp:docPr id="6" name="image6.png" descr="Figure 5.3. Net benefit per year by scenario (2017 queue, simulated)"/>
            <wp:cNvGraphicFramePr/>
            <a:graphic xmlns:a="http://schemas.openxmlformats.org/drawingml/2006/main">
              <a:graphicData uri="http://schemas.openxmlformats.org/drawingml/2006/picture">
                <pic:pic xmlns:pic="http://schemas.openxmlformats.org/drawingml/2006/picture">
                  <pic:nvPicPr>
                    <pic:cNvPr id="0" name="image6.png" descr="Figure 5.3. Net benefit per year by scenario (2017 queue, simulated)"/>
                    <pic:cNvPicPr preferRelativeResize="0"/>
                  </pic:nvPicPr>
                  <pic:blipFill>
                    <a:blip r:embed="rId13"/>
                    <a:srcRect/>
                    <a:stretch>
                      <a:fillRect/>
                    </a:stretch>
                  </pic:blipFill>
                  <pic:spPr>
                    <a:xfrm>
                      <a:off x="0" y="0"/>
                      <a:ext cx="5334000" cy="2143873"/>
                    </a:xfrm>
                    <a:prstGeom prst="rect">
                      <a:avLst/>
                    </a:prstGeom>
                    <a:ln/>
                  </pic:spPr>
                </pic:pic>
              </a:graphicData>
            </a:graphic>
          </wp:inline>
        </w:drawing>
      </w:r>
    </w:p>
    <w:p w14:paraId="26ACC583" w14:textId="77777777" w:rsidR="00FE41A1" w:rsidRDefault="00C20FEB">
      <w:pPr>
        <w:spacing w:after="120"/>
        <w:rPr>
          <w:rFonts w:ascii="Cambria" w:eastAsia="Cambria" w:hAnsi="Cambria" w:cs="Cambria"/>
          <w:i/>
          <w:iCs/>
          <w:sz w:val="24"/>
          <w:szCs w:val="24"/>
        </w:rPr>
      </w:pPr>
      <w:r>
        <w:rPr>
          <w:rFonts w:ascii="Cambria" w:eastAsia="Cambria" w:hAnsi="Cambria" w:cs="Cambria"/>
          <w:i/>
          <w:iCs/>
          <w:sz w:val="24"/>
          <w:szCs w:val="24"/>
        </w:rPr>
        <w:t>Figure 5.3. Net benefit per year by scenario (2017 queue, simulated)</w:t>
      </w:r>
    </w:p>
    <w:p w14:paraId="4D22078F" w14:textId="77777777" w:rsidR="00FE41A1" w:rsidRDefault="00C20FEB">
      <w:pPr>
        <w:spacing w:before="180" w:after="180"/>
        <w:rPr>
          <w:rFonts w:ascii="Cambria" w:eastAsia="Cambria" w:hAnsi="Cambria" w:cs="Cambria"/>
          <w:sz w:val="24"/>
          <w:szCs w:val="24"/>
        </w:rPr>
      </w:pPr>
      <w:r>
        <w:rPr>
          <w:rFonts w:ascii="Cambria" w:eastAsia="Cambria" w:hAnsi="Cambria" w:cs="Cambria"/>
          <w:b/>
          <w:bCs/>
          <w:sz w:val="24"/>
          <w:szCs w:val="24"/>
        </w:rPr>
        <w:t>Programme view (S4, 3 years, undiscounted):</w:t>
      </w:r>
      <w:r>
        <w:rPr>
          <w:rFonts w:ascii="Cambria" w:eastAsia="Cambria" w:hAnsi="Cambria" w:cs="Cambria"/>
          <w:sz w:val="24"/>
          <w:szCs w:val="24"/>
        </w:rPr>
        <w:t xml:space="preserve"> year-1 net EUR 11.5k after the one-off cost; 3-year net EUR 65.5k; </w:t>
      </w:r>
      <w:r>
        <w:rPr>
          <w:rFonts w:ascii="Cambria" w:eastAsia="Cambria" w:hAnsi="Cambria" w:cs="Cambria"/>
          <w:b/>
          <w:bCs/>
          <w:sz w:val="24"/>
          <w:szCs w:val="24"/>
        </w:rPr>
        <w:t>ROI 173%</w:t>
      </w:r>
      <w:r>
        <w:rPr>
          <w:rFonts w:ascii="Cambria" w:eastAsia="Cambria" w:hAnsi="Cambria" w:cs="Cambria"/>
          <w:sz w:val="24"/>
          <w:szCs w:val="24"/>
        </w:rPr>
        <w:t xml:space="preserve">; </w:t>
      </w:r>
      <w:r>
        <w:rPr>
          <w:rFonts w:ascii="Cambria" w:eastAsia="Cambria" w:hAnsi="Cambria" w:cs="Cambria"/>
          <w:b/>
          <w:bCs/>
          <w:sz w:val="24"/>
          <w:szCs w:val="24"/>
        </w:rPr>
        <w:t>payback 6.9 months</w:t>
      </w:r>
      <w:r>
        <w:rPr>
          <w:rFonts w:ascii="Cambria" w:eastAsia="Cambria" w:hAnsi="Cambria" w:cs="Cambria"/>
          <w:sz w:val="24"/>
          <w:szCs w:val="24"/>
        </w:rPr>
        <w:t>.</w:t>
      </w:r>
    </w:p>
    <w:p w14:paraId="2D88D20A" w14:textId="77777777" w:rsidR="00FE41A1" w:rsidRDefault="00C20FEB">
      <w:pPr>
        <w:spacing w:before="180" w:after="180"/>
        <w:rPr>
          <w:rFonts w:ascii="Cambria" w:eastAsia="Cambria" w:hAnsi="Cambria" w:cs="Cambria"/>
          <w:sz w:val="24"/>
          <w:szCs w:val="24"/>
        </w:rPr>
      </w:pPr>
      <w:r>
        <w:rPr>
          <w:rFonts w:ascii="Cambria" w:eastAsia="Cambria" w:hAnsi="Cambria" w:cs="Cambria"/>
          <w:b/>
          <w:bCs/>
          <w:sz w:val="24"/>
          <w:szCs w:val="24"/>
        </w:rPr>
        <w:t>What the results show:</w:t>
      </w:r>
    </w:p>
    <w:p w14:paraId="74EEA258" w14:textId="77777777" w:rsidR="00FE41A1" w:rsidRDefault="00C20FEB">
      <w:pPr>
        <w:numPr>
          <w:ilvl w:val="0"/>
          <w:numId w:val="9"/>
        </w:numPr>
        <w:spacing w:before="36" w:after="36"/>
        <w:rPr>
          <w:rFonts w:ascii="Cambria" w:eastAsia="Cambria" w:hAnsi="Cambria" w:cs="Cambria"/>
          <w:sz w:val="24"/>
          <w:szCs w:val="24"/>
        </w:rPr>
      </w:pPr>
      <w:r>
        <w:rPr>
          <w:rFonts w:ascii="Cambria" w:eastAsia="Cambria" w:hAnsi="Cambria" w:cs="Cambria"/>
          <w:b/>
          <w:bCs/>
          <w:sz w:val="24"/>
          <w:szCs w:val="24"/>
        </w:rPr>
        <w:t>Targeting by value matters more than contacting everyone.</w:t>
      </w:r>
      <w:r>
        <w:rPr>
          <w:rFonts w:ascii="Cambria" w:eastAsia="Cambria" w:hAnsi="Cambria" w:cs="Cambria"/>
          <w:sz w:val="24"/>
          <w:szCs w:val="24"/>
        </w:rPr>
        <w:t xml:space="preserve"> Reminders for all earn only EUR 3.1k, because backfire on low-risk guests almost cancels the benefit. Concentrating calls on the bookings with the most value at risk (S4) earns ten times more.</w:t>
      </w:r>
    </w:p>
    <w:p w14:paraId="01D70C93" w14:textId="77777777" w:rsidR="00FE41A1" w:rsidRDefault="00C20FEB">
      <w:pPr>
        <w:numPr>
          <w:ilvl w:val="0"/>
          <w:numId w:val="9"/>
        </w:numPr>
        <w:spacing w:before="36" w:after="36"/>
        <w:rPr>
          <w:rFonts w:ascii="Cambria" w:eastAsia="Cambria" w:hAnsi="Cambria" w:cs="Cambria"/>
          <w:sz w:val="24"/>
          <w:szCs w:val="24"/>
        </w:rPr>
      </w:pPr>
      <w:r>
        <w:rPr>
          <w:rFonts w:ascii="Cambria" w:eastAsia="Cambria" w:hAnsi="Cambria" w:cs="Cambria"/>
          <w:b/>
          <w:bCs/>
          <w:sz w:val="24"/>
          <w:szCs w:val="24"/>
        </w:rPr>
        <w:lastRenderedPageBreak/>
        <w:t>The model adds value over a simple rule, but modestly.</w:t>
      </w:r>
      <w:r>
        <w:rPr>
          <w:rFonts w:ascii="Cambria" w:eastAsia="Cambria" w:hAnsi="Cambria" w:cs="Cambria"/>
          <w:sz w:val="24"/>
          <w:szCs w:val="24"/>
        </w:rPr>
        <w:t xml:space="preserve"> With the same 15% / 60% shares, ranking by the model earns EUR 30.4k a year against EUR 28.8k for a segment × lead-time rule.</w:t>
      </w:r>
    </w:p>
    <w:p w14:paraId="320A0798" w14:textId="77777777" w:rsidR="00FE41A1" w:rsidRDefault="00C20FEB">
      <w:pPr>
        <w:numPr>
          <w:ilvl w:val="0"/>
          <w:numId w:val="9"/>
        </w:numPr>
        <w:spacing w:before="36" w:after="36"/>
        <w:rPr>
          <w:rFonts w:ascii="Cambria" w:eastAsia="Cambria" w:hAnsi="Cambria" w:cs="Cambria"/>
          <w:sz w:val="24"/>
          <w:szCs w:val="24"/>
        </w:rPr>
      </w:pPr>
      <w:r>
        <w:rPr>
          <w:rFonts w:ascii="Cambria" w:eastAsia="Cambria" w:hAnsi="Cambria" w:cs="Cambria"/>
          <w:b/>
          <w:bCs/>
          <w:sz w:val="24"/>
          <w:szCs w:val="24"/>
        </w:rPr>
        <w:t>The case depends on the call uplift.</w:t>
      </w:r>
      <w:r>
        <w:rPr>
          <w:rFonts w:ascii="Cambria" w:eastAsia="Cambria" w:hAnsi="Cambria" w:cs="Cambria"/>
          <w:sz w:val="24"/>
          <w:szCs w:val="24"/>
        </w:rPr>
        <w:t xml:space="preserve"> A call pays for itself if it prevents 1.1% of the cancellations it reaches; a reminder needs 2.0%. If calls have no effect, S4 loses EUR 1.9k a year and programme ROI turns negative (–82%). If they prevent 25%, net rises to EUR 78.8k.</w:t>
      </w:r>
    </w:p>
    <w:p w14:paraId="45D221CB" w14:textId="77777777" w:rsidR="00FE41A1" w:rsidRDefault="00C20FEB">
      <w:pPr>
        <w:numPr>
          <w:ilvl w:val="0"/>
          <w:numId w:val="9"/>
        </w:numPr>
        <w:spacing w:before="36" w:after="36"/>
        <w:rPr>
          <w:rFonts w:ascii="Cambria" w:eastAsia="Cambria" w:hAnsi="Cambria" w:cs="Cambria"/>
          <w:sz w:val="24"/>
          <w:szCs w:val="24"/>
        </w:rPr>
      </w:pPr>
      <w:r>
        <w:rPr>
          <w:rFonts w:ascii="Cambria" w:eastAsia="Cambria" w:hAnsi="Cambria" w:cs="Cambria"/>
          <w:b/>
          <w:bCs/>
          <w:sz w:val="24"/>
          <w:szCs w:val="24"/>
        </w:rPr>
        <w:t>Other assumptions move the result less.</w:t>
      </w:r>
      <w:r>
        <w:rPr>
          <w:rFonts w:ascii="Cambria" w:eastAsia="Cambria" w:hAnsi="Cambria" w:cs="Cambria"/>
          <w:sz w:val="24"/>
          <w:szCs w:val="24"/>
        </w:rPr>
        <w:t xml:space="preserve"> A reminder uplift of 0% or 8% gives EUR 25.5k / 38.5k; resale at half or one-and-a-half times the base gives EUR 40.3k / 20.5k; a reminder backfire of 2% gives EUR 22.4k and a call backfire of 1% EUR 26.5k; an implementation cost of EUR 30k instead of 15k lowers ROI to 95% (payback 13.6 months). Call time, attempts and SMS price each move the result by less than EUR 3.6k.</w:t>
      </w:r>
    </w:p>
    <w:p w14:paraId="296755D8" w14:textId="77777777" w:rsidR="00FE41A1" w:rsidRDefault="00C20FEB">
      <w:pPr>
        <w:numPr>
          <w:ilvl w:val="0"/>
          <w:numId w:val="9"/>
        </w:numPr>
        <w:spacing w:before="36" w:after="36"/>
        <w:rPr>
          <w:rFonts w:ascii="Cambria" w:eastAsia="Cambria" w:hAnsi="Cambria" w:cs="Cambria"/>
          <w:sz w:val="24"/>
          <w:szCs w:val="24"/>
        </w:rPr>
      </w:pPr>
      <w:r>
        <w:rPr>
          <w:rFonts w:ascii="Cambria" w:eastAsia="Cambria" w:hAnsi="Cambria" w:cs="Cambria"/>
          <w:b/>
          <w:bCs/>
          <w:sz w:val="24"/>
          <w:szCs w:val="24"/>
        </w:rPr>
        <w:t>Capacity holds.</w:t>
      </w:r>
      <w:r>
        <w:rPr>
          <w:rFonts w:ascii="Cambria" w:eastAsia="Cambria" w:hAnsi="Cambria" w:cs="Cambria"/>
          <w:sz w:val="24"/>
          <w:szCs w:val="24"/>
        </w:rPr>
        <w:t xml:space="preserve"> Calls average 16.5 per scheduled day and never exceed 20; 17 call tasks could not be scheduled in time and go to manual review.</w:t>
      </w:r>
    </w:p>
    <w:p w14:paraId="7C5504ED" w14:textId="77777777" w:rsidR="00FE41A1" w:rsidRDefault="00C20FEB">
      <w:pPr>
        <w:numPr>
          <w:ilvl w:val="0"/>
          <w:numId w:val="9"/>
        </w:numPr>
        <w:spacing w:before="36" w:after="36"/>
        <w:rPr>
          <w:rFonts w:ascii="Cambria" w:eastAsia="Cambria" w:hAnsi="Cambria" w:cs="Cambria"/>
          <w:sz w:val="24"/>
          <w:szCs w:val="24"/>
        </w:rPr>
      </w:pPr>
      <w:r>
        <w:rPr>
          <w:rFonts w:ascii="Cambria" w:eastAsia="Cambria" w:hAnsi="Cambria" w:cs="Cambria"/>
          <w:b/>
          <w:bCs/>
          <w:sz w:val="24"/>
          <w:szCs w:val="24"/>
        </w:rPr>
        <w:t>Overbooking (G3) stays off.</w:t>
      </w:r>
      <w:r>
        <w:rPr>
          <w:rFonts w:ascii="Cambria" w:eastAsia="Cambria" w:hAnsi="Cambria" w:cs="Cambria"/>
          <w:sz w:val="24"/>
          <w:szCs w:val="24"/>
        </w:rPr>
        <w:t xml:space="preserve"> The exploratory analysis loses EUR 0.7k a year after relocation costs, so it is not recommended without a new capacity design.</w:t>
      </w:r>
    </w:p>
    <w:p w14:paraId="64AAE08C" w14:textId="77777777" w:rsidR="00FE41A1" w:rsidRDefault="00C20FEB">
      <w:pPr>
        <w:keepNext/>
        <w:spacing w:after="200"/>
        <w:rPr>
          <w:rFonts w:ascii="Cambria" w:eastAsia="Cambria" w:hAnsi="Cambria" w:cs="Cambria"/>
          <w:sz w:val="24"/>
          <w:szCs w:val="24"/>
        </w:rPr>
      </w:pPr>
      <w:r>
        <w:rPr>
          <w:rFonts w:ascii="Cambria" w:eastAsia="Cambria" w:hAnsi="Cambria" w:cs="Cambria"/>
          <w:noProof/>
          <w:sz w:val="24"/>
          <w:szCs w:val="24"/>
        </w:rPr>
        <w:drawing>
          <wp:inline distT="0" distB="0" distL="114300" distR="114300" wp14:anchorId="2BE58835" wp14:editId="1FA718B8">
            <wp:extent cx="5334000" cy="2435284"/>
            <wp:effectExtent l="0" t="0" r="0" b="0"/>
            <wp:docPr id="9" name="image8.png" descr="Figure 5.4. Sensitivity of S4 net benefit to each assumption"/>
            <wp:cNvGraphicFramePr/>
            <a:graphic xmlns:a="http://schemas.openxmlformats.org/drawingml/2006/main">
              <a:graphicData uri="http://schemas.openxmlformats.org/drawingml/2006/picture">
                <pic:pic xmlns:pic="http://schemas.openxmlformats.org/drawingml/2006/picture">
                  <pic:nvPicPr>
                    <pic:cNvPr id="0" name="image8.png" descr="Figure 5.4. Sensitivity of S4 net benefit to each assumption"/>
                    <pic:cNvPicPr preferRelativeResize="0"/>
                  </pic:nvPicPr>
                  <pic:blipFill>
                    <a:blip r:embed="rId14"/>
                    <a:srcRect/>
                    <a:stretch>
                      <a:fillRect/>
                    </a:stretch>
                  </pic:blipFill>
                  <pic:spPr>
                    <a:xfrm>
                      <a:off x="0" y="0"/>
                      <a:ext cx="5334000" cy="2435284"/>
                    </a:xfrm>
                    <a:prstGeom prst="rect">
                      <a:avLst/>
                    </a:prstGeom>
                    <a:ln/>
                  </pic:spPr>
                </pic:pic>
              </a:graphicData>
            </a:graphic>
          </wp:inline>
        </w:drawing>
      </w:r>
    </w:p>
    <w:p w14:paraId="0A753CCB" w14:textId="77777777" w:rsidR="00FE41A1" w:rsidRDefault="00C20FEB">
      <w:pPr>
        <w:spacing w:after="120"/>
        <w:rPr>
          <w:rFonts w:ascii="Cambria" w:eastAsia="Cambria" w:hAnsi="Cambria" w:cs="Cambria"/>
          <w:i/>
          <w:iCs/>
          <w:sz w:val="24"/>
          <w:szCs w:val="24"/>
        </w:rPr>
      </w:pPr>
      <w:r>
        <w:rPr>
          <w:rFonts w:ascii="Cambria" w:eastAsia="Cambria" w:hAnsi="Cambria" w:cs="Cambria"/>
          <w:i/>
          <w:iCs/>
          <w:sz w:val="24"/>
          <w:szCs w:val="24"/>
        </w:rPr>
        <w:t>Figure 5.4. Sensitivity of S4 net benefit to each assumption</w:t>
      </w:r>
    </w:p>
    <w:p w14:paraId="4EA9FABB" w14:textId="77777777" w:rsidR="00FE41A1" w:rsidRDefault="00C20FEB">
      <w:pPr>
        <w:spacing w:before="180" w:after="180"/>
        <w:rPr>
          <w:rFonts w:ascii="Cambria" w:eastAsia="Cambria" w:hAnsi="Cambria" w:cs="Cambria"/>
          <w:sz w:val="24"/>
          <w:szCs w:val="24"/>
        </w:rPr>
      </w:pPr>
      <w:r>
        <w:rPr>
          <w:rFonts w:ascii="Cambria" w:eastAsia="Cambria" w:hAnsi="Cambria" w:cs="Cambria"/>
          <w:b/>
          <w:bCs/>
          <w:sz w:val="24"/>
          <w:szCs w:val="24"/>
        </w:rPr>
        <w:t>Occupancy, ADR and RevPAR (room-night ledger, stays 1 January – 31 August 2017, illustrative):</w:t>
      </w:r>
    </w:p>
    <w:tbl>
      <w:tblPr>
        <w:tblStyle w:val="af"/>
        <w:tblW w:w="8535" w:type="dxa"/>
        <w:tblInd w:w="-227" w:type="dxa"/>
        <w:tblLayout w:type="fixed"/>
        <w:tblLook w:val="0020" w:firstRow="1" w:lastRow="0" w:firstColumn="0" w:lastColumn="0" w:noHBand="0" w:noVBand="0"/>
      </w:tblPr>
      <w:tblGrid>
        <w:gridCol w:w="2550"/>
        <w:gridCol w:w="1550"/>
        <w:gridCol w:w="1200"/>
        <w:gridCol w:w="1350"/>
        <w:gridCol w:w="1885"/>
      </w:tblGrid>
      <w:tr w:rsidR="00FE41A1" w14:paraId="0FEDB0DD" w14:textId="77777777" w:rsidTr="00FE41A1">
        <w:trPr>
          <w:cnfStyle w:val="100000000000" w:firstRow="1" w:lastRow="0" w:firstColumn="0" w:lastColumn="0" w:oddVBand="0" w:evenVBand="0" w:oddHBand="0" w:evenHBand="0" w:firstRowFirstColumn="0" w:firstRowLastColumn="0" w:lastRowFirstColumn="0" w:lastRowLastColumn="0"/>
          <w:tblHeader/>
        </w:trPr>
        <w:tc>
          <w:tcPr>
            <w:tcW w:w="2550" w:type="dxa"/>
            <w:tcBorders>
              <w:top w:val="single" w:sz="4" w:space="0" w:color="000000"/>
              <w:left w:val="single" w:sz="4" w:space="0" w:color="000000"/>
              <w:bottom w:val="single" w:sz="4" w:space="0" w:color="000000"/>
              <w:right w:val="single" w:sz="4" w:space="0" w:color="000000"/>
            </w:tcBorders>
          </w:tcPr>
          <w:p w14:paraId="6A04C09B"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Scenario</w:t>
            </w:r>
          </w:p>
        </w:tc>
        <w:tc>
          <w:tcPr>
            <w:tcW w:w="1550" w:type="dxa"/>
            <w:tcBorders>
              <w:top w:val="single" w:sz="4" w:space="0" w:color="000000"/>
              <w:left w:val="single" w:sz="4" w:space="0" w:color="000000"/>
              <w:bottom w:val="single" w:sz="4" w:space="0" w:color="000000"/>
              <w:right w:val="single" w:sz="4" w:space="0" w:color="000000"/>
            </w:tcBorders>
          </w:tcPr>
          <w:p w14:paraId="535DF0FF"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Occupancy</w:t>
            </w:r>
          </w:p>
        </w:tc>
        <w:tc>
          <w:tcPr>
            <w:tcW w:w="1200" w:type="dxa"/>
            <w:tcBorders>
              <w:top w:val="single" w:sz="4" w:space="0" w:color="000000"/>
              <w:left w:val="single" w:sz="4" w:space="0" w:color="000000"/>
              <w:bottom w:val="single" w:sz="4" w:space="0" w:color="000000"/>
              <w:right w:val="single" w:sz="4" w:space="0" w:color="000000"/>
            </w:tcBorders>
          </w:tcPr>
          <w:p w14:paraId="55F335AF"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ADR (EUR)</w:t>
            </w:r>
          </w:p>
        </w:tc>
        <w:tc>
          <w:tcPr>
            <w:tcW w:w="1350" w:type="dxa"/>
            <w:tcBorders>
              <w:top w:val="single" w:sz="4" w:space="0" w:color="000000"/>
              <w:left w:val="single" w:sz="4" w:space="0" w:color="000000"/>
              <w:bottom w:val="single" w:sz="4" w:space="0" w:color="000000"/>
              <w:right w:val="single" w:sz="4" w:space="0" w:color="000000"/>
            </w:tcBorders>
          </w:tcPr>
          <w:p w14:paraId="6E5F6C9D"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RevPAR (EUR)</w:t>
            </w:r>
          </w:p>
        </w:tc>
        <w:tc>
          <w:tcPr>
            <w:tcW w:w="1885" w:type="dxa"/>
            <w:tcBorders>
              <w:top w:val="single" w:sz="4" w:space="0" w:color="000000"/>
              <w:left w:val="single" w:sz="4" w:space="0" w:color="000000"/>
              <w:bottom w:val="single" w:sz="4" w:space="0" w:color="000000"/>
              <w:right w:val="single" w:sz="4" w:space="0" w:color="000000"/>
            </w:tcBorders>
          </w:tcPr>
          <w:p w14:paraId="5DD6AE68"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Contribution net*</w:t>
            </w:r>
          </w:p>
        </w:tc>
      </w:tr>
      <w:tr w:rsidR="00FE41A1" w14:paraId="2E5CFBF1" w14:textId="77777777" w:rsidTr="00FE41A1">
        <w:tc>
          <w:tcPr>
            <w:tcW w:w="2550" w:type="dxa"/>
            <w:tcBorders>
              <w:top w:val="single" w:sz="4" w:space="0" w:color="000000"/>
              <w:left w:val="single" w:sz="4" w:space="0" w:color="000000"/>
              <w:bottom w:val="single" w:sz="4" w:space="0" w:color="000000"/>
              <w:right w:val="single" w:sz="4" w:space="0" w:color="000000"/>
            </w:tcBorders>
          </w:tcPr>
          <w:p w14:paraId="2CA6C309"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S0 Actual 2017</w:t>
            </w:r>
          </w:p>
        </w:tc>
        <w:tc>
          <w:tcPr>
            <w:tcW w:w="1550" w:type="dxa"/>
            <w:tcBorders>
              <w:top w:val="single" w:sz="4" w:space="0" w:color="000000"/>
              <w:left w:val="single" w:sz="4" w:space="0" w:color="000000"/>
              <w:bottom w:val="single" w:sz="4" w:space="0" w:color="000000"/>
              <w:right w:val="single" w:sz="4" w:space="0" w:color="000000"/>
            </w:tcBorders>
          </w:tcPr>
          <w:p w14:paraId="14950551"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78.7%</w:t>
            </w:r>
          </w:p>
        </w:tc>
        <w:tc>
          <w:tcPr>
            <w:tcW w:w="1200" w:type="dxa"/>
            <w:tcBorders>
              <w:top w:val="single" w:sz="4" w:space="0" w:color="000000"/>
              <w:left w:val="single" w:sz="4" w:space="0" w:color="000000"/>
              <w:bottom w:val="single" w:sz="4" w:space="0" w:color="000000"/>
              <w:right w:val="single" w:sz="4" w:space="0" w:color="000000"/>
            </w:tcBorders>
          </w:tcPr>
          <w:p w14:paraId="33F9AE1F"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116.96</w:t>
            </w:r>
          </w:p>
        </w:tc>
        <w:tc>
          <w:tcPr>
            <w:tcW w:w="1350" w:type="dxa"/>
            <w:tcBorders>
              <w:top w:val="single" w:sz="4" w:space="0" w:color="000000"/>
              <w:left w:val="single" w:sz="4" w:space="0" w:color="000000"/>
              <w:bottom w:val="single" w:sz="4" w:space="0" w:color="000000"/>
              <w:right w:val="single" w:sz="4" w:space="0" w:color="000000"/>
            </w:tcBorders>
          </w:tcPr>
          <w:p w14:paraId="0C99AFDC"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92.02</w:t>
            </w:r>
          </w:p>
        </w:tc>
        <w:tc>
          <w:tcPr>
            <w:tcW w:w="1885" w:type="dxa"/>
            <w:tcBorders>
              <w:top w:val="single" w:sz="4" w:space="0" w:color="000000"/>
              <w:left w:val="single" w:sz="4" w:space="0" w:color="000000"/>
              <w:bottom w:val="single" w:sz="4" w:space="0" w:color="000000"/>
              <w:right w:val="single" w:sz="4" w:space="0" w:color="000000"/>
            </w:tcBorders>
          </w:tcPr>
          <w:p w14:paraId="7EFC412B"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w:t>
            </w:r>
          </w:p>
        </w:tc>
      </w:tr>
      <w:tr w:rsidR="00FE41A1" w14:paraId="468D06E9" w14:textId="77777777" w:rsidTr="00FE41A1">
        <w:tc>
          <w:tcPr>
            <w:tcW w:w="2550" w:type="dxa"/>
            <w:tcBorders>
              <w:top w:val="single" w:sz="4" w:space="0" w:color="000000"/>
              <w:left w:val="single" w:sz="4" w:space="0" w:color="000000"/>
              <w:bottom w:val="single" w:sz="4" w:space="0" w:color="000000"/>
              <w:right w:val="single" w:sz="4" w:space="0" w:color="000000"/>
            </w:tcBorders>
          </w:tcPr>
          <w:p w14:paraId="403A26FD"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S4 G1 policy</w:t>
            </w:r>
          </w:p>
        </w:tc>
        <w:tc>
          <w:tcPr>
            <w:tcW w:w="1550" w:type="dxa"/>
            <w:tcBorders>
              <w:top w:val="single" w:sz="4" w:space="0" w:color="000000"/>
              <w:left w:val="single" w:sz="4" w:space="0" w:color="000000"/>
              <w:bottom w:val="single" w:sz="4" w:space="0" w:color="000000"/>
              <w:right w:val="single" w:sz="4" w:space="0" w:color="000000"/>
            </w:tcBorders>
          </w:tcPr>
          <w:p w14:paraId="11F69AF8"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79.0%</w:t>
            </w:r>
          </w:p>
        </w:tc>
        <w:tc>
          <w:tcPr>
            <w:tcW w:w="1200" w:type="dxa"/>
            <w:tcBorders>
              <w:top w:val="single" w:sz="4" w:space="0" w:color="000000"/>
              <w:left w:val="single" w:sz="4" w:space="0" w:color="000000"/>
              <w:bottom w:val="single" w:sz="4" w:space="0" w:color="000000"/>
              <w:right w:val="single" w:sz="4" w:space="0" w:color="000000"/>
            </w:tcBorders>
          </w:tcPr>
          <w:p w14:paraId="3CA3D484"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117.22</w:t>
            </w:r>
          </w:p>
        </w:tc>
        <w:tc>
          <w:tcPr>
            <w:tcW w:w="1350" w:type="dxa"/>
            <w:tcBorders>
              <w:top w:val="single" w:sz="4" w:space="0" w:color="000000"/>
              <w:left w:val="single" w:sz="4" w:space="0" w:color="000000"/>
              <w:bottom w:val="single" w:sz="4" w:space="0" w:color="000000"/>
              <w:right w:val="single" w:sz="4" w:space="0" w:color="000000"/>
            </w:tcBorders>
          </w:tcPr>
          <w:p w14:paraId="741C9D2C"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92.59</w:t>
            </w:r>
          </w:p>
        </w:tc>
        <w:tc>
          <w:tcPr>
            <w:tcW w:w="1885" w:type="dxa"/>
            <w:tcBorders>
              <w:top w:val="single" w:sz="4" w:space="0" w:color="000000"/>
              <w:left w:val="single" w:sz="4" w:space="0" w:color="000000"/>
              <w:bottom w:val="single" w:sz="4" w:space="0" w:color="000000"/>
              <w:right w:val="single" w:sz="4" w:space="0" w:color="000000"/>
            </w:tcBorders>
          </w:tcPr>
          <w:p w14:paraId="08C69D4B"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EUR +20.6k</w:t>
            </w:r>
          </w:p>
        </w:tc>
      </w:tr>
      <w:tr w:rsidR="00FE41A1" w14:paraId="61DED6A5" w14:textId="77777777" w:rsidTr="00FE41A1">
        <w:tc>
          <w:tcPr>
            <w:tcW w:w="2550" w:type="dxa"/>
            <w:tcBorders>
              <w:top w:val="single" w:sz="4" w:space="0" w:color="000000"/>
              <w:left w:val="single" w:sz="4" w:space="0" w:color="000000"/>
              <w:bottom w:val="single" w:sz="4" w:space="0" w:color="000000"/>
              <w:right w:val="single" w:sz="4" w:space="0" w:color="000000"/>
            </w:tcBorders>
          </w:tcPr>
          <w:p w14:paraId="2B4EE91E"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S5 S4 + group early release</w:t>
            </w:r>
          </w:p>
        </w:tc>
        <w:tc>
          <w:tcPr>
            <w:tcW w:w="1550" w:type="dxa"/>
            <w:tcBorders>
              <w:top w:val="single" w:sz="4" w:space="0" w:color="000000"/>
              <w:left w:val="single" w:sz="4" w:space="0" w:color="000000"/>
              <w:bottom w:val="single" w:sz="4" w:space="0" w:color="000000"/>
              <w:right w:val="single" w:sz="4" w:space="0" w:color="000000"/>
            </w:tcBorders>
          </w:tcPr>
          <w:p w14:paraId="0D5200E3"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79.0%</w:t>
            </w:r>
          </w:p>
        </w:tc>
        <w:tc>
          <w:tcPr>
            <w:tcW w:w="1200" w:type="dxa"/>
            <w:tcBorders>
              <w:top w:val="single" w:sz="4" w:space="0" w:color="000000"/>
              <w:left w:val="single" w:sz="4" w:space="0" w:color="000000"/>
              <w:bottom w:val="single" w:sz="4" w:space="0" w:color="000000"/>
              <w:right w:val="single" w:sz="4" w:space="0" w:color="000000"/>
            </w:tcBorders>
          </w:tcPr>
          <w:p w14:paraId="1DF8C7E7"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117.20</w:t>
            </w:r>
          </w:p>
        </w:tc>
        <w:tc>
          <w:tcPr>
            <w:tcW w:w="1350" w:type="dxa"/>
            <w:tcBorders>
              <w:top w:val="single" w:sz="4" w:space="0" w:color="000000"/>
              <w:left w:val="single" w:sz="4" w:space="0" w:color="000000"/>
              <w:bottom w:val="single" w:sz="4" w:space="0" w:color="000000"/>
              <w:right w:val="single" w:sz="4" w:space="0" w:color="000000"/>
            </w:tcBorders>
          </w:tcPr>
          <w:p w14:paraId="6C19AEAD"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92.63</w:t>
            </w:r>
          </w:p>
        </w:tc>
        <w:tc>
          <w:tcPr>
            <w:tcW w:w="1885" w:type="dxa"/>
            <w:tcBorders>
              <w:top w:val="single" w:sz="4" w:space="0" w:color="000000"/>
              <w:left w:val="single" w:sz="4" w:space="0" w:color="000000"/>
              <w:bottom w:val="single" w:sz="4" w:space="0" w:color="000000"/>
              <w:right w:val="single" w:sz="4" w:space="0" w:color="000000"/>
            </w:tcBorders>
          </w:tcPr>
          <w:p w14:paraId="304F00CF"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EUR +21.3k</w:t>
            </w:r>
          </w:p>
        </w:tc>
      </w:tr>
      <w:tr w:rsidR="00FE41A1" w14:paraId="4EECDEEC" w14:textId="77777777" w:rsidTr="00FE41A1">
        <w:tc>
          <w:tcPr>
            <w:tcW w:w="2550" w:type="dxa"/>
            <w:tcBorders>
              <w:top w:val="single" w:sz="4" w:space="0" w:color="000000"/>
              <w:left w:val="single" w:sz="4" w:space="0" w:color="000000"/>
              <w:bottom w:val="single" w:sz="4" w:space="0" w:color="000000"/>
              <w:right w:val="single" w:sz="4" w:space="0" w:color="000000"/>
            </w:tcBorders>
          </w:tcPr>
          <w:p w14:paraId="3CDD62CA"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S6 S5 + price ±5% (elasticity −0.8, assumed)</w:t>
            </w:r>
          </w:p>
        </w:tc>
        <w:tc>
          <w:tcPr>
            <w:tcW w:w="1550" w:type="dxa"/>
            <w:tcBorders>
              <w:top w:val="single" w:sz="4" w:space="0" w:color="000000"/>
              <w:left w:val="single" w:sz="4" w:space="0" w:color="000000"/>
              <w:bottom w:val="single" w:sz="4" w:space="0" w:color="000000"/>
              <w:right w:val="single" w:sz="4" w:space="0" w:color="000000"/>
            </w:tcBorders>
          </w:tcPr>
          <w:p w14:paraId="1423B9F9"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76.8%</w:t>
            </w:r>
          </w:p>
        </w:tc>
        <w:tc>
          <w:tcPr>
            <w:tcW w:w="1200" w:type="dxa"/>
            <w:tcBorders>
              <w:top w:val="single" w:sz="4" w:space="0" w:color="000000"/>
              <w:left w:val="single" w:sz="4" w:space="0" w:color="000000"/>
              <w:bottom w:val="single" w:sz="4" w:space="0" w:color="000000"/>
              <w:right w:val="single" w:sz="4" w:space="0" w:color="000000"/>
            </w:tcBorders>
          </w:tcPr>
          <w:p w14:paraId="39A25016"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121.37</w:t>
            </w:r>
          </w:p>
        </w:tc>
        <w:tc>
          <w:tcPr>
            <w:tcW w:w="1350" w:type="dxa"/>
            <w:tcBorders>
              <w:top w:val="single" w:sz="4" w:space="0" w:color="000000"/>
              <w:left w:val="single" w:sz="4" w:space="0" w:color="000000"/>
              <w:bottom w:val="single" w:sz="4" w:space="0" w:color="000000"/>
              <w:right w:val="single" w:sz="4" w:space="0" w:color="000000"/>
            </w:tcBorders>
          </w:tcPr>
          <w:p w14:paraId="22E73289"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93.16</w:t>
            </w:r>
          </w:p>
        </w:tc>
        <w:tc>
          <w:tcPr>
            <w:tcW w:w="1885" w:type="dxa"/>
            <w:tcBorders>
              <w:top w:val="single" w:sz="4" w:space="0" w:color="000000"/>
              <w:left w:val="single" w:sz="4" w:space="0" w:color="000000"/>
              <w:bottom w:val="single" w:sz="4" w:space="0" w:color="000000"/>
              <w:right w:val="single" w:sz="4" w:space="0" w:color="000000"/>
            </w:tcBorders>
          </w:tcPr>
          <w:p w14:paraId="1A8A83BE" w14:textId="77777777" w:rsidR="00FE41A1" w:rsidRDefault="00C20FEB">
            <w:pPr>
              <w:spacing w:before="36" w:after="36"/>
              <w:jc w:val="center"/>
              <w:rPr>
                <w:rFonts w:ascii="Cambria" w:eastAsia="Cambria" w:hAnsi="Cambria" w:cs="Cambria"/>
                <w:sz w:val="24"/>
                <w:szCs w:val="24"/>
              </w:rPr>
            </w:pPr>
            <w:r>
              <w:rPr>
                <w:rFonts w:ascii="Cambria" w:eastAsia="Cambria" w:hAnsi="Cambria" w:cs="Cambria"/>
                <w:sz w:val="24"/>
                <w:szCs w:val="24"/>
              </w:rPr>
              <w:t>EUR +85.6k</w:t>
            </w:r>
          </w:p>
        </w:tc>
      </w:tr>
    </w:tbl>
    <w:p w14:paraId="7030E7D6" w14:textId="77777777" w:rsidR="00FE41A1" w:rsidRDefault="00C20FEB">
      <w:pPr>
        <w:spacing w:before="180" w:after="180"/>
        <w:rPr>
          <w:rFonts w:ascii="Cambria" w:eastAsia="Cambria" w:hAnsi="Cambria" w:cs="Cambria"/>
          <w:sz w:val="24"/>
          <w:szCs w:val="24"/>
        </w:rPr>
      </w:pPr>
      <w:r>
        <w:rPr>
          <w:rFonts w:ascii="Cambria" w:eastAsia="Cambria" w:hAnsi="Cambria" w:cs="Cambria"/>
          <w:sz w:val="24"/>
          <w:szCs w:val="24"/>
        </w:rPr>
        <w:lastRenderedPageBreak/>
        <w:t>*Over the period, after variable intervention costs, commission and room cost; before programme costs. Expected values from src/scenario_capacity.py, starting from the 48,182 of 61,236 room-nights actually sold. The S4 ledger result agrees with the queue simulation above (EUR 20.5k over 35 weeks). S6 raises rates by 5% on dates at 85% occupancy or more and cuts them below 60%; its price elasticity is a team assumption (the data has no price variation), and at −1.2 or −1.5 RevPAR falls instead, so S6 is a qu</w:t>
      </w:r>
      <w:r>
        <w:rPr>
          <w:rFonts w:ascii="Cambria" w:eastAsia="Cambria" w:hAnsi="Cambria" w:cs="Cambria"/>
          <w:sz w:val="24"/>
          <w:szCs w:val="24"/>
        </w:rPr>
        <w:t>estion for the pilot, not a recommendation. Overbooking (G3) is not simulated as an option.</w:t>
      </w:r>
    </w:p>
    <w:p w14:paraId="1F3AF05C" w14:textId="77777777" w:rsidR="00FE41A1" w:rsidRDefault="00C20FEB">
      <w:pPr>
        <w:pStyle w:val="Heading3"/>
        <w:keepNext/>
        <w:keepLines/>
        <w:pBdr>
          <w:top w:val="nil"/>
          <w:left w:val="nil"/>
          <w:bottom w:val="nil"/>
          <w:right w:val="nil"/>
          <w:between w:val="nil"/>
        </w:pBdr>
        <w:spacing w:before="200"/>
        <w:ind w:firstLine="0"/>
        <w:rPr>
          <w:i w:val="0"/>
          <w:iCs w:val="0"/>
          <w:color w:val="1F3864"/>
        </w:rPr>
      </w:pPr>
      <w:bookmarkStart w:id="34" w:name="_Toc243432508"/>
      <w:r>
        <w:rPr>
          <w:i w:val="0"/>
          <w:iCs w:val="0"/>
          <w:color w:val="1F3864"/>
        </w:rPr>
        <w:t>5.2.4. Evaluation plan</w:t>
      </w:r>
      <w:bookmarkEnd w:id="34"/>
    </w:p>
    <w:tbl>
      <w:tblPr>
        <w:tblStyle w:val="af0"/>
        <w:tblW w:w="9675" w:type="dxa"/>
        <w:tblInd w:w="-108" w:type="dxa"/>
        <w:tblLayout w:type="fixed"/>
        <w:tblLook w:val="0020" w:firstRow="1" w:lastRow="0" w:firstColumn="0" w:lastColumn="0" w:noHBand="0" w:noVBand="0"/>
      </w:tblPr>
      <w:tblGrid>
        <w:gridCol w:w="1935"/>
        <w:gridCol w:w="1935"/>
        <w:gridCol w:w="1935"/>
        <w:gridCol w:w="1935"/>
        <w:gridCol w:w="1935"/>
      </w:tblGrid>
      <w:tr w:rsidR="00FE41A1" w14:paraId="58E2EEBA" w14:textId="77777777" w:rsidTr="00FE41A1">
        <w:trPr>
          <w:cnfStyle w:val="100000000000" w:firstRow="1" w:lastRow="0" w:firstColumn="0" w:lastColumn="0" w:oddVBand="0" w:evenVBand="0" w:oddHBand="0" w:evenHBand="0" w:firstRowFirstColumn="0" w:firstRowLastColumn="0" w:lastRowFirstColumn="0" w:lastRowLastColumn="0"/>
          <w:tblHeader/>
        </w:trPr>
        <w:tc>
          <w:tcPr>
            <w:tcW w:w="1935" w:type="dxa"/>
            <w:tcBorders>
              <w:top w:val="single" w:sz="4" w:space="0" w:color="000000"/>
              <w:left w:val="single" w:sz="4" w:space="0" w:color="000000"/>
              <w:bottom w:val="single" w:sz="4" w:space="0" w:color="000000"/>
              <w:right w:val="single" w:sz="4" w:space="0" w:color="000000"/>
            </w:tcBorders>
          </w:tcPr>
          <w:p w14:paraId="3323B764"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Level</w:t>
            </w:r>
          </w:p>
        </w:tc>
        <w:tc>
          <w:tcPr>
            <w:tcW w:w="1935" w:type="dxa"/>
            <w:tcBorders>
              <w:top w:val="single" w:sz="4" w:space="0" w:color="000000"/>
              <w:left w:val="single" w:sz="4" w:space="0" w:color="000000"/>
              <w:bottom w:val="single" w:sz="4" w:space="0" w:color="000000"/>
              <w:right w:val="single" w:sz="4" w:space="0" w:color="000000"/>
            </w:tcBorders>
          </w:tcPr>
          <w:p w14:paraId="7C3F331E"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Measure</w:t>
            </w:r>
          </w:p>
        </w:tc>
        <w:tc>
          <w:tcPr>
            <w:tcW w:w="1935" w:type="dxa"/>
            <w:tcBorders>
              <w:top w:val="single" w:sz="4" w:space="0" w:color="000000"/>
              <w:left w:val="single" w:sz="4" w:space="0" w:color="000000"/>
              <w:bottom w:val="single" w:sz="4" w:space="0" w:color="000000"/>
              <w:right w:val="single" w:sz="4" w:space="0" w:color="000000"/>
            </w:tcBorders>
          </w:tcPr>
          <w:p w14:paraId="1F990428"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How</w:t>
            </w:r>
          </w:p>
        </w:tc>
        <w:tc>
          <w:tcPr>
            <w:tcW w:w="1935" w:type="dxa"/>
            <w:tcBorders>
              <w:top w:val="single" w:sz="4" w:space="0" w:color="000000"/>
              <w:left w:val="single" w:sz="4" w:space="0" w:color="000000"/>
              <w:bottom w:val="single" w:sz="4" w:space="0" w:color="000000"/>
              <w:right w:val="single" w:sz="4" w:space="0" w:color="000000"/>
            </w:tcBorders>
          </w:tcPr>
          <w:p w14:paraId="4C41288E"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Success criteria</w:t>
            </w:r>
          </w:p>
        </w:tc>
        <w:tc>
          <w:tcPr>
            <w:tcW w:w="1935" w:type="dxa"/>
            <w:tcBorders>
              <w:top w:val="single" w:sz="4" w:space="0" w:color="000000"/>
              <w:left w:val="single" w:sz="4" w:space="0" w:color="000000"/>
              <w:bottom w:val="single" w:sz="4" w:space="0" w:color="000000"/>
              <w:right w:val="single" w:sz="4" w:space="0" w:color="000000"/>
            </w:tcBorders>
          </w:tcPr>
          <w:p w14:paraId="7ABDA800"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Current status</w:t>
            </w:r>
          </w:p>
        </w:tc>
      </w:tr>
      <w:tr w:rsidR="00FE41A1" w14:paraId="548423B7" w14:textId="77777777" w:rsidTr="00FE41A1">
        <w:tc>
          <w:tcPr>
            <w:tcW w:w="1935" w:type="dxa"/>
            <w:tcBorders>
              <w:top w:val="single" w:sz="4" w:space="0" w:color="000000"/>
              <w:left w:val="single" w:sz="4" w:space="0" w:color="000000"/>
              <w:bottom w:val="single" w:sz="4" w:space="0" w:color="000000"/>
              <w:right w:val="single" w:sz="4" w:space="0" w:color="000000"/>
            </w:tcBorders>
          </w:tcPr>
          <w:p w14:paraId="14ED309C" w14:textId="77777777" w:rsidR="00FE41A1" w:rsidRDefault="00C20FEB">
            <w:pPr>
              <w:spacing w:before="36" w:after="36"/>
              <w:rPr>
                <w:rFonts w:ascii="Cambria" w:eastAsia="Cambria" w:hAnsi="Cambria" w:cs="Cambria"/>
                <w:sz w:val="24"/>
                <w:szCs w:val="24"/>
              </w:rPr>
            </w:pPr>
            <w:r>
              <w:rPr>
                <w:rFonts w:ascii="Cambria" w:eastAsia="Cambria" w:hAnsi="Cambria" w:cs="Cambria"/>
                <w:b/>
                <w:bCs/>
                <w:sz w:val="24"/>
                <w:szCs w:val="24"/>
              </w:rPr>
              <w:t>Queue control</w:t>
            </w:r>
          </w:p>
        </w:tc>
        <w:tc>
          <w:tcPr>
            <w:tcW w:w="1935" w:type="dxa"/>
            <w:tcBorders>
              <w:top w:val="single" w:sz="4" w:space="0" w:color="000000"/>
              <w:left w:val="single" w:sz="4" w:space="0" w:color="000000"/>
              <w:bottom w:val="single" w:sz="4" w:space="0" w:color="000000"/>
              <w:right w:val="single" w:sz="4" w:space="0" w:color="000000"/>
            </w:tcBorders>
          </w:tcPr>
          <w:p w14:paraId="6A6E9EBF"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Weekly queue size, call tasks per day, manual-review count</w:t>
            </w:r>
          </w:p>
        </w:tc>
        <w:tc>
          <w:tcPr>
            <w:tcW w:w="1935" w:type="dxa"/>
            <w:tcBorders>
              <w:top w:val="single" w:sz="4" w:space="0" w:color="000000"/>
              <w:left w:val="single" w:sz="4" w:space="0" w:color="000000"/>
              <w:bottom w:val="single" w:sz="4" w:space="0" w:color="000000"/>
              <w:right w:val="single" w:sz="4" w:space="0" w:color="000000"/>
            </w:tcBorders>
          </w:tcPr>
          <w:p w14:paraId="30CCE991"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Action schedule and intervention log</w:t>
            </w:r>
          </w:p>
        </w:tc>
        <w:tc>
          <w:tcPr>
            <w:tcW w:w="1935" w:type="dxa"/>
            <w:tcBorders>
              <w:top w:val="single" w:sz="4" w:space="0" w:color="000000"/>
              <w:left w:val="single" w:sz="4" w:space="0" w:color="000000"/>
              <w:bottom w:val="single" w:sz="4" w:space="0" w:color="000000"/>
              <w:right w:val="single" w:sz="4" w:space="0" w:color="000000"/>
            </w:tcBorders>
          </w:tcPr>
          <w:p w14:paraId="402933E5"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Calls ≤ 20/day; manual review rare</w:t>
            </w:r>
          </w:p>
        </w:tc>
        <w:tc>
          <w:tcPr>
            <w:tcW w:w="1935" w:type="dxa"/>
            <w:tcBorders>
              <w:top w:val="single" w:sz="4" w:space="0" w:color="000000"/>
              <w:left w:val="single" w:sz="4" w:space="0" w:color="000000"/>
              <w:bottom w:val="single" w:sz="4" w:space="0" w:color="000000"/>
              <w:right w:val="single" w:sz="4" w:space="0" w:color="000000"/>
            </w:tcBorders>
          </w:tcPr>
          <w:p w14:paraId="07B8B854"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Max 20/day; 17 tasks to review in 2017</w:t>
            </w:r>
          </w:p>
        </w:tc>
      </w:tr>
      <w:tr w:rsidR="00FE41A1" w14:paraId="56754770" w14:textId="77777777" w:rsidTr="00FE41A1">
        <w:tc>
          <w:tcPr>
            <w:tcW w:w="1935" w:type="dxa"/>
            <w:tcBorders>
              <w:top w:val="single" w:sz="4" w:space="0" w:color="000000"/>
              <w:left w:val="single" w:sz="4" w:space="0" w:color="000000"/>
              <w:bottom w:val="single" w:sz="4" w:space="0" w:color="000000"/>
              <w:right w:val="single" w:sz="4" w:space="0" w:color="000000"/>
            </w:tcBorders>
          </w:tcPr>
          <w:p w14:paraId="6C5AFBF8" w14:textId="77777777" w:rsidR="00FE41A1" w:rsidRDefault="00C20FEB">
            <w:pPr>
              <w:spacing w:before="36" w:after="36"/>
              <w:rPr>
                <w:rFonts w:ascii="Cambria" w:eastAsia="Cambria" w:hAnsi="Cambria" w:cs="Cambria"/>
                <w:sz w:val="24"/>
                <w:szCs w:val="24"/>
              </w:rPr>
            </w:pPr>
            <w:r>
              <w:rPr>
                <w:rFonts w:ascii="Cambria" w:eastAsia="Cambria" w:hAnsi="Cambria" w:cs="Cambria"/>
                <w:b/>
                <w:bCs/>
                <w:sz w:val="24"/>
                <w:szCs w:val="24"/>
              </w:rPr>
              <w:t>Targeting quality</w:t>
            </w:r>
          </w:p>
        </w:tc>
        <w:tc>
          <w:tcPr>
            <w:tcW w:w="1935" w:type="dxa"/>
            <w:tcBorders>
              <w:top w:val="single" w:sz="4" w:space="0" w:color="000000"/>
              <w:left w:val="single" w:sz="4" w:space="0" w:color="000000"/>
              <w:bottom w:val="single" w:sz="4" w:space="0" w:color="000000"/>
              <w:right w:val="single" w:sz="4" w:space="0" w:color="000000"/>
            </w:tcBorders>
          </w:tcPr>
          <w:p w14:paraId="798146C9"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Cancellation rate and value share in contacted tiers</w:t>
            </w:r>
          </w:p>
        </w:tc>
        <w:tc>
          <w:tcPr>
            <w:tcW w:w="1935" w:type="dxa"/>
            <w:tcBorders>
              <w:top w:val="single" w:sz="4" w:space="0" w:color="000000"/>
              <w:left w:val="single" w:sz="4" w:space="0" w:color="000000"/>
              <w:bottom w:val="single" w:sz="4" w:space="0" w:color="000000"/>
              <w:right w:val="single" w:sz="4" w:space="0" w:color="000000"/>
            </w:tcBorders>
          </w:tcPr>
          <w:p w14:paraId="6F858A39"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Same weekly queue as Method 1</w:t>
            </w:r>
          </w:p>
        </w:tc>
        <w:tc>
          <w:tcPr>
            <w:tcW w:w="1935" w:type="dxa"/>
            <w:tcBorders>
              <w:top w:val="single" w:sz="4" w:space="0" w:color="000000"/>
              <w:left w:val="single" w:sz="4" w:space="0" w:color="000000"/>
              <w:bottom w:val="single" w:sz="4" w:space="0" w:color="000000"/>
              <w:right w:val="single" w:sz="4" w:space="0" w:color="000000"/>
            </w:tcBorders>
          </w:tcPr>
          <w:p w14:paraId="71149AA0"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Lift &gt; 1; model ≥ rule</w:t>
            </w:r>
          </w:p>
        </w:tc>
        <w:tc>
          <w:tcPr>
            <w:tcW w:w="1935" w:type="dxa"/>
            <w:tcBorders>
              <w:top w:val="single" w:sz="4" w:space="0" w:color="000000"/>
              <w:left w:val="single" w:sz="4" w:space="0" w:color="000000"/>
              <w:bottom w:val="single" w:sz="4" w:space="0" w:color="000000"/>
              <w:right w:val="single" w:sz="4" w:space="0" w:color="000000"/>
            </w:tcBorders>
          </w:tcPr>
          <w:p w14:paraId="3E7CD7F2"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Call tier: 38.3% cancelled vs. 24.0% in the queue (lift 1.60), 44.8% of cancelled value; call + reminder tiers: 87.4% of cancelled value. Model top 20%: precision 41.1% (rule 35.3%)</w:t>
            </w:r>
          </w:p>
        </w:tc>
      </w:tr>
      <w:tr w:rsidR="00FE41A1" w14:paraId="62D6D191" w14:textId="77777777" w:rsidTr="00FE41A1">
        <w:tc>
          <w:tcPr>
            <w:tcW w:w="1935" w:type="dxa"/>
            <w:tcBorders>
              <w:top w:val="single" w:sz="4" w:space="0" w:color="000000"/>
              <w:left w:val="single" w:sz="4" w:space="0" w:color="000000"/>
              <w:bottom w:val="single" w:sz="4" w:space="0" w:color="000000"/>
              <w:right w:val="single" w:sz="4" w:space="0" w:color="000000"/>
            </w:tcBorders>
          </w:tcPr>
          <w:p w14:paraId="6C427C6F" w14:textId="77777777" w:rsidR="00FE41A1" w:rsidRDefault="00C20FEB">
            <w:pPr>
              <w:spacing w:before="36" w:after="36"/>
              <w:rPr>
                <w:rFonts w:ascii="Cambria" w:eastAsia="Cambria" w:hAnsi="Cambria" w:cs="Cambria"/>
                <w:sz w:val="24"/>
                <w:szCs w:val="24"/>
              </w:rPr>
            </w:pPr>
            <w:r>
              <w:rPr>
                <w:rFonts w:ascii="Cambria" w:eastAsia="Cambria" w:hAnsi="Cambria" w:cs="Cambria"/>
                <w:b/>
                <w:bCs/>
                <w:sz w:val="24"/>
                <w:szCs w:val="24"/>
              </w:rPr>
              <w:t>Business value</w:t>
            </w:r>
          </w:p>
        </w:tc>
        <w:tc>
          <w:tcPr>
            <w:tcW w:w="1935" w:type="dxa"/>
            <w:tcBorders>
              <w:top w:val="single" w:sz="4" w:space="0" w:color="000000"/>
              <w:left w:val="single" w:sz="4" w:space="0" w:color="000000"/>
              <w:bottom w:val="single" w:sz="4" w:space="0" w:color="000000"/>
              <w:right w:val="single" w:sz="4" w:space="0" w:color="000000"/>
            </w:tcBorders>
          </w:tcPr>
          <w:p w14:paraId="4DACABFA"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Net benefit, ROI, payback, break-even uplift</w:t>
            </w:r>
          </w:p>
        </w:tc>
        <w:tc>
          <w:tcPr>
            <w:tcW w:w="1935" w:type="dxa"/>
            <w:tcBorders>
              <w:top w:val="single" w:sz="4" w:space="0" w:color="000000"/>
              <w:left w:val="single" w:sz="4" w:space="0" w:color="000000"/>
              <w:bottom w:val="single" w:sz="4" w:space="0" w:color="000000"/>
              <w:right w:val="single" w:sz="4" w:space="0" w:color="000000"/>
            </w:tcBorders>
          </w:tcPr>
          <w:p w14:paraId="744E872F"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Scenario model with one-way sensitivity</w:t>
            </w:r>
          </w:p>
        </w:tc>
        <w:tc>
          <w:tcPr>
            <w:tcW w:w="1935" w:type="dxa"/>
            <w:tcBorders>
              <w:top w:val="single" w:sz="4" w:space="0" w:color="000000"/>
              <w:left w:val="single" w:sz="4" w:space="0" w:color="000000"/>
              <w:bottom w:val="single" w:sz="4" w:space="0" w:color="000000"/>
              <w:right w:val="single" w:sz="4" w:space="0" w:color="000000"/>
            </w:tcBorders>
          </w:tcPr>
          <w:p w14:paraId="03A50F76"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Positive net under stated assumptions</w:t>
            </w:r>
          </w:p>
        </w:tc>
        <w:tc>
          <w:tcPr>
            <w:tcW w:w="1935" w:type="dxa"/>
            <w:tcBorders>
              <w:top w:val="single" w:sz="4" w:space="0" w:color="000000"/>
              <w:left w:val="single" w:sz="4" w:space="0" w:color="000000"/>
              <w:bottom w:val="single" w:sz="4" w:space="0" w:color="000000"/>
              <w:right w:val="single" w:sz="4" w:space="0" w:color="000000"/>
            </w:tcBorders>
          </w:tcPr>
          <w:p w14:paraId="6E4EDF3B"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S4 EUR 30.4k/year; ROI 173%; payback 6.9 months</w:t>
            </w:r>
          </w:p>
        </w:tc>
      </w:tr>
      <w:tr w:rsidR="00FE41A1" w14:paraId="431F854A" w14:textId="77777777" w:rsidTr="00FE41A1">
        <w:tc>
          <w:tcPr>
            <w:tcW w:w="1935" w:type="dxa"/>
            <w:tcBorders>
              <w:top w:val="single" w:sz="4" w:space="0" w:color="000000"/>
              <w:left w:val="single" w:sz="4" w:space="0" w:color="000000"/>
              <w:bottom w:val="single" w:sz="4" w:space="0" w:color="000000"/>
              <w:right w:val="single" w:sz="4" w:space="0" w:color="000000"/>
            </w:tcBorders>
          </w:tcPr>
          <w:p w14:paraId="6632A0AF" w14:textId="77777777" w:rsidR="00FE41A1" w:rsidRDefault="00C20FEB">
            <w:pPr>
              <w:spacing w:before="36" w:after="36"/>
              <w:rPr>
                <w:rFonts w:ascii="Cambria" w:eastAsia="Cambria" w:hAnsi="Cambria" w:cs="Cambria"/>
                <w:sz w:val="24"/>
                <w:szCs w:val="24"/>
              </w:rPr>
            </w:pPr>
            <w:r>
              <w:rPr>
                <w:rFonts w:ascii="Cambria" w:eastAsia="Cambria" w:hAnsi="Cambria" w:cs="Cambria"/>
                <w:b/>
                <w:bCs/>
                <w:sz w:val="24"/>
                <w:szCs w:val="24"/>
              </w:rPr>
              <w:t>Causal effect</w:t>
            </w:r>
          </w:p>
        </w:tc>
        <w:tc>
          <w:tcPr>
            <w:tcW w:w="1935" w:type="dxa"/>
            <w:tcBorders>
              <w:top w:val="single" w:sz="4" w:space="0" w:color="000000"/>
              <w:left w:val="single" w:sz="4" w:space="0" w:color="000000"/>
              <w:bottom w:val="single" w:sz="4" w:space="0" w:color="000000"/>
              <w:right w:val="single" w:sz="4" w:space="0" w:color="000000"/>
            </w:tcBorders>
          </w:tcPr>
          <w:p w14:paraId="3F4B40D3"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Stay rate and contribution, treatment vs holdout</w:t>
            </w:r>
          </w:p>
        </w:tc>
        <w:tc>
          <w:tcPr>
            <w:tcW w:w="1935" w:type="dxa"/>
            <w:tcBorders>
              <w:top w:val="single" w:sz="4" w:space="0" w:color="000000"/>
              <w:left w:val="single" w:sz="4" w:space="0" w:color="000000"/>
              <w:bottom w:val="single" w:sz="4" w:space="0" w:color="000000"/>
              <w:right w:val="single" w:sz="4" w:space="0" w:color="000000"/>
            </w:tcBorders>
          </w:tcPr>
          <w:p w14:paraId="4502C408"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Randomised pilot: assign bookings to treatment or holdout before any contact, stratified by tier; analyse by assigned arm</w:t>
            </w:r>
          </w:p>
        </w:tc>
        <w:tc>
          <w:tcPr>
            <w:tcW w:w="1935" w:type="dxa"/>
            <w:tcBorders>
              <w:top w:val="single" w:sz="4" w:space="0" w:color="000000"/>
              <w:left w:val="single" w:sz="4" w:space="0" w:color="000000"/>
              <w:bottom w:val="single" w:sz="4" w:space="0" w:color="000000"/>
              <w:right w:val="single" w:sz="4" w:space="0" w:color="000000"/>
            </w:tcBorders>
          </w:tcPr>
          <w:p w14:paraId="16273788"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Lower cancellation in treatment, with confidence interval</w:t>
            </w:r>
          </w:p>
        </w:tc>
        <w:tc>
          <w:tcPr>
            <w:tcW w:w="1935" w:type="dxa"/>
            <w:tcBorders>
              <w:top w:val="single" w:sz="4" w:space="0" w:color="000000"/>
              <w:left w:val="single" w:sz="4" w:space="0" w:color="000000"/>
              <w:bottom w:val="single" w:sz="4" w:space="0" w:color="000000"/>
              <w:right w:val="single" w:sz="4" w:space="0" w:color="000000"/>
            </w:tcBorders>
          </w:tcPr>
          <w:p w14:paraId="798A20F6"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Not yet available</w:t>
            </w:r>
          </w:p>
        </w:tc>
      </w:tr>
      <w:tr w:rsidR="00FE41A1" w14:paraId="7AECC14C" w14:textId="77777777" w:rsidTr="00FE41A1">
        <w:tc>
          <w:tcPr>
            <w:tcW w:w="1935" w:type="dxa"/>
            <w:tcBorders>
              <w:top w:val="single" w:sz="4" w:space="0" w:color="000000"/>
              <w:left w:val="single" w:sz="4" w:space="0" w:color="000000"/>
              <w:bottom w:val="single" w:sz="4" w:space="0" w:color="000000"/>
              <w:right w:val="single" w:sz="4" w:space="0" w:color="000000"/>
            </w:tcBorders>
          </w:tcPr>
          <w:p w14:paraId="2B492E8B" w14:textId="77777777" w:rsidR="00FE41A1" w:rsidRDefault="00C20FEB">
            <w:pPr>
              <w:spacing w:before="36" w:after="36"/>
              <w:rPr>
                <w:rFonts w:ascii="Cambria" w:eastAsia="Cambria" w:hAnsi="Cambria" w:cs="Cambria"/>
                <w:sz w:val="24"/>
                <w:szCs w:val="24"/>
              </w:rPr>
            </w:pPr>
            <w:r>
              <w:rPr>
                <w:rFonts w:ascii="Cambria" w:eastAsia="Cambria" w:hAnsi="Cambria" w:cs="Cambria"/>
                <w:b/>
                <w:bCs/>
                <w:sz w:val="24"/>
                <w:szCs w:val="24"/>
              </w:rPr>
              <w:t>Guest experience</w:t>
            </w:r>
          </w:p>
        </w:tc>
        <w:tc>
          <w:tcPr>
            <w:tcW w:w="1935" w:type="dxa"/>
            <w:tcBorders>
              <w:top w:val="single" w:sz="4" w:space="0" w:color="000000"/>
              <w:left w:val="single" w:sz="4" w:space="0" w:color="000000"/>
              <w:bottom w:val="single" w:sz="4" w:space="0" w:color="000000"/>
              <w:right w:val="single" w:sz="4" w:space="0" w:color="000000"/>
            </w:tcBorders>
          </w:tcPr>
          <w:p w14:paraId="318B48FD"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Opt-outs, complaints, cancellations right after a reminder (backfire)</w:t>
            </w:r>
          </w:p>
        </w:tc>
        <w:tc>
          <w:tcPr>
            <w:tcW w:w="1935" w:type="dxa"/>
            <w:tcBorders>
              <w:top w:val="single" w:sz="4" w:space="0" w:color="000000"/>
              <w:left w:val="single" w:sz="4" w:space="0" w:color="000000"/>
              <w:bottom w:val="single" w:sz="4" w:space="0" w:color="000000"/>
              <w:right w:val="single" w:sz="4" w:space="0" w:color="000000"/>
            </w:tcBorders>
          </w:tcPr>
          <w:p w14:paraId="477BD81E"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CX monitoring by arm</w:t>
            </w:r>
          </w:p>
        </w:tc>
        <w:tc>
          <w:tcPr>
            <w:tcW w:w="1935" w:type="dxa"/>
            <w:tcBorders>
              <w:top w:val="single" w:sz="4" w:space="0" w:color="000000"/>
              <w:left w:val="single" w:sz="4" w:space="0" w:color="000000"/>
              <w:bottom w:val="single" w:sz="4" w:space="0" w:color="000000"/>
              <w:right w:val="single" w:sz="4" w:space="0" w:color="000000"/>
            </w:tcBorders>
          </w:tcPr>
          <w:p w14:paraId="751ED84D"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No deterioration vs holdout</w:t>
            </w:r>
          </w:p>
        </w:tc>
        <w:tc>
          <w:tcPr>
            <w:tcW w:w="1935" w:type="dxa"/>
            <w:tcBorders>
              <w:top w:val="single" w:sz="4" w:space="0" w:color="000000"/>
              <w:left w:val="single" w:sz="4" w:space="0" w:color="000000"/>
              <w:bottom w:val="single" w:sz="4" w:space="0" w:color="000000"/>
              <w:right w:val="single" w:sz="4" w:space="0" w:color="000000"/>
            </w:tcBorders>
          </w:tcPr>
          <w:p w14:paraId="3B5D0745" w14:textId="77777777" w:rsidR="00FE41A1" w:rsidRDefault="00C20FEB">
            <w:pPr>
              <w:spacing w:before="36" w:after="36"/>
              <w:rPr>
                <w:rFonts w:ascii="Cambria" w:eastAsia="Cambria" w:hAnsi="Cambria" w:cs="Cambria"/>
                <w:sz w:val="24"/>
                <w:szCs w:val="24"/>
              </w:rPr>
            </w:pPr>
            <w:r>
              <w:rPr>
                <w:rFonts w:ascii="Cambria" w:eastAsia="Cambria" w:hAnsi="Cambria" w:cs="Cambria"/>
                <w:sz w:val="24"/>
                <w:szCs w:val="24"/>
              </w:rPr>
              <w:t>Not yet available</w:t>
            </w:r>
          </w:p>
        </w:tc>
      </w:tr>
    </w:tbl>
    <w:p w14:paraId="67C07BA4" w14:textId="77777777" w:rsidR="00FE41A1" w:rsidRDefault="00C20FEB">
      <w:pPr>
        <w:spacing w:before="180" w:after="180"/>
        <w:rPr>
          <w:rFonts w:ascii="Cambria" w:eastAsia="Cambria" w:hAnsi="Cambria" w:cs="Cambria"/>
          <w:sz w:val="24"/>
          <w:szCs w:val="24"/>
        </w:rPr>
      </w:pPr>
      <w:r>
        <w:rPr>
          <w:rFonts w:ascii="Cambria" w:eastAsia="Cambria" w:hAnsi="Cambria" w:cs="Cambria"/>
          <w:b/>
          <w:bCs/>
          <w:sz w:val="24"/>
          <w:szCs w:val="24"/>
        </w:rPr>
        <w:lastRenderedPageBreak/>
        <w:t>Pilot sizing:</w:t>
      </w:r>
      <w:r>
        <w:rPr>
          <w:rFonts w:ascii="Cambria" w:eastAsia="Cambria" w:hAnsi="Cambria" w:cs="Cambria"/>
          <w:sz w:val="24"/>
          <w:szCs w:val="24"/>
        </w:rPr>
        <w:t xml:space="preserve"> at one hotel, a one-year pilot can detect a reduction of about 5 percentage points in the call tier, while the assumed call effect is about 3.5 points. The pilot should therefore be read as a </w:t>
      </w:r>
      <w:r>
        <w:rPr>
          <w:rFonts w:ascii="Cambria" w:eastAsia="Cambria" w:hAnsi="Cambria" w:cs="Cambria"/>
          <w:b/>
          <w:bCs/>
          <w:sz w:val="24"/>
          <w:szCs w:val="24"/>
        </w:rPr>
        <w:t>stop / redesign / scale</w:t>
      </w:r>
      <w:r>
        <w:rPr>
          <w:rFonts w:ascii="Cambria" w:eastAsia="Cambria" w:hAnsi="Cambria" w:cs="Cambria"/>
          <w:sz w:val="24"/>
          <w:szCs w:val="24"/>
        </w:rPr>
        <w:t xml:space="preserve"> decision with CX guard-rails, or pooled across more properties, rather than as proof of a precise effect.</w:t>
      </w:r>
    </w:p>
    <w:p w14:paraId="5E54264E" w14:textId="77777777" w:rsidR="00FE41A1" w:rsidRDefault="00C20FEB">
      <w:pPr>
        <w:spacing w:before="180" w:after="180"/>
        <w:rPr>
          <w:rFonts w:ascii="Cambria" w:eastAsia="Cambria" w:hAnsi="Cambria" w:cs="Cambria"/>
          <w:sz w:val="24"/>
          <w:szCs w:val="24"/>
        </w:rPr>
      </w:pPr>
      <w:r>
        <w:rPr>
          <w:rFonts w:ascii="Cambria" w:eastAsia="Cambria" w:hAnsi="Cambria" w:cs="Cambria"/>
          <w:b/>
          <w:bCs/>
          <w:sz w:val="24"/>
          <w:szCs w:val="24"/>
        </w:rPr>
        <w:t>Limitations:</w:t>
      </w:r>
    </w:p>
    <w:p w14:paraId="5D4E7578" w14:textId="77777777" w:rsidR="00FE41A1" w:rsidRDefault="00C20FEB">
      <w:pPr>
        <w:numPr>
          <w:ilvl w:val="0"/>
          <w:numId w:val="2"/>
        </w:numPr>
        <w:spacing w:before="36" w:after="36"/>
        <w:rPr>
          <w:rFonts w:ascii="Cambria" w:eastAsia="Cambria" w:hAnsi="Cambria" w:cs="Cambria"/>
          <w:sz w:val="24"/>
          <w:szCs w:val="24"/>
        </w:rPr>
      </w:pPr>
      <w:r>
        <w:rPr>
          <w:rFonts w:ascii="Cambria" w:eastAsia="Cambria" w:hAnsi="Cambria" w:cs="Cambria"/>
          <w:sz w:val="24"/>
          <w:szCs w:val="24"/>
        </w:rPr>
        <w:t>Uplift, backfire, cost and resale values are assumptions or simulated data. Results show the logic and its sensitivity, not a measured return.</w:t>
      </w:r>
    </w:p>
    <w:p w14:paraId="25FD7574" w14:textId="77777777" w:rsidR="00FE41A1" w:rsidRDefault="00C20FEB">
      <w:pPr>
        <w:numPr>
          <w:ilvl w:val="0"/>
          <w:numId w:val="2"/>
        </w:numPr>
        <w:spacing w:before="36" w:after="36"/>
        <w:rPr>
          <w:rFonts w:ascii="Cambria" w:eastAsia="Cambria" w:hAnsi="Cambria" w:cs="Cambria"/>
          <w:sz w:val="24"/>
          <w:szCs w:val="24"/>
        </w:rPr>
      </w:pPr>
      <w:r>
        <w:rPr>
          <w:rFonts w:ascii="Cambria" w:eastAsia="Cambria" w:hAnsi="Cambria" w:cs="Cambria"/>
          <w:sz w:val="24"/>
          <w:szCs w:val="24"/>
        </w:rPr>
        <w:t>The policy was chosen with a historical model selected on 2015 data and refitted before each 2016 decision, then applied to the final Method 1 model; the pilot must confirm that it transfers.</w:t>
      </w:r>
    </w:p>
    <w:p w14:paraId="078FBC75" w14:textId="77777777" w:rsidR="00FE41A1" w:rsidRDefault="00C20FEB">
      <w:pPr>
        <w:numPr>
          <w:ilvl w:val="0"/>
          <w:numId w:val="2"/>
        </w:numPr>
        <w:spacing w:before="36" w:after="36"/>
        <w:rPr>
          <w:rFonts w:ascii="Cambria" w:eastAsia="Cambria" w:hAnsi="Cambria" w:cs="Cambria"/>
          <w:sz w:val="24"/>
          <w:szCs w:val="24"/>
        </w:rPr>
      </w:pPr>
      <w:r>
        <w:rPr>
          <w:rFonts w:ascii="Cambria" w:eastAsia="Cambria" w:hAnsi="Cambria" w:cs="Cambria"/>
          <w:sz w:val="24"/>
          <w:szCs w:val="24"/>
        </w:rPr>
        <w:t>About 4,600 bookings in the 2016 selection queue had no final outcome at the freeze date, so very long-lead bookings are under-represented in the policy choice.</w:t>
      </w:r>
    </w:p>
    <w:p w14:paraId="303D9BC3" w14:textId="77777777" w:rsidR="00FE41A1" w:rsidRDefault="00C20FEB">
      <w:pPr>
        <w:numPr>
          <w:ilvl w:val="0"/>
          <w:numId w:val="2"/>
        </w:numPr>
        <w:spacing w:before="36" w:after="36"/>
        <w:rPr>
          <w:rFonts w:ascii="Cambria" w:eastAsia="Cambria" w:hAnsi="Cambria" w:cs="Cambria"/>
          <w:sz w:val="24"/>
          <w:szCs w:val="24"/>
        </w:rPr>
      </w:pPr>
      <w:r>
        <w:rPr>
          <w:rFonts w:ascii="Cambria" w:eastAsia="Cambria" w:hAnsi="Cambria" w:cs="Cambria"/>
          <w:sz w:val="24"/>
          <w:szCs w:val="24"/>
        </w:rPr>
        <w:t>Snapshot features and the group-block proxy are inherited from Method 1, so the 2017 results are a retrospective prototype.</w:t>
      </w:r>
    </w:p>
    <w:p w14:paraId="468D57B7" w14:textId="77777777" w:rsidR="00FE41A1" w:rsidRDefault="00C20FEB">
      <w:pPr>
        <w:spacing w:before="180" w:after="180"/>
        <w:rPr>
          <w:rFonts w:ascii="Cambria" w:eastAsia="Cambria" w:hAnsi="Cambria" w:cs="Cambria"/>
          <w:sz w:val="24"/>
          <w:szCs w:val="24"/>
        </w:rPr>
      </w:pPr>
      <w:r>
        <w:rPr>
          <w:rFonts w:ascii="Cambria" w:eastAsia="Cambria" w:hAnsi="Cambria" w:cs="Cambria"/>
          <w:b/>
          <w:bCs/>
          <w:sz w:val="24"/>
          <w:szCs w:val="24"/>
        </w:rPr>
        <w:t>Output to the system (Tools):</w:t>
      </w:r>
      <w:r>
        <w:rPr>
          <w:rFonts w:ascii="Cambria" w:eastAsia="Cambria" w:hAnsi="Cambria" w:cs="Cambria"/>
          <w:sz w:val="24"/>
          <w:szCs w:val="24"/>
        </w:rPr>
        <w:t xml:space="preserve"> a weekly action queue and a dated action schedule per booking (booking ID, risk score, tier, rule, action, planned date, approval need), with the 17 call tasks that found no slot flagged for manual review. In production n8n runs the automatic actions; in the prototype a demo n8n workflow checks and logs them without contacting anyone. Actions that need approval wait for the Revenue Manager.</w:t>
      </w:r>
    </w:p>
    <w:p w14:paraId="376AD315" w14:textId="77777777" w:rsidR="00FE41A1" w:rsidRDefault="00FE41A1">
      <w:pPr>
        <w:jc w:val="both"/>
        <w:rPr>
          <w:rFonts w:ascii="Times New Roman" w:eastAsia="Times New Roman" w:hAnsi="Times New Roman" w:cs="Times New Roman"/>
          <w:sz w:val="24"/>
          <w:szCs w:val="24"/>
        </w:rPr>
      </w:pPr>
    </w:p>
    <w:p w14:paraId="1830B109" w14:textId="77777777" w:rsidR="00FE41A1" w:rsidRDefault="00C20FEB">
      <w:pPr>
        <w:pStyle w:val="Heading1"/>
        <w:jc w:val="center"/>
      </w:pPr>
      <w:bookmarkStart w:id="35" w:name="_Toc243432509"/>
      <w:r>
        <w:t>REFERENCES</w:t>
      </w:r>
      <w:bookmarkEnd w:id="35"/>
    </w:p>
    <w:p w14:paraId="1F046908" w14:textId="77777777" w:rsidR="00FE41A1" w:rsidRDefault="00FE41A1">
      <w:pPr>
        <w:rPr>
          <w:rFonts w:ascii="Times New Roman" w:eastAsia="Times New Roman" w:hAnsi="Times New Roman" w:cs="Times New Roman"/>
          <w:sz w:val="24"/>
          <w:szCs w:val="24"/>
        </w:rPr>
      </w:pPr>
    </w:p>
    <w:p w14:paraId="073E2BAE"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Antonio, N., de Almeida, A., &amp; Nunes, L. (2017). Predicting hotel booking cancellations to decrease uncertainty and increase revenue. Tourism &amp; Management Studies, 13(2), 25–39. https://doi.org/10.18089/tms.2017.13203</w:t>
      </w:r>
    </w:p>
    <w:p w14:paraId="771E6888" w14:textId="77777777" w:rsidR="00FE41A1" w:rsidRDefault="00FE41A1">
      <w:pPr>
        <w:jc w:val="both"/>
        <w:rPr>
          <w:rFonts w:ascii="Times New Roman" w:eastAsia="Times New Roman" w:hAnsi="Times New Roman" w:cs="Times New Roman"/>
          <w:sz w:val="24"/>
          <w:szCs w:val="24"/>
        </w:rPr>
      </w:pPr>
    </w:p>
    <w:p w14:paraId="649D1DB1"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Antonio, N., de Almeida, A., &amp; Nunes, L. (2019a). Big data in hotel revenue management: Exploring cancellation drivers to gain insights into booking cancellation behavior. Cornell Hospitality Quarterly, 60(4), 298–319. https://doi.org/10.1177/1938965519851466</w:t>
      </w:r>
    </w:p>
    <w:p w14:paraId="7A890BE7" w14:textId="77777777" w:rsidR="00FE41A1" w:rsidRDefault="00FE41A1">
      <w:pPr>
        <w:jc w:val="both"/>
        <w:rPr>
          <w:rFonts w:ascii="Times New Roman" w:eastAsia="Times New Roman" w:hAnsi="Times New Roman" w:cs="Times New Roman"/>
          <w:sz w:val="24"/>
          <w:szCs w:val="24"/>
        </w:rPr>
      </w:pPr>
    </w:p>
    <w:p w14:paraId="769A9FBD"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Antonio, N., de Almeida, A., &amp; Nunes, L. (2019b). Hotel booking demand datasets. Data in Brief, 22, 41–49. </w:t>
      </w:r>
      <w:hyperlink r:id="rId15">
        <w:r>
          <w:rPr>
            <w:rFonts w:ascii="Times New Roman" w:eastAsia="Times New Roman" w:hAnsi="Times New Roman" w:cs="Times New Roman"/>
            <w:color w:val="1155CC"/>
            <w:sz w:val="24"/>
            <w:szCs w:val="24"/>
            <w:u w:val="single"/>
          </w:rPr>
          <w:t>https://doi.org/10.1016/j.dib.2018.11.126</w:t>
        </w:r>
      </w:hyperlink>
    </w:p>
    <w:p w14:paraId="24EF1B8F" w14:textId="77777777" w:rsidR="00FE41A1" w:rsidRDefault="00C20FEB">
      <w:pPr>
        <w:spacing w:before="180" w:after="180"/>
        <w:rPr>
          <w:rFonts w:ascii="Times New Roman" w:eastAsia="Times New Roman" w:hAnsi="Times New Roman" w:cs="Times New Roman"/>
          <w:sz w:val="24"/>
          <w:szCs w:val="24"/>
        </w:rPr>
      </w:pPr>
      <w:r>
        <w:rPr>
          <w:rFonts w:ascii="Cambria" w:eastAsia="Cambria" w:hAnsi="Cambria" w:cs="Cambria"/>
          <w:sz w:val="24"/>
          <w:szCs w:val="24"/>
        </w:rPr>
        <w:t xml:space="preserve">Ascarza, E. (2018). Retention futility: Targeting high-risk customers might be ineffective. </w:t>
      </w:r>
      <w:r>
        <w:rPr>
          <w:rFonts w:ascii="Cambria" w:eastAsia="Cambria" w:hAnsi="Cambria" w:cs="Cambria"/>
          <w:i/>
          <w:iCs/>
          <w:sz w:val="24"/>
          <w:szCs w:val="24"/>
        </w:rPr>
        <w:t>Journal of Marketing Research</w:t>
      </w:r>
      <w:r>
        <w:rPr>
          <w:rFonts w:ascii="Cambria" w:eastAsia="Cambria" w:hAnsi="Cambria" w:cs="Cambria"/>
          <w:sz w:val="24"/>
          <w:szCs w:val="24"/>
        </w:rPr>
        <w:t>, 55(1), 80–98. https://doi.org/10.1509/jmr.16.0163</w:t>
      </w:r>
    </w:p>
    <w:p w14:paraId="04010735" w14:textId="77777777" w:rsidR="00FE41A1" w:rsidRDefault="00FE41A1">
      <w:pPr>
        <w:jc w:val="both"/>
        <w:rPr>
          <w:rFonts w:ascii="Times New Roman" w:eastAsia="Times New Roman" w:hAnsi="Times New Roman" w:cs="Times New Roman"/>
          <w:sz w:val="24"/>
          <w:szCs w:val="24"/>
        </w:rPr>
      </w:pPr>
    </w:p>
    <w:p w14:paraId="367E2FF5"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Breiman, L. (2001). Random forests. Machine Learning, 45(1), 5–32. https://doi.org/10.1023/A:1010933404324</w:t>
      </w:r>
    </w:p>
    <w:p w14:paraId="22028A38" w14:textId="77777777" w:rsidR="00FE41A1" w:rsidRDefault="00FE41A1">
      <w:pPr>
        <w:jc w:val="both"/>
        <w:rPr>
          <w:rFonts w:ascii="Times New Roman" w:eastAsia="Times New Roman" w:hAnsi="Times New Roman" w:cs="Times New Roman"/>
          <w:sz w:val="24"/>
          <w:szCs w:val="24"/>
        </w:rPr>
      </w:pPr>
    </w:p>
    <w:p w14:paraId="567D535E"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 J. (2026). Machine learning-driven overbooking optimization under dynamic cancellation risk: Evidence from hotel revenue management. Computers &amp; Industrial Engineering. Advance online publication. https://doi.org/10.1016/j.cie.2026.112341</w:t>
      </w:r>
    </w:p>
    <w:p w14:paraId="20F432DD" w14:textId="77777777" w:rsidR="00FE41A1" w:rsidRDefault="00FE41A1">
      <w:pPr>
        <w:jc w:val="both"/>
        <w:rPr>
          <w:rFonts w:ascii="Times New Roman" w:eastAsia="Times New Roman" w:hAnsi="Times New Roman" w:cs="Times New Roman"/>
          <w:sz w:val="24"/>
          <w:szCs w:val="24"/>
        </w:rPr>
      </w:pPr>
    </w:p>
    <w:p w14:paraId="53500979"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Chen, T., &amp; Guestrin, C. (2016). XGBoost: A scalable tree boosting system. Proceedings of the 22nd ACM SIGKDD International Conference on Knowledge Discovery and Data Mining, 785–794. https://doi.org/10.1145/2939672.2939785</w:t>
      </w:r>
    </w:p>
    <w:p w14:paraId="408841D8" w14:textId="77777777" w:rsidR="00FE41A1" w:rsidRDefault="00FE41A1">
      <w:pPr>
        <w:jc w:val="both"/>
        <w:rPr>
          <w:rFonts w:ascii="Times New Roman" w:eastAsia="Times New Roman" w:hAnsi="Times New Roman" w:cs="Times New Roman"/>
          <w:sz w:val="24"/>
          <w:szCs w:val="24"/>
        </w:rPr>
      </w:pPr>
    </w:p>
    <w:p w14:paraId="4652E1F8"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Dong, Y., &amp; Ling, L. (2015). Hotel overbooking and cooperation with third-party websites. Sustainability, 7(9), 11696–11712. https://doi.org/10.3390/su70911696</w:t>
      </w:r>
    </w:p>
    <w:p w14:paraId="74B3D383" w14:textId="77777777" w:rsidR="00FE41A1" w:rsidRDefault="00FE41A1">
      <w:pPr>
        <w:jc w:val="both"/>
        <w:rPr>
          <w:rFonts w:ascii="Times New Roman" w:eastAsia="Times New Roman" w:hAnsi="Times New Roman" w:cs="Times New Roman"/>
          <w:sz w:val="24"/>
          <w:szCs w:val="24"/>
        </w:rPr>
      </w:pPr>
    </w:p>
    <w:p w14:paraId="31C6426D"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Falk, M., &amp; Vieru, M. (2018). Modelling the cancellation behaviour of hotel guests. International Journal of Contemporary Hospitality Management, 30(10), 3100–3116. https://doi.org/10.1108/IJCHM-08-2017-0509</w:t>
      </w:r>
    </w:p>
    <w:p w14:paraId="1DEF1090" w14:textId="77777777" w:rsidR="00FE41A1" w:rsidRDefault="00FE41A1">
      <w:pPr>
        <w:jc w:val="both"/>
        <w:rPr>
          <w:rFonts w:ascii="Times New Roman" w:eastAsia="Times New Roman" w:hAnsi="Times New Roman" w:cs="Times New Roman"/>
          <w:sz w:val="24"/>
          <w:szCs w:val="24"/>
        </w:rPr>
      </w:pPr>
    </w:p>
    <w:p w14:paraId="775B2A4B"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Friedman, J. H. (2001). Greedy function approximation: A gradient boosting machine. Annals of Statistics, 29(5), 1189–1232. https://doi.org/10.1214/aos/1013203451</w:t>
      </w:r>
    </w:p>
    <w:p w14:paraId="7F72721C" w14:textId="77777777" w:rsidR="00FE41A1" w:rsidRDefault="00FE41A1">
      <w:pPr>
        <w:jc w:val="both"/>
        <w:rPr>
          <w:rFonts w:ascii="Times New Roman" w:eastAsia="Times New Roman" w:hAnsi="Times New Roman" w:cs="Times New Roman"/>
          <w:sz w:val="24"/>
          <w:szCs w:val="24"/>
        </w:rPr>
      </w:pPr>
    </w:p>
    <w:p w14:paraId="6490878B" w14:textId="77777777" w:rsidR="00FE41A1" w:rsidRDefault="00C20FEB">
      <w:pPr>
        <w:jc w:val="both"/>
        <w:rPr>
          <w:rFonts w:ascii="Cambria" w:eastAsia="Cambria" w:hAnsi="Cambria" w:cs="Cambria"/>
          <w:sz w:val="24"/>
          <w:szCs w:val="24"/>
        </w:rPr>
      </w:pPr>
      <w:r>
        <w:rPr>
          <w:rFonts w:ascii="Cambria" w:eastAsia="Cambria" w:hAnsi="Cambria" w:cs="Cambria"/>
          <w:sz w:val="24"/>
          <w:szCs w:val="24"/>
        </w:rPr>
        <w:t xml:space="preserve">Gurol-Urganci, I., de Jongh, T., Vodopivec-Jamsek, V., Atun, R., &amp; Car, J. (2013). Mobile phone messaging reminders for attendance at healthcare appointments. </w:t>
      </w:r>
      <w:r>
        <w:rPr>
          <w:rFonts w:ascii="Cambria" w:eastAsia="Cambria" w:hAnsi="Cambria" w:cs="Cambria"/>
          <w:i/>
          <w:iCs/>
          <w:sz w:val="24"/>
          <w:szCs w:val="24"/>
        </w:rPr>
        <w:t>Cochrane Database of Systematic Reviews</w:t>
      </w:r>
      <w:r>
        <w:rPr>
          <w:rFonts w:ascii="Cambria" w:eastAsia="Cambria" w:hAnsi="Cambria" w:cs="Cambria"/>
          <w:sz w:val="24"/>
          <w:szCs w:val="24"/>
        </w:rPr>
        <w:t xml:space="preserve">, (12), CD007458. </w:t>
      </w:r>
      <w:hyperlink r:id="rId16">
        <w:r>
          <w:rPr>
            <w:rFonts w:ascii="Cambria" w:eastAsia="Cambria" w:hAnsi="Cambria" w:cs="Cambria"/>
            <w:color w:val="1155CC"/>
            <w:sz w:val="24"/>
            <w:szCs w:val="24"/>
            <w:u w:val="single"/>
          </w:rPr>
          <w:t>https://doi.org/10.1002/14651858.CD007458.pub3</w:t>
        </w:r>
      </w:hyperlink>
    </w:p>
    <w:p w14:paraId="17ACC494" w14:textId="77777777" w:rsidR="00FE41A1" w:rsidRDefault="00C20FEB">
      <w:pPr>
        <w:spacing w:before="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Hans-Böckler-Stiftung. (n.d.). WSI minimum wage database: Portugal. https://www.boeckler.de/pdf/ta_portugal_mwdb.pdf</w:t>
      </w:r>
    </w:p>
    <w:p w14:paraId="59FE1684" w14:textId="77777777" w:rsidR="00FE41A1" w:rsidRDefault="00FE41A1">
      <w:pPr>
        <w:jc w:val="both"/>
        <w:rPr>
          <w:rFonts w:ascii="Times New Roman" w:eastAsia="Times New Roman" w:hAnsi="Times New Roman" w:cs="Times New Roman"/>
          <w:sz w:val="24"/>
          <w:szCs w:val="24"/>
        </w:rPr>
      </w:pPr>
    </w:p>
    <w:p w14:paraId="03B29B00"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Hosmer, D. W., Lemeshow, S., &amp; Sturdivant, R. X. (2013). Applied logistic regression (3rd ed.). Wiley.</w:t>
      </w:r>
    </w:p>
    <w:p w14:paraId="75F108B1" w14:textId="77777777" w:rsidR="00FE41A1" w:rsidRDefault="00FE41A1">
      <w:pPr>
        <w:jc w:val="both"/>
        <w:rPr>
          <w:rFonts w:ascii="Times New Roman" w:eastAsia="Times New Roman" w:hAnsi="Times New Roman" w:cs="Times New Roman"/>
          <w:sz w:val="24"/>
          <w:szCs w:val="24"/>
        </w:rPr>
      </w:pPr>
    </w:p>
    <w:p w14:paraId="3AE76942"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Iberian Property. (n.d.). Lisbon, Porto and the Algarve attract more hotel investors [JLL data]. https://iberian.property/news/archive/lisbon-porto-and-the-algarve-attract-more-hotel-investors/</w:t>
      </w:r>
    </w:p>
    <w:p w14:paraId="5ABDE5A9" w14:textId="77777777" w:rsidR="00FE41A1" w:rsidRDefault="00FE41A1">
      <w:pPr>
        <w:jc w:val="both"/>
        <w:rPr>
          <w:rFonts w:ascii="Times New Roman" w:eastAsia="Times New Roman" w:hAnsi="Times New Roman" w:cs="Times New Roman"/>
          <w:sz w:val="24"/>
          <w:szCs w:val="24"/>
        </w:rPr>
      </w:pPr>
    </w:p>
    <w:p w14:paraId="422078AF"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 G., Meng, Q., Finley, T., Wang, T., Chen, W., Ma, W., Ye, Q., &amp; Liu, T.-Y. (2017). LightGBM: A highly efficient gradient boosting decision tree. Advances in Neural Information Processing Systems, 30, 3146–3154.</w:t>
      </w:r>
    </w:p>
    <w:p w14:paraId="72C2A7D0" w14:textId="77777777" w:rsidR="00FE41A1" w:rsidRDefault="00FE41A1">
      <w:pPr>
        <w:jc w:val="both"/>
        <w:rPr>
          <w:rFonts w:ascii="Times New Roman" w:eastAsia="Times New Roman" w:hAnsi="Times New Roman" w:cs="Times New Roman"/>
          <w:sz w:val="24"/>
          <w:szCs w:val="24"/>
        </w:rPr>
      </w:pPr>
    </w:p>
    <w:p w14:paraId="30ACD963"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Lusa. (2017, June 6). Em 2016, abriram em Portugal mais 81 empreendimentos turísticos [Deloitte Atlas da Hotelaria data]. ECO. https://eco.sapo.pt/2017/06/06/em-2016-abriram-em-portugal-mais-81-empreendimentos-turisticos/</w:t>
      </w:r>
    </w:p>
    <w:p w14:paraId="721C8A7F" w14:textId="77777777" w:rsidR="00FE41A1" w:rsidRDefault="00FE41A1">
      <w:pPr>
        <w:jc w:val="both"/>
        <w:rPr>
          <w:rFonts w:ascii="Times New Roman" w:eastAsia="Times New Roman" w:hAnsi="Times New Roman" w:cs="Times New Roman"/>
          <w:sz w:val="24"/>
          <w:szCs w:val="24"/>
        </w:rPr>
      </w:pPr>
    </w:p>
    <w:p w14:paraId="4BFA1AAE"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Pedregosa, F., Varoquaux, G., Gramfort, A., Michel, V., Thirion, B., Grisel, O., Blondel, M., Prettenhofer, P., Weiss, R., Dubourg, V., Vanderplas, J., Passos, A., Cournapeau, D., Brucher, M., Perrot, M., &amp; Duchesnay, É. (2011). Scikit-learn: Machine learning in Python. Journal of Machine Learning Research, 12, 2825–2830. https://jmlr.org/papers/v12/pedregosa11a.html</w:t>
      </w:r>
    </w:p>
    <w:p w14:paraId="54DE5875" w14:textId="77777777" w:rsidR="00FE41A1" w:rsidRDefault="00FE41A1">
      <w:pPr>
        <w:jc w:val="both"/>
        <w:rPr>
          <w:rFonts w:ascii="Times New Roman" w:eastAsia="Times New Roman" w:hAnsi="Times New Roman" w:cs="Times New Roman"/>
          <w:sz w:val="24"/>
          <w:szCs w:val="24"/>
        </w:rPr>
      </w:pPr>
    </w:p>
    <w:p w14:paraId="70F452C6"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Pimentel, V., Aizezikali, A., &amp; Baker, T. (2019). Hotel revenue management: Benefits of simultaneous overbooking and allocation problem formulation in price optimization. Computers &amp; Industrial Engineering, 137, Article 106073. https://doi.org/10.1016/j.cie.2019.106073</w:t>
      </w:r>
    </w:p>
    <w:p w14:paraId="681860B3" w14:textId="77777777" w:rsidR="00FE41A1" w:rsidRDefault="00FE41A1">
      <w:pPr>
        <w:jc w:val="both"/>
        <w:rPr>
          <w:rFonts w:ascii="Times New Roman" w:eastAsia="Times New Roman" w:hAnsi="Times New Roman" w:cs="Times New Roman"/>
          <w:sz w:val="24"/>
          <w:szCs w:val="24"/>
        </w:rPr>
      </w:pPr>
    </w:p>
    <w:p w14:paraId="0A42AD17"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Talluri, K. T., &amp; van Ryzin, G. J. (2004). The theory and practice of revenue management. Springer.</w:t>
      </w:r>
    </w:p>
    <w:p w14:paraId="3AF6FAB6" w14:textId="77777777" w:rsidR="00FE41A1" w:rsidRDefault="00FE41A1">
      <w:pPr>
        <w:jc w:val="both"/>
        <w:rPr>
          <w:rFonts w:ascii="Times New Roman" w:eastAsia="Times New Roman" w:hAnsi="Times New Roman" w:cs="Times New Roman"/>
          <w:sz w:val="24"/>
          <w:szCs w:val="24"/>
        </w:rPr>
      </w:pPr>
    </w:p>
    <w:p w14:paraId="2FFCEA2A"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van Leeuwen, R., Do, H. D., &amp; Koole, G. (2025). Churn management in hospitality. Journal of Big Data, 12, Article 145. https://doi.org/10.1186/s40537-025-01204-8</w:t>
      </w:r>
    </w:p>
    <w:p w14:paraId="14B02321" w14:textId="77777777" w:rsidR="00FE41A1" w:rsidRDefault="00FE41A1">
      <w:pPr>
        <w:jc w:val="both"/>
        <w:rPr>
          <w:rFonts w:ascii="Times New Roman" w:eastAsia="Times New Roman" w:hAnsi="Times New Roman" w:cs="Times New Roman"/>
          <w:sz w:val="24"/>
          <w:szCs w:val="24"/>
        </w:rPr>
      </w:pPr>
    </w:p>
    <w:p w14:paraId="4440629C"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Antonio, N., de Almeida, A., &amp; Nunes, L. (2019b). Hotel booking demand datasets. Data in Brief, 22, 41–49. https://doi.org/10.1016/j.dib.2018.11.126</w:t>
      </w:r>
    </w:p>
    <w:p w14:paraId="7513C84B" w14:textId="77777777" w:rsidR="00FE41A1" w:rsidRDefault="00FE41A1">
      <w:pPr>
        <w:jc w:val="both"/>
        <w:rPr>
          <w:rFonts w:ascii="Times New Roman" w:eastAsia="Times New Roman" w:hAnsi="Times New Roman" w:cs="Times New Roman"/>
          <w:sz w:val="24"/>
          <w:szCs w:val="24"/>
        </w:rPr>
      </w:pPr>
    </w:p>
    <w:p w14:paraId="12F7EC58"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Hotelaria de Lisboa tem recorde de receita por quarto [Lisbon hotels post record revenue per room]. (2017, February 2). PANROTAS. https://www.panrotas.com.br/noticia-turismo/hotelaria/2017/02/hotelaria-de-lisboa-tem-recorde-de-receita-por-quarto_143945.html</w:t>
      </w:r>
    </w:p>
    <w:p w14:paraId="4C32B2A0" w14:textId="77777777" w:rsidR="00FE41A1" w:rsidRDefault="00FE41A1">
      <w:pPr>
        <w:jc w:val="both"/>
        <w:rPr>
          <w:rFonts w:ascii="Times New Roman" w:eastAsia="Times New Roman" w:hAnsi="Times New Roman" w:cs="Times New Roman"/>
          <w:sz w:val="24"/>
          <w:szCs w:val="24"/>
        </w:rPr>
      </w:pPr>
    </w:p>
    <w:p w14:paraId="4FFB88FA"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Mandelbaum, R., &amp; McDade, G. (2017, February 21). The rising cost of rooms. LODGING Magazine. https://lodgingmagazine.com/the-rising-cost-of-rooms/</w:t>
      </w:r>
    </w:p>
    <w:p w14:paraId="7FC2CB63" w14:textId="77777777" w:rsidR="00FE41A1" w:rsidRDefault="00FE41A1">
      <w:pPr>
        <w:jc w:val="both"/>
        <w:rPr>
          <w:rFonts w:ascii="Times New Roman" w:eastAsia="Times New Roman" w:hAnsi="Times New Roman" w:cs="Times New Roman"/>
          <w:sz w:val="24"/>
          <w:szCs w:val="24"/>
        </w:rPr>
      </w:pPr>
    </w:p>
    <w:p w14:paraId="6F019CBB"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Regulation (EU) 2016/679 of the European Parliament and of the Council of 27 April 2016 on the protection of natural persons with regard to the processing of personal data and on the free movement of such data (General Data Protection Regulation). (2016). Official Journal of the European Union, L 119, 1–88. https://eur-lex.europa.eu/eli/reg/2016/679/oj</w:t>
      </w:r>
    </w:p>
    <w:p w14:paraId="2BE6B73C" w14:textId="77777777" w:rsidR="00FE41A1" w:rsidRDefault="00FE41A1">
      <w:pPr>
        <w:jc w:val="both"/>
        <w:rPr>
          <w:rFonts w:ascii="Times New Roman" w:eastAsia="Times New Roman" w:hAnsi="Times New Roman" w:cs="Times New Roman"/>
          <w:sz w:val="24"/>
          <w:szCs w:val="24"/>
        </w:rPr>
      </w:pPr>
    </w:p>
    <w:p w14:paraId="4D1031AB"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Rushmore, S. (2011, November 7). Comparing same hotel across five regions. HVS. https://www.hvs.com/article/5529-comparing-same-hotel-across-five-regions</w:t>
      </w:r>
    </w:p>
    <w:p w14:paraId="014E41CB" w14:textId="77777777" w:rsidR="00FE41A1" w:rsidRDefault="00FE41A1">
      <w:pPr>
        <w:jc w:val="both"/>
        <w:rPr>
          <w:rFonts w:ascii="Times New Roman" w:eastAsia="Times New Roman" w:hAnsi="Times New Roman" w:cs="Times New Roman"/>
          <w:sz w:val="24"/>
          <w:szCs w:val="24"/>
        </w:rPr>
      </w:pPr>
    </w:p>
    <w:p w14:paraId="323EC5F7"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Salários médios sobem no turismo, mas ainda não vão além dos 632 euros [Average wages in tourism rise but still do not exceed 632 euros]. (2018, February 19). Diário de Notícias. https://www.dn.pt/dinheiro/interior/salarios-medios-sobem-no-turismo-mas-ainda-nao-vao-alem-dos-632-euros-9128393.html</w:t>
      </w:r>
    </w:p>
    <w:p w14:paraId="2D3D5792" w14:textId="77777777" w:rsidR="00FE41A1" w:rsidRDefault="00FE41A1">
      <w:pPr>
        <w:jc w:val="both"/>
        <w:rPr>
          <w:rFonts w:ascii="Times New Roman" w:eastAsia="Times New Roman" w:hAnsi="Times New Roman" w:cs="Times New Roman"/>
          <w:sz w:val="24"/>
          <w:szCs w:val="24"/>
        </w:rPr>
      </w:pPr>
    </w:p>
    <w:p w14:paraId="25553BEB"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Schegg, R. (2018). European hotel distribution study: Results for the reference year 2017. Institute of Tourism, HES-SO Valais; HOTREC. https://turob.com/assets/Haberler-Dosyalari-image/European-hotel-distribution-study-final-results.pdf</w:t>
      </w:r>
    </w:p>
    <w:p w14:paraId="51E86739" w14:textId="77777777" w:rsidR="00FE41A1" w:rsidRDefault="00FE41A1">
      <w:pPr>
        <w:jc w:val="both"/>
        <w:rPr>
          <w:rFonts w:ascii="Times New Roman" w:eastAsia="Times New Roman" w:hAnsi="Times New Roman" w:cs="Times New Roman"/>
          <w:sz w:val="24"/>
          <w:szCs w:val="24"/>
        </w:rPr>
      </w:pPr>
    </w:p>
    <w:p w14:paraId="5BCCC46B" w14:textId="77777777" w:rsidR="00FE41A1" w:rsidRDefault="00C20F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Toulon, A. (2014, May 28). Booking, Expedia… les hôteliers sont-ils vraiment perdants ? [Booking, Expedia… are hoteliers really the losers?]. Europe 1. https://www.europe1.fr/economie/Booking-Expedia-les-hoteliers-sont-ils-vraiment-perdants-660490</w:t>
      </w:r>
    </w:p>
    <w:sectPr w:rsidR="00FE41A1">
      <w:pgSz w:w="12240" w:h="15840"/>
      <w:pgMar w:top="1200" w:right="1440" w:bottom="120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B02C285-7A47-4C41-A26D-F655F94ED92C}"/>
    <w:embedBold r:id="rId2" w:fontKey="{C48B4D03-5945-4B92-8687-8DFEFEE1B195}"/>
    <w:embedItalic r:id="rId3" w:fontKey="{B490F0F8-2006-472C-98DF-D5EBB8D6B546}"/>
  </w:font>
  <w:font w:name="Georgia">
    <w:panose1 w:val="02040502050405020303"/>
    <w:charset w:val="00"/>
    <w:family w:val="auto"/>
    <w:pitch w:val="default"/>
    <w:embedItalic r:id="rId4" w:fontKey="{260055EA-2119-4E00-BA9B-1B1EF65C94F5}"/>
  </w:font>
  <w:font w:name="Cardo">
    <w:charset w:val="00"/>
    <w:family w:val="auto"/>
    <w:pitch w:val="default"/>
    <w:embedRegular r:id="rId5" w:fontKey="{D0A397F2-E5E2-43E8-9439-87679E091587}"/>
    <w:embedBold r:id="rId6" w:fontKey="{C580FBDD-51A5-4DF1-AABE-6A676319CA56}"/>
  </w:font>
  <w:font w:name="Gungsuh">
    <w:charset w:val="81"/>
    <w:family w:val="roman"/>
    <w:pitch w:val="variable"/>
    <w:sig w:usb0="B00002AF" w:usb1="69D77CFB" w:usb2="00000030" w:usb3="00000000" w:csb0="0008009F" w:csb1="00000000"/>
    <w:embedRegular r:id="rId7" w:subsetted="1" w:fontKey="{D1559B6F-6DC0-4ED6-9807-A511DCEB953C}"/>
  </w:font>
  <w:font w:name="Cambria">
    <w:panose1 w:val="02040503050406030204"/>
    <w:charset w:val="00"/>
    <w:family w:val="roman"/>
    <w:pitch w:val="variable"/>
    <w:sig w:usb0="E00006FF" w:usb1="420024FF" w:usb2="02000000" w:usb3="00000000" w:csb0="0000019F" w:csb1="00000000"/>
    <w:embedRegular r:id="rId8" w:fontKey="{46421F14-7BF0-49A4-93CB-8CAFA854357C}"/>
    <w:embedBold r:id="rId9" w:fontKey="{DD816D39-B7F3-4443-A517-277C009BF7EB}"/>
    <w:embedItalic r:id="rId10" w:fontKey="{AEF647DC-3AA3-4490-B0DE-1D00025899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3327D"/>
    <w:multiLevelType w:val="multilevel"/>
    <w:tmpl w:val="34DE9EB8"/>
    <w:lvl w:ilvl="0">
      <w:numFmt w:val="bullet"/>
      <w:lvlText w:val="•"/>
      <w:lvlJc w:val="left"/>
      <w:pPr>
        <w:ind w:left="720" w:hanging="480"/>
      </w:pPr>
      <w:rPr>
        <w:u w:val="none"/>
      </w:rPr>
    </w:lvl>
    <w:lvl w:ilvl="1">
      <w:numFmt w:val="bullet"/>
      <w:lvlText w:val="–"/>
      <w:lvlJc w:val="left"/>
      <w:pPr>
        <w:ind w:left="1440" w:hanging="480"/>
      </w:pPr>
      <w:rPr>
        <w:u w:val="none"/>
      </w:rPr>
    </w:lvl>
    <w:lvl w:ilvl="2">
      <w:numFmt w:val="bullet"/>
      <w:lvlText w:val="•"/>
      <w:lvlJc w:val="left"/>
      <w:pPr>
        <w:ind w:left="2160" w:hanging="480"/>
      </w:pPr>
      <w:rPr>
        <w:u w:val="none"/>
      </w:rPr>
    </w:lvl>
    <w:lvl w:ilvl="3">
      <w:numFmt w:val="bullet"/>
      <w:lvlText w:val="–"/>
      <w:lvlJc w:val="left"/>
      <w:pPr>
        <w:ind w:left="2880" w:hanging="480"/>
      </w:pPr>
      <w:rPr>
        <w:u w:val="none"/>
      </w:rPr>
    </w:lvl>
    <w:lvl w:ilvl="4">
      <w:numFmt w:val="bullet"/>
      <w:lvlText w:val="•"/>
      <w:lvlJc w:val="left"/>
      <w:pPr>
        <w:ind w:left="3600" w:hanging="480"/>
      </w:pPr>
      <w:rPr>
        <w:u w:val="none"/>
      </w:rPr>
    </w:lvl>
    <w:lvl w:ilvl="5">
      <w:numFmt w:val="bullet"/>
      <w:lvlText w:val="–"/>
      <w:lvlJc w:val="left"/>
      <w:pPr>
        <w:ind w:left="4320" w:hanging="480"/>
      </w:pPr>
      <w:rPr>
        <w:u w:val="none"/>
      </w:rPr>
    </w:lvl>
    <w:lvl w:ilvl="6">
      <w:numFmt w:val="bullet"/>
      <w:lvlText w:val="•"/>
      <w:lvlJc w:val="left"/>
      <w:pPr>
        <w:ind w:left="5040" w:hanging="480"/>
      </w:pPr>
      <w:rPr>
        <w:u w:val="none"/>
      </w:rPr>
    </w:lvl>
    <w:lvl w:ilvl="7">
      <w:numFmt w:val="bullet"/>
      <w:lvlText w:val="–"/>
      <w:lvlJc w:val="left"/>
      <w:pPr>
        <w:ind w:left="5760" w:hanging="480"/>
      </w:pPr>
      <w:rPr>
        <w:u w:val="none"/>
      </w:rPr>
    </w:lvl>
    <w:lvl w:ilvl="8">
      <w:numFmt w:val="bullet"/>
      <w:lvlText w:val="•"/>
      <w:lvlJc w:val="left"/>
      <w:pPr>
        <w:ind w:left="6480" w:hanging="480"/>
      </w:pPr>
      <w:rPr>
        <w:u w:val="none"/>
      </w:rPr>
    </w:lvl>
  </w:abstractNum>
  <w:abstractNum w:abstractNumId="1" w15:restartNumberingAfterBreak="0">
    <w:nsid w:val="1D131441"/>
    <w:multiLevelType w:val="multilevel"/>
    <w:tmpl w:val="8DAEE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D82964"/>
    <w:multiLevelType w:val="multilevel"/>
    <w:tmpl w:val="25409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443FE4"/>
    <w:multiLevelType w:val="multilevel"/>
    <w:tmpl w:val="8C587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417A9E"/>
    <w:multiLevelType w:val="multilevel"/>
    <w:tmpl w:val="931AE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4732C2"/>
    <w:multiLevelType w:val="multilevel"/>
    <w:tmpl w:val="F926A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507E0E"/>
    <w:multiLevelType w:val="multilevel"/>
    <w:tmpl w:val="7BA86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0A2700"/>
    <w:multiLevelType w:val="multilevel"/>
    <w:tmpl w:val="E5684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8E40CD"/>
    <w:multiLevelType w:val="multilevel"/>
    <w:tmpl w:val="53428D06"/>
    <w:lvl w:ilvl="0">
      <w:start w:val="1"/>
      <w:numFmt w:val="decimal"/>
      <w:lvlText w:val="%1."/>
      <w:lvlJc w:val="left"/>
      <w:pPr>
        <w:ind w:left="425" w:hanging="425"/>
      </w:pPr>
      <w:rPr>
        <w:rFonts w:ascii="Times New Roman" w:eastAsia="Times New Roman" w:hAnsi="Times New Roman" w:cs="Times New Roman"/>
        <w:b/>
        <w:bCs/>
        <w:color w:val="0B5394"/>
        <w:sz w:val="26"/>
        <w:szCs w:val="26"/>
      </w:rPr>
    </w:lvl>
    <w:lvl w:ilvl="1">
      <w:start w:val="1"/>
      <w:numFmt w:val="decimal"/>
      <w:lvlText w:val="%1.%2."/>
      <w:lvlJc w:val="left"/>
      <w:pPr>
        <w:ind w:left="567" w:hanging="567"/>
      </w:pPr>
      <w:rPr>
        <w:rFonts w:ascii="Times New Roman" w:eastAsia="Times New Roman" w:hAnsi="Times New Roman" w:cs="Times New Roman"/>
        <w:b/>
        <w:bCs/>
        <w:color w:val="073763"/>
        <w:sz w:val="24"/>
        <w:szCs w:val="24"/>
      </w:rPr>
    </w:lvl>
    <w:lvl w:ilvl="2">
      <w:start w:val="1"/>
      <w:numFmt w:val="decimal"/>
      <w:lvlText w:val="%1.%2.%3."/>
      <w:lvlJc w:val="left"/>
      <w:pPr>
        <w:ind w:left="709" w:hanging="709"/>
      </w:pPr>
    </w:lvl>
    <w:lvl w:ilvl="3">
      <w:start w:val="1"/>
      <w:numFmt w:val="decimal"/>
      <w:lvlText w:val="%1.%2.%3.%4."/>
      <w:lvlJc w:val="left"/>
      <w:pPr>
        <w:ind w:left="850" w:hanging="850"/>
      </w:pPr>
    </w:lvl>
    <w:lvl w:ilvl="4">
      <w:start w:val="1"/>
      <w:numFmt w:val="decimal"/>
      <w:lvlText w:val="%1.%2.%3.%4.%5."/>
      <w:lvlJc w:val="left"/>
      <w:pPr>
        <w:ind w:left="991" w:hanging="991"/>
      </w:pPr>
    </w:lvl>
    <w:lvl w:ilvl="5">
      <w:start w:val="1"/>
      <w:numFmt w:val="decimal"/>
      <w:lvlText w:val="%1.%2.%3.%4.%5.%6."/>
      <w:lvlJc w:val="left"/>
      <w:pPr>
        <w:ind w:left="1134" w:hanging="1134"/>
      </w:pPr>
    </w:lvl>
    <w:lvl w:ilvl="6">
      <w:start w:val="1"/>
      <w:numFmt w:val="decimal"/>
      <w:lvlText w:val="%1.%2.%3.%4.%5.%6.%7."/>
      <w:lvlJc w:val="left"/>
      <w:pPr>
        <w:ind w:left="1275" w:hanging="1275"/>
      </w:pPr>
    </w:lvl>
    <w:lvl w:ilvl="7">
      <w:start w:val="1"/>
      <w:numFmt w:val="decimal"/>
      <w:lvlText w:val="%1.%2.%3.%4.%5.%6.%7.%8."/>
      <w:lvlJc w:val="left"/>
      <w:pPr>
        <w:ind w:left="1418" w:hanging="1418"/>
      </w:pPr>
    </w:lvl>
    <w:lvl w:ilvl="8">
      <w:start w:val="1"/>
      <w:numFmt w:val="decimal"/>
      <w:lvlText w:val="%1.%2.%3.%4.%5.%6.%7.%8.%9."/>
      <w:lvlJc w:val="left"/>
      <w:pPr>
        <w:ind w:left="1558" w:hanging="1558"/>
      </w:pPr>
    </w:lvl>
  </w:abstractNum>
  <w:abstractNum w:abstractNumId="9" w15:restartNumberingAfterBreak="0">
    <w:nsid w:val="3F851B34"/>
    <w:multiLevelType w:val="multilevel"/>
    <w:tmpl w:val="99DADDD8"/>
    <w:lvl w:ilvl="0">
      <w:numFmt w:val="bullet"/>
      <w:lvlText w:val="•"/>
      <w:lvlJc w:val="left"/>
      <w:pPr>
        <w:ind w:left="720" w:hanging="480"/>
      </w:pPr>
      <w:rPr>
        <w:u w:val="none"/>
      </w:rPr>
    </w:lvl>
    <w:lvl w:ilvl="1">
      <w:numFmt w:val="bullet"/>
      <w:lvlText w:val="–"/>
      <w:lvlJc w:val="left"/>
      <w:pPr>
        <w:ind w:left="1440" w:hanging="480"/>
      </w:pPr>
      <w:rPr>
        <w:u w:val="none"/>
      </w:rPr>
    </w:lvl>
    <w:lvl w:ilvl="2">
      <w:numFmt w:val="bullet"/>
      <w:lvlText w:val="•"/>
      <w:lvlJc w:val="left"/>
      <w:pPr>
        <w:ind w:left="2160" w:hanging="480"/>
      </w:pPr>
      <w:rPr>
        <w:u w:val="none"/>
      </w:rPr>
    </w:lvl>
    <w:lvl w:ilvl="3">
      <w:numFmt w:val="bullet"/>
      <w:lvlText w:val="–"/>
      <w:lvlJc w:val="left"/>
      <w:pPr>
        <w:ind w:left="2880" w:hanging="480"/>
      </w:pPr>
      <w:rPr>
        <w:u w:val="none"/>
      </w:rPr>
    </w:lvl>
    <w:lvl w:ilvl="4">
      <w:numFmt w:val="bullet"/>
      <w:lvlText w:val="•"/>
      <w:lvlJc w:val="left"/>
      <w:pPr>
        <w:ind w:left="3600" w:hanging="480"/>
      </w:pPr>
      <w:rPr>
        <w:u w:val="none"/>
      </w:rPr>
    </w:lvl>
    <w:lvl w:ilvl="5">
      <w:numFmt w:val="bullet"/>
      <w:lvlText w:val="–"/>
      <w:lvlJc w:val="left"/>
      <w:pPr>
        <w:ind w:left="4320" w:hanging="480"/>
      </w:pPr>
      <w:rPr>
        <w:u w:val="none"/>
      </w:rPr>
    </w:lvl>
    <w:lvl w:ilvl="6">
      <w:numFmt w:val="bullet"/>
      <w:lvlText w:val="•"/>
      <w:lvlJc w:val="left"/>
      <w:pPr>
        <w:ind w:left="5040" w:hanging="480"/>
      </w:pPr>
      <w:rPr>
        <w:u w:val="none"/>
      </w:rPr>
    </w:lvl>
    <w:lvl w:ilvl="7">
      <w:numFmt w:val="bullet"/>
      <w:lvlText w:val="–"/>
      <w:lvlJc w:val="left"/>
      <w:pPr>
        <w:ind w:left="5760" w:hanging="480"/>
      </w:pPr>
      <w:rPr>
        <w:u w:val="none"/>
      </w:rPr>
    </w:lvl>
    <w:lvl w:ilvl="8">
      <w:numFmt w:val="bullet"/>
      <w:lvlText w:val="•"/>
      <w:lvlJc w:val="left"/>
      <w:pPr>
        <w:ind w:left="6480" w:hanging="480"/>
      </w:pPr>
      <w:rPr>
        <w:u w:val="none"/>
      </w:rPr>
    </w:lvl>
  </w:abstractNum>
  <w:abstractNum w:abstractNumId="10" w15:restartNumberingAfterBreak="0">
    <w:nsid w:val="47776217"/>
    <w:multiLevelType w:val="multilevel"/>
    <w:tmpl w:val="BC4AD368"/>
    <w:lvl w:ilvl="0">
      <w:numFmt w:val="bullet"/>
      <w:lvlText w:val="•"/>
      <w:lvlJc w:val="left"/>
      <w:pPr>
        <w:ind w:left="720" w:hanging="480"/>
      </w:pPr>
      <w:rPr>
        <w:u w:val="none"/>
      </w:rPr>
    </w:lvl>
    <w:lvl w:ilvl="1">
      <w:numFmt w:val="bullet"/>
      <w:lvlText w:val="–"/>
      <w:lvlJc w:val="left"/>
      <w:pPr>
        <w:ind w:left="1440" w:hanging="480"/>
      </w:pPr>
      <w:rPr>
        <w:u w:val="none"/>
      </w:rPr>
    </w:lvl>
    <w:lvl w:ilvl="2">
      <w:numFmt w:val="bullet"/>
      <w:lvlText w:val="•"/>
      <w:lvlJc w:val="left"/>
      <w:pPr>
        <w:ind w:left="2160" w:hanging="480"/>
      </w:pPr>
      <w:rPr>
        <w:u w:val="none"/>
      </w:rPr>
    </w:lvl>
    <w:lvl w:ilvl="3">
      <w:numFmt w:val="bullet"/>
      <w:lvlText w:val="–"/>
      <w:lvlJc w:val="left"/>
      <w:pPr>
        <w:ind w:left="2880" w:hanging="480"/>
      </w:pPr>
      <w:rPr>
        <w:u w:val="none"/>
      </w:rPr>
    </w:lvl>
    <w:lvl w:ilvl="4">
      <w:numFmt w:val="bullet"/>
      <w:lvlText w:val="•"/>
      <w:lvlJc w:val="left"/>
      <w:pPr>
        <w:ind w:left="3600" w:hanging="480"/>
      </w:pPr>
      <w:rPr>
        <w:u w:val="none"/>
      </w:rPr>
    </w:lvl>
    <w:lvl w:ilvl="5">
      <w:numFmt w:val="bullet"/>
      <w:lvlText w:val="–"/>
      <w:lvlJc w:val="left"/>
      <w:pPr>
        <w:ind w:left="4320" w:hanging="480"/>
      </w:pPr>
      <w:rPr>
        <w:u w:val="none"/>
      </w:rPr>
    </w:lvl>
    <w:lvl w:ilvl="6">
      <w:numFmt w:val="bullet"/>
      <w:lvlText w:val="•"/>
      <w:lvlJc w:val="left"/>
      <w:pPr>
        <w:ind w:left="5040" w:hanging="480"/>
      </w:pPr>
      <w:rPr>
        <w:u w:val="none"/>
      </w:rPr>
    </w:lvl>
    <w:lvl w:ilvl="7">
      <w:numFmt w:val="bullet"/>
      <w:lvlText w:val="–"/>
      <w:lvlJc w:val="left"/>
      <w:pPr>
        <w:ind w:left="5760" w:hanging="480"/>
      </w:pPr>
      <w:rPr>
        <w:u w:val="none"/>
      </w:rPr>
    </w:lvl>
    <w:lvl w:ilvl="8">
      <w:numFmt w:val="bullet"/>
      <w:lvlText w:val="•"/>
      <w:lvlJc w:val="left"/>
      <w:pPr>
        <w:ind w:left="6480" w:hanging="480"/>
      </w:pPr>
      <w:rPr>
        <w:u w:val="none"/>
      </w:rPr>
    </w:lvl>
  </w:abstractNum>
  <w:abstractNum w:abstractNumId="11" w15:restartNumberingAfterBreak="0">
    <w:nsid w:val="4B053D2D"/>
    <w:multiLevelType w:val="multilevel"/>
    <w:tmpl w:val="50DA5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CCA25AF"/>
    <w:multiLevelType w:val="multilevel"/>
    <w:tmpl w:val="C9A09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B2756C"/>
    <w:multiLevelType w:val="multilevel"/>
    <w:tmpl w:val="006ED1AC"/>
    <w:lvl w:ilvl="0">
      <w:numFmt w:val="bullet"/>
      <w:lvlText w:val="•"/>
      <w:lvlJc w:val="left"/>
      <w:pPr>
        <w:ind w:left="720" w:hanging="480"/>
      </w:pPr>
      <w:rPr>
        <w:u w:val="none"/>
      </w:rPr>
    </w:lvl>
    <w:lvl w:ilvl="1">
      <w:numFmt w:val="bullet"/>
      <w:lvlText w:val="–"/>
      <w:lvlJc w:val="left"/>
      <w:pPr>
        <w:ind w:left="1440" w:hanging="480"/>
      </w:pPr>
      <w:rPr>
        <w:u w:val="none"/>
      </w:rPr>
    </w:lvl>
    <w:lvl w:ilvl="2">
      <w:numFmt w:val="bullet"/>
      <w:lvlText w:val="•"/>
      <w:lvlJc w:val="left"/>
      <w:pPr>
        <w:ind w:left="2160" w:hanging="480"/>
      </w:pPr>
      <w:rPr>
        <w:u w:val="none"/>
      </w:rPr>
    </w:lvl>
    <w:lvl w:ilvl="3">
      <w:numFmt w:val="bullet"/>
      <w:lvlText w:val="–"/>
      <w:lvlJc w:val="left"/>
      <w:pPr>
        <w:ind w:left="2880" w:hanging="480"/>
      </w:pPr>
      <w:rPr>
        <w:u w:val="none"/>
      </w:rPr>
    </w:lvl>
    <w:lvl w:ilvl="4">
      <w:numFmt w:val="bullet"/>
      <w:lvlText w:val="•"/>
      <w:lvlJc w:val="left"/>
      <w:pPr>
        <w:ind w:left="3600" w:hanging="480"/>
      </w:pPr>
      <w:rPr>
        <w:u w:val="none"/>
      </w:rPr>
    </w:lvl>
    <w:lvl w:ilvl="5">
      <w:numFmt w:val="bullet"/>
      <w:lvlText w:val="–"/>
      <w:lvlJc w:val="left"/>
      <w:pPr>
        <w:ind w:left="4320" w:hanging="480"/>
      </w:pPr>
      <w:rPr>
        <w:u w:val="none"/>
      </w:rPr>
    </w:lvl>
    <w:lvl w:ilvl="6">
      <w:numFmt w:val="bullet"/>
      <w:lvlText w:val="•"/>
      <w:lvlJc w:val="left"/>
      <w:pPr>
        <w:ind w:left="5040" w:hanging="480"/>
      </w:pPr>
      <w:rPr>
        <w:u w:val="none"/>
      </w:rPr>
    </w:lvl>
    <w:lvl w:ilvl="7">
      <w:numFmt w:val="bullet"/>
      <w:lvlText w:val="–"/>
      <w:lvlJc w:val="left"/>
      <w:pPr>
        <w:ind w:left="5760" w:hanging="480"/>
      </w:pPr>
      <w:rPr>
        <w:u w:val="none"/>
      </w:rPr>
    </w:lvl>
    <w:lvl w:ilvl="8">
      <w:numFmt w:val="bullet"/>
      <w:lvlText w:val="•"/>
      <w:lvlJc w:val="left"/>
      <w:pPr>
        <w:ind w:left="6480" w:hanging="480"/>
      </w:pPr>
      <w:rPr>
        <w:u w:val="none"/>
      </w:rPr>
    </w:lvl>
  </w:abstractNum>
  <w:abstractNum w:abstractNumId="14" w15:restartNumberingAfterBreak="0">
    <w:nsid w:val="512116A9"/>
    <w:multiLevelType w:val="multilevel"/>
    <w:tmpl w:val="FD649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BF72932"/>
    <w:multiLevelType w:val="multilevel"/>
    <w:tmpl w:val="2A7E9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B42993"/>
    <w:multiLevelType w:val="multilevel"/>
    <w:tmpl w:val="1F461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7900F1B"/>
    <w:multiLevelType w:val="multilevel"/>
    <w:tmpl w:val="599E6296"/>
    <w:lvl w:ilvl="0">
      <w:start w:val="1"/>
      <w:numFmt w:val="bullet"/>
      <w:lvlText w:val="•"/>
      <w:lvlJc w:val="left"/>
      <w:pPr>
        <w:ind w:left="567" w:hanging="283"/>
      </w:pPr>
      <w:rPr>
        <w:rFonts w:ascii="Times New Roman" w:eastAsia="Times New Roman" w:hAnsi="Times New Roman" w:cs="Times New Roma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857844555">
    <w:abstractNumId w:val="16"/>
  </w:num>
  <w:num w:numId="2" w16cid:durableId="1973168765">
    <w:abstractNumId w:val="9"/>
  </w:num>
  <w:num w:numId="3" w16cid:durableId="1993557844">
    <w:abstractNumId w:val="6"/>
  </w:num>
  <w:num w:numId="4" w16cid:durableId="50010301">
    <w:abstractNumId w:val="3"/>
  </w:num>
  <w:num w:numId="5" w16cid:durableId="1187643585">
    <w:abstractNumId w:val="7"/>
  </w:num>
  <w:num w:numId="6" w16cid:durableId="882597185">
    <w:abstractNumId w:val="12"/>
  </w:num>
  <w:num w:numId="7" w16cid:durableId="690568593">
    <w:abstractNumId w:val="15"/>
  </w:num>
  <w:num w:numId="8" w16cid:durableId="1142817665">
    <w:abstractNumId w:val="0"/>
  </w:num>
  <w:num w:numId="9" w16cid:durableId="1515655310">
    <w:abstractNumId w:val="10"/>
  </w:num>
  <w:num w:numId="10" w16cid:durableId="1741098274">
    <w:abstractNumId w:val="11"/>
  </w:num>
  <w:num w:numId="11" w16cid:durableId="2078891609">
    <w:abstractNumId w:val="2"/>
  </w:num>
  <w:num w:numId="12" w16cid:durableId="551386251">
    <w:abstractNumId w:val="4"/>
  </w:num>
  <w:num w:numId="13" w16cid:durableId="636305131">
    <w:abstractNumId w:val="8"/>
  </w:num>
  <w:num w:numId="14" w16cid:durableId="431516906">
    <w:abstractNumId w:val="17"/>
  </w:num>
  <w:num w:numId="15" w16cid:durableId="1948731577">
    <w:abstractNumId w:val="1"/>
  </w:num>
  <w:num w:numId="16" w16cid:durableId="280193043">
    <w:abstractNumId w:val="14"/>
  </w:num>
  <w:num w:numId="17" w16cid:durableId="736980865">
    <w:abstractNumId w:val="5"/>
  </w:num>
  <w:num w:numId="18" w16cid:durableId="4710208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1A1"/>
    <w:rsid w:val="00A54ADD"/>
    <w:rsid w:val="00C20FEB"/>
    <w:rsid w:val="00FE4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8B68"/>
  <w15:docId w15:val="{A64705D7-B9B0-4B87-801E-A8222EDB0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425"/>
      <w:outlineLvl w:val="0"/>
    </w:pPr>
    <w:rPr>
      <w:rFonts w:ascii="Times New Roman" w:eastAsia="Times New Roman" w:hAnsi="Times New Roman" w:cs="Times New Roman"/>
      <w:b/>
      <w:bCs/>
      <w:color w:val="0B5394"/>
      <w:sz w:val="24"/>
      <w:szCs w:val="24"/>
    </w:rPr>
  </w:style>
  <w:style w:type="paragraph" w:styleId="Heading2">
    <w:name w:val="heading 2"/>
    <w:basedOn w:val="Normal"/>
    <w:next w:val="Normal"/>
    <w:uiPriority w:val="9"/>
    <w:unhideWhenUsed/>
    <w:qFormat/>
    <w:pPr>
      <w:ind w:left="567"/>
      <w:outlineLvl w:val="1"/>
    </w:pPr>
    <w:rPr>
      <w:rFonts w:ascii="Times New Roman" w:eastAsia="Times New Roman" w:hAnsi="Times New Roman" w:cs="Times New Roman"/>
      <w:b/>
      <w:bCs/>
      <w:color w:val="1F3864"/>
      <w:sz w:val="24"/>
      <w:szCs w:val="24"/>
    </w:rPr>
  </w:style>
  <w:style w:type="paragraph" w:styleId="Heading3">
    <w:name w:val="heading 3"/>
    <w:basedOn w:val="Normal"/>
    <w:next w:val="Normal"/>
    <w:uiPriority w:val="9"/>
    <w:unhideWhenUsed/>
    <w:qFormat/>
    <w:pPr>
      <w:ind w:firstLine="270"/>
      <w:outlineLvl w:val="2"/>
    </w:pPr>
    <w:rPr>
      <w:rFonts w:ascii="Times New Roman" w:eastAsia="Times New Roman" w:hAnsi="Times New Roman" w:cs="Times New Roman"/>
      <w:b/>
      <w:bCs/>
      <w:i/>
      <w:iCs/>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0">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paragraph" w:styleId="TOC1">
    <w:name w:val="toc 1"/>
    <w:basedOn w:val="Normal"/>
    <w:next w:val="Normal"/>
    <w:autoRedefine/>
    <w:uiPriority w:val="39"/>
    <w:unhideWhenUsed/>
    <w:rsid w:val="00C20FEB"/>
    <w:pPr>
      <w:spacing w:after="100"/>
    </w:pPr>
  </w:style>
  <w:style w:type="paragraph" w:styleId="TOC2">
    <w:name w:val="toc 2"/>
    <w:basedOn w:val="Normal"/>
    <w:next w:val="Normal"/>
    <w:autoRedefine/>
    <w:uiPriority w:val="39"/>
    <w:unhideWhenUsed/>
    <w:rsid w:val="00C20FEB"/>
    <w:pPr>
      <w:spacing w:after="100"/>
      <w:ind w:left="210"/>
    </w:pPr>
  </w:style>
  <w:style w:type="paragraph" w:styleId="TOC3">
    <w:name w:val="toc 3"/>
    <w:basedOn w:val="Normal"/>
    <w:next w:val="Normal"/>
    <w:autoRedefine/>
    <w:uiPriority w:val="39"/>
    <w:unhideWhenUsed/>
    <w:rsid w:val="00C20FEB"/>
    <w:pPr>
      <w:spacing w:after="100"/>
      <w:ind w:left="420"/>
    </w:pPr>
  </w:style>
  <w:style w:type="character" w:styleId="Hyperlink">
    <w:name w:val="Hyperlink"/>
    <w:basedOn w:val="DefaultParagraphFont"/>
    <w:uiPriority w:val="99"/>
    <w:unhideWhenUsed/>
    <w:rsid w:val="00C20F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2/14651858.CD007458.pub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doi.org/10.1016/j.dib.2018.11.126"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6405</Words>
  <Characters>36512</Characters>
  <Application>Microsoft Office Word</Application>
  <DocSecurity>0</DocSecurity>
  <Lines>304</Lines>
  <Paragraphs>85</Paragraphs>
  <ScaleCrop>false</ScaleCrop>
  <Company/>
  <LinksUpToDate>false</LinksUpToDate>
  <CharactersWithSpaces>42832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2312560042-Trần Ngọc Thành</cp:lastModifiedBy>
  <cp:revision>2</cp:revision>
  <dcterms:created xsi:type="dcterms:W3CDTF">2026-10-20T16:47:00Z</dcterms:created>
  <dcterms:modified xsi:type="dcterms:W3CDTF">2026-10-20T16:47:00Z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eyJoZGlkIjoiMzkwNTA4NzMzMjVhYWI1ODI2YWZlZjY1MjNkZGM3ZWIiLCJ1c2VySWQiOiIxMzc0Mzk4MjE1NjQ2In0=</vt:lpwstr>
  </property>
  <property fmtid="{D5CDD505-2E9C-101B-9397-08002B2CF9AE}" pid="3" name="KSOProductBuildVer">
    <vt:lpwstr>1033-12.1.0.29162</vt:lpwstr>
  </property>
  <property fmtid="{D5CDD505-2E9C-101B-9397-08002B2CF9AE}" pid="4" name="ICV">
    <vt:lpwstr>058A1D6D2F2348A7B39BDF9B1935DC0C_12</vt:lpwstr>
  </property>
</Properties>
</file>