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2C3C" w:rsidRPr="00012C3C" w:rsidRDefault="00012C3C" w:rsidP="00012C3C">
      <w:pPr>
        <w:spacing w:before="720" w:after="263" w:line="654" w:lineRule="atLeast"/>
        <w:jc w:val="center"/>
        <w:outlineLvl w:val="1"/>
        <w:rPr>
          <w:rFonts w:ascii="Arial" w:eastAsia="Times New Roman" w:hAnsi="Arial" w:cs="Arial"/>
          <w:b/>
          <w:bCs/>
          <w:spacing w:val="5"/>
          <w:sz w:val="48"/>
          <w:szCs w:val="48"/>
        </w:rPr>
      </w:pPr>
      <w:bookmarkStart w:id="0" w:name="_GoBack"/>
      <w:bookmarkEnd w:id="0"/>
      <w:r w:rsidRPr="00012C3C">
        <w:rPr>
          <w:rFonts w:ascii="Arial" w:eastAsia="Times New Roman" w:hAnsi="Arial" w:cs="Arial"/>
          <w:b/>
          <w:bCs/>
          <w:spacing w:val="5"/>
          <w:sz w:val="48"/>
          <w:szCs w:val="48"/>
        </w:rPr>
        <w:t>Protocol for Competent Cell Preparation</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Specialized equipment and materials are needed to prepare chemically competent </w:t>
      </w:r>
      <w:r w:rsidRPr="00012C3C">
        <w:rPr>
          <w:rFonts w:ascii="Arial" w:eastAsia="Times New Roman" w:hAnsi="Arial" w:cs="Arial"/>
          <w:i/>
          <w:iCs/>
          <w:color w:val="3A4249"/>
          <w:sz w:val="26"/>
          <w:szCs w:val="26"/>
        </w:rPr>
        <w:t>E. coli</w:t>
      </w:r>
      <w:r w:rsidRPr="00012C3C">
        <w:rPr>
          <w:rFonts w:ascii="Arial" w:eastAsia="Times New Roman" w:hAnsi="Arial" w:cs="Arial"/>
          <w:color w:val="3A4249"/>
          <w:sz w:val="26"/>
          <w:szCs w:val="26"/>
        </w:rPr>
        <w:t> in-house, as indicated below.</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i/>
          <w:iCs/>
          <w:color w:val="3A4249"/>
          <w:sz w:val="26"/>
          <w:szCs w:val="26"/>
        </w:rPr>
        <w:t>Required Materials:</w:t>
      </w:r>
    </w:p>
    <w:p w:rsidR="00012C3C" w:rsidRPr="00012C3C" w:rsidRDefault="00012C3C" w:rsidP="00012C3C">
      <w:pPr>
        <w:numPr>
          <w:ilvl w:val="0"/>
          <w:numId w:val="1"/>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i/>
          <w:iCs/>
          <w:color w:val="3A4249"/>
          <w:sz w:val="26"/>
          <w:szCs w:val="26"/>
        </w:rPr>
        <w:t>E. coli</w:t>
      </w:r>
      <w:r w:rsidRPr="00012C3C">
        <w:rPr>
          <w:rFonts w:ascii="Arial" w:eastAsia="Times New Roman" w:hAnsi="Arial" w:cs="Arial"/>
          <w:color w:val="3A4249"/>
          <w:sz w:val="26"/>
          <w:szCs w:val="26"/>
        </w:rPr>
        <w:t> cells (typically DH5α or similar strains)</w:t>
      </w:r>
    </w:p>
    <w:p w:rsidR="00012C3C" w:rsidRPr="00012C3C" w:rsidRDefault="00012C3C" w:rsidP="00012C3C">
      <w:pPr>
        <w:numPr>
          <w:ilvl w:val="0"/>
          <w:numId w:val="1"/>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LB (Luria-Bertani) broth and agar plates</w:t>
      </w:r>
    </w:p>
    <w:p w:rsidR="00012C3C" w:rsidRPr="00012C3C" w:rsidRDefault="00012C3C" w:rsidP="00012C3C">
      <w:pPr>
        <w:numPr>
          <w:ilvl w:val="0"/>
          <w:numId w:val="1"/>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Calcium chloride (</w:t>
      </w:r>
      <w:proofErr w:type="spellStart"/>
      <w:r w:rsidRPr="00012C3C">
        <w:rPr>
          <w:rFonts w:ascii="Arial" w:eastAsia="Times New Roman" w:hAnsi="Arial" w:cs="Arial"/>
          <w:color w:val="3A4249"/>
          <w:sz w:val="26"/>
          <w:szCs w:val="26"/>
        </w:rPr>
        <w:t>CaCl</w:t>
      </w:r>
      <w:r w:rsidRPr="00012C3C">
        <w:rPr>
          <w:rFonts w:ascii="Arial" w:eastAsia="Times New Roman" w:hAnsi="Arial" w:cs="Arial"/>
          <w:color w:val="3A4249"/>
          <w:sz w:val="19"/>
          <w:szCs w:val="19"/>
          <w:vertAlign w:val="subscript"/>
        </w:rPr>
        <w:t>2</w:t>
      </w:r>
      <w:proofErr w:type="spellEnd"/>
      <w:r w:rsidRPr="00012C3C">
        <w:rPr>
          <w:rFonts w:ascii="Arial" w:eastAsia="Times New Roman" w:hAnsi="Arial" w:cs="Arial"/>
          <w:color w:val="3A4249"/>
          <w:sz w:val="26"/>
          <w:szCs w:val="26"/>
        </w:rPr>
        <w:t>)</w:t>
      </w:r>
    </w:p>
    <w:p w:rsidR="00012C3C" w:rsidRPr="00012C3C" w:rsidRDefault="00012C3C" w:rsidP="00012C3C">
      <w:pPr>
        <w:numPr>
          <w:ilvl w:val="0"/>
          <w:numId w:val="1"/>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Ice</w:t>
      </w:r>
    </w:p>
    <w:p w:rsidR="00012C3C" w:rsidRPr="00012C3C" w:rsidRDefault="00012C3C" w:rsidP="00012C3C">
      <w:pPr>
        <w:numPr>
          <w:ilvl w:val="0"/>
          <w:numId w:val="1"/>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Sterile microcentrifuge tubes</w:t>
      </w:r>
    </w:p>
    <w:p w:rsidR="00012C3C" w:rsidRPr="00012C3C" w:rsidRDefault="00012C3C" w:rsidP="00012C3C">
      <w:pPr>
        <w:numPr>
          <w:ilvl w:val="0"/>
          <w:numId w:val="1"/>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Centrifuge</w:t>
      </w:r>
    </w:p>
    <w:p w:rsidR="00012C3C" w:rsidRPr="00012C3C" w:rsidRDefault="00012C3C" w:rsidP="00012C3C">
      <w:pPr>
        <w:numPr>
          <w:ilvl w:val="0"/>
          <w:numId w:val="1"/>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Incubator set to 37 °C</w:t>
      </w:r>
    </w:p>
    <w:p w:rsidR="00012C3C" w:rsidRPr="00012C3C" w:rsidRDefault="00012C3C" w:rsidP="00012C3C">
      <w:pPr>
        <w:numPr>
          <w:ilvl w:val="0"/>
          <w:numId w:val="1"/>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Pipettes and tips</w:t>
      </w:r>
    </w:p>
    <w:p w:rsidR="00012C3C" w:rsidRPr="00012C3C" w:rsidRDefault="00012C3C" w:rsidP="00012C3C">
      <w:pPr>
        <w:numPr>
          <w:ilvl w:val="0"/>
          <w:numId w:val="1"/>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Sterile distilled water</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The recommended guidelines for producing </w:t>
      </w:r>
      <w:hyperlink r:id="rId5" w:history="1">
        <w:r w:rsidRPr="00012C3C">
          <w:rPr>
            <w:rFonts w:ascii="Arial" w:eastAsia="Times New Roman" w:hAnsi="Arial" w:cs="Arial"/>
            <w:color w:val="0000FF"/>
            <w:sz w:val="26"/>
            <w:szCs w:val="26"/>
            <w:u w:val="single"/>
          </w:rPr>
          <w:t>chemically competent cells</w:t>
        </w:r>
      </w:hyperlink>
      <w:r w:rsidRPr="00012C3C">
        <w:rPr>
          <w:rFonts w:ascii="Arial" w:eastAsia="Times New Roman" w:hAnsi="Arial" w:cs="Arial"/>
          <w:color w:val="3A4249"/>
          <w:sz w:val="26"/>
          <w:szCs w:val="26"/>
        </w:rPr>
        <w:t> may vary depending on several factors, such as the </w:t>
      </w:r>
      <w:r w:rsidRPr="00012C3C">
        <w:rPr>
          <w:rFonts w:ascii="Arial" w:eastAsia="Times New Roman" w:hAnsi="Arial" w:cs="Arial"/>
          <w:i/>
          <w:iCs/>
          <w:color w:val="3A4249"/>
          <w:sz w:val="26"/>
          <w:szCs w:val="26"/>
        </w:rPr>
        <w:t>E. coli</w:t>
      </w:r>
      <w:r w:rsidRPr="00012C3C">
        <w:rPr>
          <w:rFonts w:ascii="Arial" w:eastAsia="Times New Roman" w:hAnsi="Arial" w:cs="Arial"/>
          <w:color w:val="3A4249"/>
          <w:sz w:val="26"/>
          <w:szCs w:val="26"/>
        </w:rPr>
        <w:t> strain used and the growth rate of the culture. However, most traditional methods for preparing chemically competent cells consist of the following steps.</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b/>
          <w:bCs/>
          <w:color w:val="3A4249"/>
          <w:sz w:val="26"/>
          <w:szCs w:val="26"/>
        </w:rPr>
        <w:t>Step 1: Inoculation and Growth of Cells (3-4 hours)</w:t>
      </w:r>
    </w:p>
    <w:p w:rsidR="00012C3C" w:rsidRPr="00012C3C" w:rsidRDefault="00012C3C" w:rsidP="00012C3C">
      <w:pPr>
        <w:numPr>
          <w:ilvl w:val="0"/>
          <w:numId w:val="2"/>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Commence by inoculating a single colony of </w:t>
      </w:r>
      <w:r w:rsidRPr="00012C3C">
        <w:rPr>
          <w:rFonts w:ascii="Arial" w:eastAsia="Times New Roman" w:hAnsi="Arial" w:cs="Arial"/>
          <w:i/>
          <w:iCs/>
          <w:color w:val="3A4249"/>
          <w:sz w:val="26"/>
          <w:szCs w:val="26"/>
        </w:rPr>
        <w:t>E. coli</w:t>
      </w:r>
      <w:r w:rsidRPr="00012C3C">
        <w:rPr>
          <w:rFonts w:ascii="Arial" w:eastAsia="Times New Roman" w:hAnsi="Arial" w:cs="Arial"/>
          <w:color w:val="3A4249"/>
          <w:sz w:val="26"/>
          <w:szCs w:val="26"/>
        </w:rPr>
        <w:t> into 5-10 ml of LB broth.</w:t>
      </w:r>
    </w:p>
    <w:p w:rsidR="00012C3C" w:rsidRPr="00012C3C" w:rsidRDefault="00012C3C" w:rsidP="00012C3C">
      <w:pPr>
        <w:numPr>
          <w:ilvl w:val="0"/>
          <w:numId w:val="2"/>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Incubate the culture at 37 °C with shaking until it reaches an optical density (OD600) of about 0.4–0.6.</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b/>
          <w:bCs/>
          <w:color w:val="3A4249"/>
          <w:sz w:val="26"/>
          <w:szCs w:val="26"/>
        </w:rPr>
        <w:t>Step 2: Chilling Cells on Ice (10-15 minutes)</w:t>
      </w:r>
    </w:p>
    <w:p w:rsidR="00012C3C" w:rsidRPr="00012C3C" w:rsidRDefault="00012C3C" w:rsidP="00012C3C">
      <w:pPr>
        <w:numPr>
          <w:ilvl w:val="0"/>
          <w:numId w:val="3"/>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Transfer the culture to a sterile centrifuge tube.</w:t>
      </w:r>
    </w:p>
    <w:p w:rsidR="00012C3C" w:rsidRPr="00012C3C" w:rsidRDefault="00012C3C" w:rsidP="00012C3C">
      <w:pPr>
        <w:numPr>
          <w:ilvl w:val="0"/>
          <w:numId w:val="3"/>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Place the tube on ice for 10-15 minutes to cool down the cells.</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b/>
          <w:bCs/>
          <w:color w:val="3A4249"/>
          <w:sz w:val="26"/>
          <w:szCs w:val="26"/>
        </w:rPr>
        <w:lastRenderedPageBreak/>
        <w:t>Step 3: Centrifugation and Resuspension of Cells (30 minutes)</w:t>
      </w:r>
    </w:p>
    <w:p w:rsidR="00012C3C" w:rsidRPr="00012C3C" w:rsidRDefault="00012C3C" w:rsidP="00012C3C">
      <w:pPr>
        <w:numPr>
          <w:ilvl w:val="0"/>
          <w:numId w:val="4"/>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Centrifuge the culture at 4,000 x g for 10 minutes at 4 °C.</w:t>
      </w:r>
    </w:p>
    <w:p w:rsidR="00012C3C" w:rsidRPr="00012C3C" w:rsidRDefault="00012C3C" w:rsidP="00012C3C">
      <w:pPr>
        <w:numPr>
          <w:ilvl w:val="0"/>
          <w:numId w:val="4"/>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Carefully decant and discard the supernatant.</w:t>
      </w:r>
    </w:p>
    <w:p w:rsidR="00012C3C" w:rsidRPr="00012C3C" w:rsidRDefault="00012C3C" w:rsidP="00012C3C">
      <w:pPr>
        <w:numPr>
          <w:ilvl w:val="0"/>
          <w:numId w:val="4"/>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Gently resuspend the cell pellet in an equal volume of cold, sterile 100 mM calcium chloride (</w:t>
      </w:r>
      <w:proofErr w:type="spellStart"/>
      <w:r w:rsidRPr="00012C3C">
        <w:rPr>
          <w:rFonts w:ascii="Arial" w:eastAsia="Times New Roman" w:hAnsi="Arial" w:cs="Arial"/>
          <w:color w:val="3A4249"/>
          <w:sz w:val="26"/>
          <w:szCs w:val="26"/>
        </w:rPr>
        <w:t>CaCl</w:t>
      </w:r>
      <w:r w:rsidRPr="00012C3C">
        <w:rPr>
          <w:rFonts w:ascii="Arial" w:eastAsia="Times New Roman" w:hAnsi="Arial" w:cs="Arial"/>
          <w:color w:val="3A4249"/>
          <w:sz w:val="19"/>
          <w:szCs w:val="19"/>
          <w:vertAlign w:val="subscript"/>
        </w:rPr>
        <w:t>2</w:t>
      </w:r>
      <w:proofErr w:type="spellEnd"/>
      <w:r w:rsidRPr="00012C3C">
        <w:rPr>
          <w:rFonts w:ascii="Arial" w:eastAsia="Times New Roman" w:hAnsi="Arial" w:cs="Arial"/>
          <w:color w:val="3A4249"/>
          <w:sz w:val="26"/>
          <w:szCs w:val="26"/>
        </w:rPr>
        <w:t>) solution.</w:t>
      </w:r>
    </w:p>
    <w:p w:rsidR="00012C3C" w:rsidRPr="00012C3C" w:rsidRDefault="00012C3C" w:rsidP="00012C3C">
      <w:pPr>
        <w:numPr>
          <w:ilvl w:val="0"/>
          <w:numId w:val="4"/>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Incubate on ice for 30 minutes, gently inverting the tube every 5-10 minutes.</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b/>
          <w:bCs/>
          <w:color w:val="3A4249"/>
          <w:sz w:val="26"/>
          <w:szCs w:val="26"/>
        </w:rPr>
        <w:t>Step 4: Repeating Centrifugation and Resuspension (30 minutes)</w:t>
      </w:r>
    </w:p>
    <w:p w:rsidR="00012C3C" w:rsidRPr="00012C3C" w:rsidRDefault="00012C3C" w:rsidP="00012C3C">
      <w:pPr>
        <w:numPr>
          <w:ilvl w:val="0"/>
          <w:numId w:val="5"/>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Centrifuge the cells again at 4,000 x g for 10 minutes at 4 °C.</w:t>
      </w:r>
    </w:p>
    <w:p w:rsidR="00012C3C" w:rsidRPr="00012C3C" w:rsidRDefault="00012C3C" w:rsidP="00012C3C">
      <w:pPr>
        <w:numPr>
          <w:ilvl w:val="0"/>
          <w:numId w:val="5"/>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Carefully remove the supernatant, leaving the cell pellet.</w:t>
      </w:r>
    </w:p>
    <w:p w:rsidR="00012C3C" w:rsidRPr="00012C3C" w:rsidRDefault="00012C3C" w:rsidP="00012C3C">
      <w:pPr>
        <w:numPr>
          <w:ilvl w:val="0"/>
          <w:numId w:val="5"/>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Resuspend the pellet in a smaller volume (usually 100-200 μl) of cold 100 mM </w:t>
      </w:r>
      <w:proofErr w:type="spellStart"/>
      <w:r w:rsidRPr="00012C3C">
        <w:rPr>
          <w:rFonts w:ascii="Arial" w:eastAsia="Times New Roman" w:hAnsi="Arial" w:cs="Arial"/>
          <w:color w:val="3A4249"/>
          <w:sz w:val="26"/>
          <w:szCs w:val="26"/>
        </w:rPr>
        <w:t>CaCl</w:t>
      </w:r>
      <w:r w:rsidRPr="00012C3C">
        <w:rPr>
          <w:rFonts w:ascii="Arial" w:eastAsia="Times New Roman" w:hAnsi="Arial" w:cs="Arial"/>
          <w:color w:val="3A4249"/>
          <w:sz w:val="19"/>
          <w:szCs w:val="19"/>
          <w:vertAlign w:val="subscript"/>
        </w:rPr>
        <w:t>2</w:t>
      </w:r>
      <w:proofErr w:type="spellEnd"/>
      <w:r w:rsidRPr="00012C3C">
        <w:rPr>
          <w:rFonts w:ascii="Arial" w:eastAsia="Times New Roman" w:hAnsi="Arial" w:cs="Arial"/>
          <w:color w:val="3A4249"/>
          <w:sz w:val="26"/>
          <w:szCs w:val="26"/>
        </w:rPr>
        <w:t> solution.</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b/>
          <w:bCs/>
          <w:color w:val="3A4249"/>
          <w:sz w:val="26"/>
          <w:szCs w:val="26"/>
        </w:rPr>
        <w:t>Step 5: Aliquoting and Freezing (15-20 minutes)</w:t>
      </w:r>
    </w:p>
    <w:p w:rsidR="00012C3C" w:rsidRPr="00012C3C" w:rsidRDefault="00012C3C" w:rsidP="00012C3C">
      <w:pPr>
        <w:numPr>
          <w:ilvl w:val="0"/>
          <w:numId w:val="6"/>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Divide the competent cells into small aliquots (usually 20-100 μl) and store them in sterile microcentrifuge tubes.</w:t>
      </w:r>
    </w:p>
    <w:p w:rsidR="00012C3C" w:rsidRPr="00012C3C" w:rsidRDefault="00012C3C" w:rsidP="00012C3C">
      <w:pPr>
        <w:numPr>
          <w:ilvl w:val="0"/>
          <w:numId w:val="6"/>
        </w:numPr>
        <w:spacing w:before="100" w:beforeAutospacing="1" w:after="100" w:afterAutospacing="1"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Flash-freeze the aliquots in liquid nitrogen and store them at -80 °C until needed.</w:t>
      </w:r>
    </w:p>
    <w:p w:rsidR="00012C3C" w:rsidRPr="00012C3C" w:rsidRDefault="00012C3C" w:rsidP="00012C3C">
      <w:pPr>
        <w:spacing w:after="0" w:line="240" w:lineRule="auto"/>
        <w:rPr>
          <w:rFonts w:ascii="Times New Roman" w:eastAsia="Times New Roman" w:hAnsi="Times New Roman" w:cs="Times New Roman"/>
          <w:sz w:val="24"/>
          <w:szCs w:val="24"/>
        </w:rPr>
      </w:pPr>
      <w:r w:rsidRPr="00012C3C">
        <w:rPr>
          <w:rFonts w:ascii="Times New Roman" w:eastAsia="Times New Roman" w:hAnsi="Times New Roman" w:cs="Times New Roman"/>
          <w:noProof/>
          <w:sz w:val="24"/>
          <w:szCs w:val="24"/>
        </w:rPr>
        <w:drawing>
          <wp:inline distT="0" distB="0" distL="0" distR="0">
            <wp:extent cx="4572000" cy="3140710"/>
            <wp:effectExtent l="0" t="0" r="0" b="2540"/>
            <wp:docPr id="1" name="Picture 1" descr="https://cdn.shopify.com/s/files/1/0548/8830/0722/files/Cell_Transformation2_480x480.png?v=1715807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dn.shopify.com/s/files/1/0548/8830/0722/files/Cell_Transformation2_480x480.png?v=1715807280"/>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572000" cy="3140710"/>
                    </a:xfrm>
                    <a:prstGeom prst="rect">
                      <a:avLst/>
                    </a:prstGeom>
                    <a:noFill/>
                    <a:ln>
                      <a:noFill/>
                    </a:ln>
                  </pic:spPr>
                </pic:pic>
              </a:graphicData>
            </a:graphic>
          </wp:inline>
        </w:drawing>
      </w:r>
      <w:r w:rsidRPr="00012C3C">
        <w:rPr>
          <w:rFonts w:ascii="Arial" w:eastAsia="Times New Roman" w:hAnsi="Arial" w:cs="Arial"/>
          <w:b/>
          <w:bCs/>
          <w:sz w:val="24"/>
          <w:szCs w:val="24"/>
        </w:rPr>
        <w:t>Figure 1. Preparation of chemically competent cells in-house</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lastRenderedPageBreak/>
        <w:t>Thus, preparing chemically competent cells in-house requires a large time investment, proper equipment and materials, and technical expertise. The process can be long and tedious, requiring several temperature-sensitive incubation steps that must be completed properly to achieve efficient transformations downstream. As an alternative to traditional procedures, the </w:t>
      </w:r>
      <w:hyperlink r:id="rId7" w:history="1">
        <w:r w:rsidRPr="00012C3C">
          <w:rPr>
            <w:rFonts w:ascii="Arial" w:eastAsia="Times New Roman" w:hAnsi="Arial" w:cs="Arial"/>
            <w:i/>
            <w:iCs/>
            <w:sz w:val="26"/>
            <w:szCs w:val="26"/>
          </w:rPr>
          <w:t>Mix &amp; Go! E. coli</w:t>
        </w:r>
        <w:r w:rsidRPr="00012C3C">
          <w:rPr>
            <w:rFonts w:ascii="Arial" w:eastAsia="Times New Roman" w:hAnsi="Arial" w:cs="Arial"/>
            <w:color w:val="0000FF"/>
            <w:sz w:val="26"/>
            <w:szCs w:val="26"/>
            <w:u w:val="single"/>
          </w:rPr>
          <w:t> Transformation Kit and Buffer Set</w:t>
        </w:r>
      </w:hyperlink>
      <w:r w:rsidRPr="00012C3C">
        <w:rPr>
          <w:rFonts w:ascii="Arial" w:eastAsia="Times New Roman" w:hAnsi="Arial" w:cs="Arial"/>
          <w:color w:val="3A4249"/>
          <w:sz w:val="26"/>
          <w:szCs w:val="26"/>
        </w:rPr>
        <w:t> simplifies the process of competent cell preparation by employing a fast 3-step protocol that can be completed in less than 45 minutes.</w:t>
      </w:r>
    </w:p>
    <w:p w:rsidR="00012C3C" w:rsidRPr="00012C3C" w:rsidRDefault="00012C3C" w:rsidP="00012C3C">
      <w:pPr>
        <w:spacing w:before="720" w:after="263" w:line="654" w:lineRule="atLeast"/>
        <w:jc w:val="center"/>
        <w:outlineLvl w:val="1"/>
        <w:rPr>
          <w:rFonts w:ascii="Arial" w:eastAsia="Times New Roman" w:hAnsi="Arial" w:cs="Arial"/>
          <w:b/>
          <w:bCs/>
          <w:spacing w:val="5"/>
          <w:sz w:val="48"/>
          <w:szCs w:val="48"/>
        </w:rPr>
      </w:pPr>
      <w:r w:rsidRPr="00012C3C">
        <w:rPr>
          <w:rFonts w:ascii="Arial" w:eastAsia="Times New Roman" w:hAnsi="Arial" w:cs="Arial"/>
          <w:b/>
          <w:bCs/>
          <w:spacing w:val="5"/>
          <w:sz w:val="48"/>
          <w:szCs w:val="48"/>
        </w:rPr>
        <w:t>4 Tips for Making Competent Cells</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Competent cells should be prepared meticulously and stored correctly to ensure they can be used for highly efficient transformation. The list below can help you steer clear of problems when making chemically competent cells using traditional in-house procedures.</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b/>
          <w:bCs/>
          <w:i/>
          <w:iCs/>
          <w:color w:val="3A4249"/>
          <w:sz w:val="26"/>
          <w:szCs w:val="26"/>
        </w:rPr>
        <w:t>Tip #1: Keep Them COLD!</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The process of making chemically competent cells is challenging due to the need for the cells to stay cold. This is crucial because the cells are so sensitive and fragile while they are being made competent. Keeping the temperature low helps to avoid cell death during processing.</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This means using a cold room if possible and performing the centrifugations at 0–4 °C. Pre-cooled microcentrifuge tubes and racks should also be used and kept on dry ice before use. Doing this allows the cells to freeze faster, important especially when aliquoting the cells. Flash-freezing in liquid nitrogen before storing cells at -80 °C can help maintain cell competency for an extended period.</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Keeping the cells cold is even important during the culturing process. Lower temperature growth (18–33 °C) increases transformation efficiencies. Due to this, we recommend using </w:t>
      </w:r>
      <w:proofErr w:type="spellStart"/>
      <w:r w:rsidRPr="00012C3C">
        <w:rPr>
          <w:rFonts w:ascii="Arial" w:eastAsia="Times New Roman" w:hAnsi="Arial" w:cs="Arial"/>
          <w:color w:val="3A4249"/>
          <w:sz w:val="26"/>
          <w:szCs w:val="26"/>
        </w:rPr>
        <w:fldChar w:fldCharType="begin"/>
      </w:r>
      <w:r w:rsidRPr="00012C3C">
        <w:rPr>
          <w:rFonts w:ascii="Arial" w:eastAsia="Times New Roman" w:hAnsi="Arial" w:cs="Arial"/>
          <w:color w:val="3A4249"/>
          <w:sz w:val="26"/>
          <w:szCs w:val="26"/>
        </w:rPr>
        <w:instrText xml:space="preserve"> HYPERLINK "https://zymoresearch.eu/products/zymobroth" </w:instrText>
      </w:r>
      <w:r w:rsidRPr="00012C3C">
        <w:rPr>
          <w:rFonts w:ascii="Arial" w:eastAsia="Times New Roman" w:hAnsi="Arial" w:cs="Arial"/>
          <w:color w:val="3A4249"/>
          <w:sz w:val="26"/>
          <w:szCs w:val="26"/>
        </w:rPr>
        <w:fldChar w:fldCharType="separate"/>
      </w:r>
      <w:r w:rsidRPr="00012C3C">
        <w:rPr>
          <w:rFonts w:ascii="Arial" w:eastAsia="Times New Roman" w:hAnsi="Arial" w:cs="Arial"/>
          <w:color w:val="0000FF"/>
          <w:sz w:val="26"/>
          <w:szCs w:val="26"/>
          <w:u w:val="single"/>
        </w:rPr>
        <w:t>ZymoBroth</w:t>
      </w:r>
      <w:proofErr w:type="spellEnd"/>
      <w:r w:rsidRPr="00012C3C">
        <w:rPr>
          <w:rFonts w:ascii="Arial" w:eastAsia="Times New Roman" w:hAnsi="Arial" w:cs="Arial"/>
          <w:color w:val="3A4249"/>
          <w:sz w:val="26"/>
          <w:szCs w:val="26"/>
        </w:rPr>
        <w:fldChar w:fldCharType="end"/>
      </w:r>
      <w:r w:rsidRPr="00012C3C">
        <w:rPr>
          <w:rFonts w:ascii="Arial" w:eastAsia="Times New Roman" w:hAnsi="Arial" w:cs="Arial"/>
          <w:color w:val="3A4249"/>
          <w:sz w:val="26"/>
          <w:szCs w:val="26"/>
        </w:rPr>
        <w:t> growth medium, as it can promote efficient growth even at lower temperatures.</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b/>
          <w:bCs/>
          <w:i/>
          <w:iCs/>
          <w:color w:val="3A4249"/>
          <w:sz w:val="26"/>
          <w:szCs w:val="26"/>
        </w:rPr>
        <w:lastRenderedPageBreak/>
        <w:t>Tip #2: Handle Cells Carefully</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Gentle resuspension of cells prevents damage and maximizes transformation efficiency. Additionally, complete removal of the </w:t>
      </w:r>
      <w:proofErr w:type="spellStart"/>
      <w:r w:rsidRPr="00012C3C">
        <w:rPr>
          <w:rFonts w:ascii="Arial" w:eastAsia="Times New Roman" w:hAnsi="Arial" w:cs="Arial"/>
          <w:color w:val="3A4249"/>
          <w:sz w:val="26"/>
          <w:szCs w:val="26"/>
        </w:rPr>
        <w:t>CaCl</w:t>
      </w:r>
      <w:r w:rsidRPr="00012C3C">
        <w:rPr>
          <w:rFonts w:ascii="Arial" w:eastAsia="Times New Roman" w:hAnsi="Arial" w:cs="Arial"/>
          <w:color w:val="3A4249"/>
          <w:sz w:val="19"/>
          <w:szCs w:val="19"/>
          <w:vertAlign w:val="subscript"/>
        </w:rPr>
        <w:t>2</w:t>
      </w:r>
      <w:proofErr w:type="spellEnd"/>
      <w:r w:rsidRPr="00012C3C">
        <w:rPr>
          <w:rFonts w:ascii="Arial" w:eastAsia="Times New Roman" w:hAnsi="Arial" w:cs="Arial"/>
          <w:color w:val="3A4249"/>
          <w:sz w:val="26"/>
          <w:szCs w:val="26"/>
        </w:rPr>
        <w:t> solution after the second centrifugation step is critical to prevent excess salts from inhibiting subsequent transformations.</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b/>
          <w:bCs/>
          <w:i/>
          <w:iCs/>
          <w:color w:val="3A4249"/>
          <w:sz w:val="26"/>
          <w:szCs w:val="26"/>
        </w:rPr>
        <w:t>Tip #3: Prepare Freezer Space</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Competent cells need to be stored at -80 °C. The process of making the cells competent makes them very fragile – likely to rupture and die. This means that storing at -20 °C can dramatically reduce transformation efficiency. After just 24 hours of storage at -20 °C, cells can lose up to 90% of the transformation efficiency.</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b/>
          <w:bCs/>
          <w:i/>
          <w:iCs/>
          <w:color w:val="3A4249"/>
          <w:sz w:val="26"/>
          <w:szCs w:val="26"/>
        </w:rPr>
        <w:t>Tip #4: Prepare Reagents and Labware</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Making chemically competent cells can be a long and tedious process with several lengthy incubations. The process requires use of sterile growth media, glassware, and processing reagents. This requires preparation of all reagents and labware prior to starting the procedure.</w:t>
      </w:r>
    </w:p>
    <w:p w:rsidR="00012C3C" w:rsidRPr="00012C3C" w:rsidRDefault="00012C3C" w:rsidP="00012C3C">
      <w:pPr>
        <w:spacing w:before="720" w:after="263" w:line="654" w:lineRule="atLeast"/>
        <w:jc w:val="center"/>
        <w:outlineLvl w:val="1"/>
        <w:rPr>
          <w:rFonts w:ascii="Arial" w:eastAsia="Times New Roman" w:hAnsi="Arial" w:cs="Arial"/>
          <w:b/>
          <w:bCs/>
          <w:spacing w:val="5"/>
          <w:sz w:val="48"/>
          <w:szCs w:val="48"/>
        </w:rPr>
      </w:pPr>
      <w:r w:rsidRPr="00012C3C">
        <w:rPr>
          <w:rFonts w:ascii="Arial" w:eastAsia="Times New Roman" w:hAnsi="Arial" w:cs="Arial"/>
          <w:b/>
          <w:bCs/>
          <w:spacing w:val="5"/>
          <w:sz w:val="48"/>
          <w:szCs w:val="48"/>
        </w:rPr>
        <w:t>The Easiest Way to Get Competent Cells</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t>An alternative option to making competent cells is using commercial strains, which are premade competent cells. This eliminates many of the hassles associated with this time-consuming process and ensures optimal transformation efficiency, as the strains have already been measured and validated. The best option for rapid and efficient transformation is the </w:t>
      </w:r>
      <w:hyperlink r:id="rId8" w:history="1">
        <w:r w:rsidRPr="00012C3C">
          <w:rPr>
            <w:rFonts w:ascii="Arial" w:eastAsia="Times New Roman" w:hAnsi="Arial" w:cs="Arial"/>
            <w:i/>
            <w:iCs/>
            <w:sz w:val="26"/>
            <w:szCs w:val="26"/>
          </w:rPr>
          <w:t>Mix and Go!</w:t>
        </w:r>
        <w:r w:rsidRPr="00012C3C">
          <w:rPr>
            <w:rFonts w:ascii="Arial" w:eastAsia="Times New Roman" w:hAnsi="Arial" w:cs="Arial"/>
            <w:color w:val="0000FF"/>
            <w:sz w:val="26"/>
            <w:szCs w:val="26"/>
            <w:u w:val="single"/>
          </w:rPr>
          <w:t> Competent Cells</w:t>
        </w:r>
      </w:hyperlink>
      <w:r w:rsidRPr="00012C3C">
        <w:rPr>
          <w:rFonts w:ascii="Arial" w:eastAsia="Times New Roman" w:hAnsi="Arial" w:cs="Arial"/>
          <w:color w:val="3A4249"/>
          <w:sz w:val="26"/>
          <w:szCs w:val="26"/>
        </w:rPr>
        <w:t>. They have very high transformation efficiencies of up 10</w:t>
      </w:r>
      <w:r w:rsidRPr="00012C3C">
        <w:rPr>
          <w:rFonts w:ascii="Arial" w:eastAsia="Times New Roman" w:hAnsi="Arial" w:cs="Arial"/>
          <w:color w:val="3A4249"/>
          <w:sz w:val="19"/>
          <w:szCs w:val="19"/>
          <w:vertAlign w:val="superscript"/>
        </w:rPr>
        <w:t>9</w:t>
      </w:r>
      <w:r w:rsidRPr="00012C3C">
        <w:rPr>
          <w:rFonts w:ascii="Arial" w:eastAsia="Times New Roman" w:hAnsi="Arial" w:cs="Arial"/>
          <w:color w:val="3A4249"/>
          <w:sz w:val="26"/>
          <w:szCs w:val="26"/>
        </w:rPr>
        <w:t> transformants per µg of plasmid DNA and bypass the conventional heat shock procedure to perform transformations in 20 seconds (for ampicillin resistance-based plasmids). Five premade strains including the popular </w:t>
      </w:r>
      <w:hyperlink r:id="rId9" w:history="1">
        <w:r w:rsidRPr="00012C3C">
          <w:rPr>
            <w:rFonts w:ascii="Arial" w:eastAsia="Times New Roman" w:hAnsi="Arial" w:cs="Arial"/>
            <w:color w:val="0000FF"/>
            <w:sz w:val="26"/>
            <w:szCs w:val="26"/>
            <w:u w:val="single"/>
          </w:rPr>
          <w:t>DH5α strain</w:t>
        </w:r>
      </w:hyperlink>
      <w:r w:rsidRPr="00012C3C">
        <w:rPr>
          <w:rFonts w:ascii="Arial" w:eastAsia="Times New Roman" w:hAnsi="Arial" w:cs="Arial"/>
          <w:color w:val="3A4249"/>
          <w:sz w:val="26"/>
          <w:szCs w:val="26"/>
        </w:rPr>
        <w:t> are commercially available for a wide range of applications, from basic cloning to complex genome editing.</w:t>
      </w:r>
    </w:p>
    <w:p w:rsidR="00012C3C" w:rsidRPr="00012C3C" w:rsidRDefault="00012C3C" w:rsidP="00012C3C">
      <w:pPr>
        <w:spacing w:after="600" w:line="347" w:lineRule="atLeast"/>
        <w:rPr>
          <w:rFonts w:ascii="Arial" w:eastAsia="Times New Roman" w:hAnsi="Arial" w:cs="Arial"/>
          <w:color w:val="3A4249"/>
          <w:sz w:val="26"/>
          <w:szCs w:val="26"/>
        </w:rPr>
      </w:pPr>
      <w:r w:rsidRPr="00012C3C">
        <w:rPr>
          <w:rFonts w:ascii="Arial" w:eastAsia="Times New Roman" w:hAnsi="Arial" w:cs="Arial"/>
          <w:color w:val="3A4249"/>
          <w:sz w:val="26"/>
          <w:szCs w:val="26"/>
        </w:rPr>
        <w:lastRenderedPageBreak/>
        <w:t xml:space="preserve">Competent cells are one of the most commonly used reagents within the lab and having the right cells is crucial for any successful transformation. Whether you choose to purchase or make competent cells, the technical support team at </w:t>
      </w:r>
      <w:proofErr w:type="spellStart"/>
      <w:r w:rsidRPr="00012C3C">
        <w:rPr>
          <w:rFonts w:ascii="Arial" w:eastAsia="Times New Roman" w:hAnsi="Arial" w:cs="Arial"/>
          <w:color w:val="3A4249"/>
          <w:sz w:val="26"/>
          <w:szCs w:val="26"/>
        </w:rPr>
        <w:t>Zymo</w:t>
      </w:r>
      <w:proofErr w:type="spellEnd"/>
      <w:r w:rsidRPr="00012C3C">
        <w:rPr>
          <w:rFonts w:ascii="Arial" w:eastAsia="Times New Roman" w:hAnsi="Arial" w:cs="Arial"/>
          <w:color w:val="3A4249"/>
          <w:sz w:val="26"/>
          <w:szCs w:val="26"/>
        </w:rPr>
        <w:t xml:space="preserve"> Research is available to help you through the process.</w:t>
      </w:r>
    </w:p>
    <w:p w:rsidR="00023EC0" w:rsidRDefault="00012C3C"/>
    <w:sectPr w:rsidR="00023EC0" w:rsidSect="00012C3C">
      <w:pgSz w:w="12240" w:h="15840"/>
      <w:pgMar w:top="900" w:right="907" w:bottom="1440" w:left="1166" w:header="72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E33A26"/>
    <w:multiLevelType w:val="multilevel"/>
    <w:tmpl w:val="F1A6F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D8F33F1"/>
    <w:multiLevelType w:val="multilevel"/>
    <w:tmpl w:val="9FAC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605C6"/>
    <w:multiLevelType w:val="multilevel"/>
    <w:tmpl w:val="57560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5604ED"/>
    <w:multiLevelType w:val="multilevel"/>
    <w:tmpl w:val="38A2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14F0D70"/>
    <w:multiLevelType w:val="multilevel"/>
    <w:tmpl w:val="6B0A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F04021"/>
    <w:multiLevelType w:val="multilevel"/>
    <w:tmpl w:val="C338B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5"/>
  </w:num>
  <w:num w:numId="4">
    <w:abstractNumId w:val="4"/>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2C3C"/>
    <w:rsid w:val="00012C3C"/>
    <w:rsid w:val="004C15F5"/>
    <w:rsid w:val="006063BF"/>
    <w:rsid w:val="00950EE0"/>
    <w:rsid w:val="00BA4722"/>
    <w:rsid w:val="00DD4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913DA76-F964-48A0-B6A3-A92AD0CBB3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012C3C"/>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12C3C"/>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012C3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12C3C"/>
    <w:rPr>
      <w:i/>
      <w:iCs/>
    </w:rPr>
  </w:style>
  <w:style w:type="character" w:styleId="Hyperlink">
    <w:name w:val="Hyperlink"/>
    <w:basedOn w:val="DefaultParagraphFont"/>
    <w:uiPriority w:val="99"/>
    <w:semiHidden/>
    <w:unhideWhenUsed/>
    <w:rsid w:val="00012C3C"/>
    <w:rPr>
      <w:color w:val="0000FF"/>
      <w:u w:val="single"/>
    </w:rPr>
  </w:style>
  <w:style w:type="paragraph" w:customStyle="1" w:styleId="list-steps">
    <w:name w:val="list-steps"/>
    <w:basedOn w:val="Normal"/>
    <w:rsid w:val="00012C3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12C3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84122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zymoresearch.eu/collections/mix-go-competent-cells" TargetMode="External"/><Relationship Id="rId3" Type="http://schemas.openxmlformats.org/officeDocument/2006/relationships/settings" Target="settings.xml"/><Relationship Id="rId7" Type="http://schemas.openxmlformats.org/officeDocument/2006/relationships/hyperlink" Target="https://www.zymoresearch.com/products/mix-and-go-e-coli-transformation-k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www.zymoresearch.com/pages/chemically-competent-cells"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zymoresearch.com/products/mix-and-go-competent-cells-dh5-alp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941</Words>
  <Characters>5366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Thanh Nguyen Trung</dc:creator>
  <cp:keywords/>
  <dc:description/>
  <cp:lastModifiedBy>Thanh Nguyen Trung</cp:lastModifiedBy>
  <cp:revision>1</cp:revision>
  <dcterms:created xsi:type="dcterms:W3CDTF">2025-12-08T10:14:00Z</dcterms:created>
  <dcterms:modified xsi:type="dcterms:W3CDTF">2025-12-08T10:15:00Z</dcterms:modified>
</cp:coreProperties>
</file>