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2AE7E">
      <w:pPr>
        <w:pStyle w:val="36"/>
      </w:pPr>
      <w:r>
        <w:t>Toà tháp VCCI (Trung tâm thương mại) - Phòng thương mại và Công nghiệp Việt Nam</w:t>
      </w:r>
    </w:p>
    <w:p w14:paraId="77EF3267">
      <w:pPr>
        <w:jc w:val="both"/>
        <w:rPr>
          <w:lang w:val="en-US"/>
        </w:rPr>
      </w:pPr>
      <w:r>
        <w:rPr>
          <w:lang w:val="en-US"/>
        </w:rPr>
        <w:t xml:space="preserve">Được đầu tư bởi Công ty TNHH Saturn, dự án Trung tâm thương mại - Tòa tháp VCCI (thuộc Phòng Thương mại và Công nghiệp Việt Nam) có vị trí nằm tại số 09 phố Đào Duy Anh, quận Đống Đa, Thủ đô Hà Nội. </w:t>
      </w:r>
    </w:p>
    <w:p w14:paraId="715B04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Quy mô của công trình bao gồm 25 tầng nổi cùng 4 tầng hầm, sử dụng hơn 30.000 m2 sàn bê tông cốt thép dự ứng lực. Dự án được phân loại là công trình cấp Đặc biệt (tổng diện tích sàn &gt; 15.000 m2) với thiết kế nhịp ô sàn tiêu chuẩn rộng tới 16m. </w:t>
      </w:r>
    </w:p>
    <w:p w14:paraId="25B14E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Bắt đầu từ tháng 10 năm 2011, Công ty TNHH MTV Tư vấn &amp; Xây dựng A.S.P.T đã chính thức góp mặt tham gia vào các hạng mục của dự án này. Hiện nay, công trình đã hoàn thành và đưa vào sử dụng.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CD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597</Characters>
  <Lines>0</Lines>
  <Paragraphs>0</Paragraphs>
  <TotalTime>1</TotalTime>
  <ScaleCrop>false</ScaleCrop>
  <LinksUpToDate>false</LinksUpToDate>
  <CharactersWithSpaces>764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2026-07-02T11:20:06Z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CEDE5A5799664872A10D0A981E3420DD_12</vt:lpwstr>
  </property>
</Properties>
</file>