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9A5BC">
      <w:pPr>
        <w:pStyle w:val="36"/>
        <w:rPr>
          <w:rFonts w:hint="default"/>
          <w:lang w:val="en-US"/>
        </w:rPr>
      </w:pPr>
      <w:r>
        <w:rPr>
          <w:rFonts w:hint="default"/>
          <w:lang w:val="en-US"/>
        </w:rPr>
        <w:t>Văn phòng</w:t>
      </w:r>
      <w:r>
        <w:t xml:space="preserve"> Thành Lợi</w:t>
      </w:r>
      <w:r>
        <w:rPr>
          <w:rFonts w:hint="default"/>
          <w:lang w:val="en-US"/>
        </w:rPr>
        <w:t xml:space="preserve"> 2</w:t>
      </w:r>
    </w:p>
    <w:p w14:paraId="3052568C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</w:t>
      </w:r>
      <w:r>
        <w:rPr>
          <w:rFonts w:hint="default"/>
          <w:lang w:val="en-US"/>
        </w:rPr>
        <w:t>Văn phòng Thành Lợi 2 tại Đà Nẵng do Công ty CP Đầu tư Thành Lợi làm chủ đầu tư. Đây là công trình cấp I có kết cấu phức tạp, gồm 02 tầng hầm và 25 tầng nổi. Công ty A.S.P.T tham gia tư vấn xây dựng phần kết cấu từ tháng 11/2011. Hiện nay, công trình đã hoàn thành và đưa vào sử dụng</w:t>
      </w:r>
      <w:bookmarkStart w:id="0" w:name="_GoBack"/>
      <w:bookmarkEnd w:id="0"/>
      <w:r>
        <w:rPr>
          <w:rFonts w:hint="default"/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63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603</Characters>
  <Lines>0</Lines>
  <Paragraphs>0</Paragraphs>
  <TotalTime>1</TotalTime>
  <ScaleCrop>false</ScaleCrop>
  <LinksUpToDate>false</LinksUpToDate>
  <CharactersWithSpaces>778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2B7B9FB27F714F8192B49F1157563760_12</vt:lpwstr>
  </property>
</Properties>
</file>