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Vanda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Vanda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Lô A6, đường Nguyễn Văn Linh, quận Hải Châu, thành phố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TNHH Binitis.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Nhà Dân dụng gồm 1 bán hầm &amp; 18 tầng cao với khoảng 8000 m2 sàn bê tông dự ứng lực.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>
              <w:t>Khách sạn 3 sao+, có bể bơi, nằm ở vị trí rất quan trọng của Tp. Đà Nẵng (gần Cầu Rồng)</w:t>
            </w:r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Dân dụng cấp II, kết cấu tương đối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MTV Tư vấn &amp; Xây Dựng A.S.P.T, thiết kế toàn bộ phần kết cấu công trình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6 năm 2013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