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04167">
      <w:pPr>
        <w:pStyle w:val="36"/>
        <w:rPr>
          <w:rFonts w:hint="default"/>
          <w:lang w:val="en-US"/>
        </w:rPr>
      </w:pPr>
      <w:r>
        <w:t>Khách sạn Bắc Cường</w:t>
      </w:r>
      <w:r>
        <w:rPr>
          <w:rFonts w:hint="default"/>
          <w:lang w:val="en-US"/>
        </w:rPr>
        <w:t xml:space="preserve"> 1</w:t>
      </w:r>
    </w:p>
    <w:p w14:paraId="79A8F52E">
      <w:pPr>
        <w:jc w:val="both"/>
        <w:rPr>
          <w:rFonts w:hint="default"/>
          <w:lang w:val="en-US"/>
        </w:rPr>
      </w:pPr>
      <w:r>
        <w:rPr>
          <w:lang w:val="en-US"/>
        </w:rPr>
        <w:t>Dự án Khách sạn Bắc Cường</w:t>
      </w:r>
      <w:r>
        <w:rPr>
          <w:rFonts w:hint="default"/>
          <w:lang w:val="en-US"/>
        </w:rPr>
        <w:t xml:space="preserve"> 1 tại đường Nguyễn Văn Thoại, thành phố</w:t>
      </w:r>
      <w:r>
        <w:rPr>
          <w:lang w:val="en-US"/>
        </w:rPr>
        <w:t xml:space="preserve"> Đà Nẵng do Công ty TNHH Bắc Cường làm chủ đầu tư, quy mô gồm 1 bán hầm và 12 tầng cao. A.S.P.T đảm nhận thiết kế kết cấu công trình từ tháng 7 năm 2013. Hiện tại, dự án đã được đưa vào sử dụng.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17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422</Characters>
  <Lines>0</Lines>
  <Paragraphs>0</Paragraphs>
  <TotalTime>1</TotalTime>
  <ScaleCrop>false</ScaleCrop>
  <LinksUpToDate>false</LinksUpToDate>
  <CharactersWithSpaces>542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0F459E93FEA34FEEAFD776C56E73926E_12</vt:lpwstr>
  </property>
</Properties>
</file>