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3E187E">
      <w:pPr>
        <w:pStyle w:val="36"/>
      </w:pPr>
      <w:r>
        <w:t>Khách sạn Mường Thanh Quảng Nam</w:t>
      </w:r>
    </w:p>
    <w:p w14:paraId="78172E01">
      <w:pPr>
        <w:jc w:val="both"/>
        <w:rPr>
          <w:rFonts w:hint="default"/>
          <w:lang w:val="en-US"/>
        </w:rPr>
      </w:pPr>
      <w:r>
        <w:rPr>
          <w:lang w:val="en-US"/>
        </w:rPr>
        <w:t xml:space="preserve">Tọa lạc tại địa chỉ 101 Huỳnh Thúc Kháng, phường An Xuân, TP. Tam Kỳ, tỉnh Quảng Nam, dự án Khách sạn Mường Thanh Quảng Nam được đầu tư bởi Tập đoàn khách sạn Mường Thanh. Đây là một công trình dân dụng cấp II, có thiết kế cao 20 tầng, với tổng diện tích mặt sàn đạt khoảng 26.600 m2 và được xây dựng bằng hệ kết cấu bê tông cốt thép dự ứng lực. Bắt đầu từ tháng 9 năm 2014, Công ty TNHH MTV Tư vấn &amp; Xây dựng A.S.P.T đã tham gia vào dự án với tư cách là đơn vị đảm nhiệm việc thiết kế toàn bộ hệ thống kết cấu cho công trình. Đến nay, dự án khách sạn này </w:t>
      </w:r>
      <w:bookmarkStart w:id="0" w:name="_GoBack"/>
      <w:bookmarkEnd w:id="0"/>
      <w:r>
        <w:rPr>
          <w:lang w:val="en-US"/>
        </w:rPr>
        <w:t>đã hoàn thiện và chính thức được đưa vào sử dụng.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CD10D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123</Words>
  <Characters>439</Characters>
  <Lines>0</Lines>
  <Paragraphs>0</Paragraphs>
  <TotalTime>0</TotalTime>
  <ScaleCrop>false</ScaleCrop>
  <LinksUpToDate>false</LinksUpToDate>
  <CharactersWithSpaces>560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2026-07-02T12:15:43Z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2D05234E1A864715AA9AB6B600D1D820_12</vt:lpwstr>
  </property>
</Properties>
</file>