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Khách sạn Hải Phong (4 sao)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Trường thông tin</w:t>
            </w:r>
          </w:p>
        </w:tc>
        <w:tc>
          <w:tcPr>
            <w:tcW w:type="dxa" w:w="4320"/>
          </w:tcPr>
          <w:p>
            <w:r>
              <w:t>Nội dung</w:t>
            </w:r>
          </w:p>
        </w:tc>
      </w:tr>
      <w:tr>
        <w:tc>
          <w:tcPr>
            <w:tcW w:type="dxa" w:w="4320"/>
          </w:tcPr>
          <w:p>
            <w:r>
              <w:t>Tên dự án</w:t>
            </w:r>
          </w:p>
        </w:tc>
        <w:tc>
          <w:tcPr>
            <w:tcW w:type="dxa" w:w="4320"/>
          </w:tcPr>
          <w:p>
            <w:r>
              <w:t>Khách sạn Hải Phong (4 sao)</w:t>
            </w:r>
          </w:p>
        </w:tc>
      </w:tr>
      <w:tr>
        <w:tc>
          <w:tcPr>
            <w:tcW w:type="dxa" w:w="4320"/>
          </w:tcPr>
          <w:p>
            <w:r>
              <w:t>Địa chỉ</w:t>
            </w:r>
          </w:p>
        </w:tc>
        <w:tc>
          <w:tcPr>
            <w:tcW w:type="dxa" w:w="4320"/>
          </w:tcPr>
          <w:p>
            <w:r>
              <w:t>Lô số 10 đường Võ Nguyên Giáp, phường Phước Mỹ, quận Sơn Trà, thành phố Đà Nẵng</w:t>
            </w:r>
          </w:p>
        </w:tc>
      </w:tr>
      <w:tr>
        <w:tc>
          <w:tcPr>
            <w:tcW w:type="dxa" w:w="4320"/>
          </w:tcPr>
          <w:p>
            <w:r>
              <w:t>Chủ đầu tư</w:t>
            </w:r>
          </w:p>
        </w:tc>
        <w:tc>
          <w:tcPr>
            <w:tcW w:type="dxa" w:w="4320"/>
          </w:tcPr>
          <w:p>
            <w:r>
              <w:t>Công ty TNHH Du lịch &amp; Xây dựng Hải Phong</w:t>
            </w:r>
          </w:p>
        </w:tc>
      </w:tr>
      <w:tr>
        <w:tc>
          <w:tcPr>
            <w:tcW w:type="dxa" w:w="4320"/>
          </w:tcPr>
          <w:p>
            <w:r>
              <w:t>Qui mô</w:t>
            </w:r>
          </w:p>
        </w:tc>
        <w:tc>
          <w:tcPr>
            <w:tcW w:type="dxa" w:w="4320"/>
          </w:tcPr>
          <w:p>
            <w:r>
              <w:t>Nhà gồm 01 tầng hầm và 21 tầng cao với khoảng 9.000 m2 sàn</w:t>
            </w:r>
          </w:p>
        </w:tc>
      </w:tr>
      <w:tr>
        <w:tc>
          <w:tcPr>
            <w:tcW w:type="dxa" w:w="4320"/>
          </w:tcPr>
          <w:p>
            <w:r>
              <w:t>Đặc điểm khác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Đánh giá/xếp loại</w:t>
            </w:r>
          </w:p>
        </w:tc>
        <w:tc>
          <w:tcPr>
            <w:tcW w:type="dxa" w:w="4320"/>
          </w:tcPr>
          <w:p>
            <w:r>
              <w:t>Công trình dân dụng cấp II</w:t>
            </w:r>
          </w:p>
        </w:tc>
      </w:tr>
      <w:tr>
        <w:tc>
          <w:tcPr>
            <w:tcW w:type="dxa" w:w="4320"/>
          </w:tcPr>
          <w:p>
            <w:r>
              <w:t>Pháp nhân hợp đồng Thiết kế</w:t>
            </w:r>
          </w:p>
        </w:tc>
        <w:tc>
          <w:tcPr>
            <w:tcW w:type="dxa" w:w="4320"/>
          </w:tcPr>
          <w:p>
            <w:r>
              <w:t>Công ty TNHH MTV Tư vấn &amp; Xây Dựng A.S.P.T, thiết kế toàn bộ kết cấu công trình</w:t>
            </w:r>
          </w:p>
        </w:tc>
      </w:tr>
      <w:tr>
        <w:tc>
          <w:tcPr>
            <w:tcW w:type="dxa" w:w="4320"/>
          </w:tcPr>
          <w:p>
            <w:r>
              <w:t>Thời điểm bắt đầu thực hiện việc thiết kế</w:t>
            </w:r>
          </w:p>
        </w:tc>
        <w:tc>
          <w:tcPr>
            <w:tcW w:type="dxa" w:w="4320"/>
          </w:tcPr>
          <w:p>
            <w:r>
              <w:t>Tháng 4 năm 2015.</w:t>
            </w:r>
          </w:p>
        </w:tc>
      </w:tr>
      <w:tr>
        <w:tc>
          <w:tcPr>
            <w:tcW w:type="dxa" w:w="4320"/>
          </w:tcPr>
          <w:p>
            <w:r>
              <w:t>Tình trạng công việc</w:t>
            </w:r>
          </w:p>
        </w:tc>
        <w:tc>
          <w:tcPr>
            <w:tcW w:type="dxa" w:w="4320"/>
          </w:tcPr>
          <w:p>
            <w:r>
              <w:t>Đang thi công phần thô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