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0CAD8">
      <w:pPr>
        <w:pStyle w:val="36"/>
        <w:rPr>
          <w:rFonts w:hint="default"/>
          <w:lang w:val="en-US"/>
        </w:rPr>
      </w:pPr>
      <w:r>
        <w:t>Khách sạn</w:t>
      </w:r>
      <w:r>
        <w:rPr>
          <w:rFonts w:hint="default"/>
          <w:lang w:val="en-US"/>
        </w:rPr>
        <w:t xml:space="preserve"> Rosamia</w:t>
      </w:r>
      <w:r>
        <w:t xml:space="preserve"> </w:t>
      </w:r>
      <w:r>
        <w:rPr>
          <w:rFonts w:hint="default"/>
          <w:lang w:val="en-US"/>
        </w:rPr>
        <w:t>(</w:t>
      </w:r>
      <w:r>
        <w:t>Lan Quế Anh</w:t>
      </w:r>
      <w:r>
        <w:rPr>
          <w:rFonts w:hint="default"/>
          <w:lang w:val="en-US"/>
        </w:rPr>
        <w:t>)</w:t>
      </w:r>
    </w:p>
    <w:p w14:paraId="746DC901">
      <w:pPr>
        <w:jc w:val="both"/>
        <w:rPr>
          <w:lang w:val="en-US"/>
        </w:rPr>
      </w:pPr>
      <w:r>
        <w:rPr>
          <w:lang w:val="en-US"/>
        </w:rPr>
        <w:t xml:space="preserve">Nằm trên đường Võ Nguyên Giáp, quận Sơn Trà, thành phố Đà Nẵng, dự án Khách sạn Lan Quế Anh được đầu tư bởi Công ty TNHH Lan Quế Anh. Với quy mô bao gồm 2 tầng hầm và 24 tầng nổi, tổng diện tích sàn của dự án đạt hơn 17.000 m2. Công trình này được thiết kế theo tiêu chuẩn khách sạn 4 sao và được xếp vào nhóm Công trình Dân dụng cấp 1. </w:t>
      </w:r>
    </w:p>
    <w:p w14:paraId="4EDC4F00">
      <w:pPr>
        <w:jc w:val="both"/>
        <w:rPr>
          <w:rFonts w:hint="default"/>
          <w:lang w:val="en-US"/>
        </w:rPr>
      </w:pPr>
      <w:r>
        <w:rPr>
          <w:rFonts w:hint="default"/>
          <w:lang w:val="en-US"/>
        </w:rPr>
        <w:t xml:space="preserve">Khởi động công việc từ tháng 7 năm 2016, A.S.P.T tham gia dự án với vai trò thiết kế toàn diện, bao gồm kết cấu, cơ điện, kiến trúc và nội thất (trong đó, phần kiến trúc và nội thất do Công ty CP Thiết kế và Xây dựng Kiến trúc đảm nhận với tư cách là nhà thầu phụ). Hiện nay, dự án </w:t>
      </w:r>
      <w:r>
        <w:rPr>
          <w:lang w:val="en-US"/>
        </w:rPr>
        <w:t>đ</w:t>
      </w:r>
      <w:r>
        <w:rPr>
          <w:rFonts w:hint="default"/>
          <w:lang w:val="en-US"/>
        </w:rPr>
        <w:t>ã hoàn thành và đưa vào sử dụng.</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406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142</Words>
  <Characters>493</Characters>
  <Lines>0</Lines>
  <Paragraphs>0</Paragraphs>
  <TotalTime>0</TotalTime>
  <ScaleCrop>false</ScaleCrop>
  <LinksUpToDate>false</LinksUpToDate>
  <CharactersWithSpaces>633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2026-07-02T12:58:46Z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E9A4BF9B26584B90AFB76F2B0F0B3D6E_12</vt:lpwstr>
  </property>
</Properties>
</file>