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D1949">
      <w:pPr>
        <w:pStyle w:val="36"/>
      </w:pPr>
      <w:r>
        <w:t>Trường Mẫu giáo mầm non 29-3</w:t>
      </w:r>
    </w:p>
    <w:p w14:paraId="608DAC86">
      <w:pPr>
        <w:jc w:val="both"/>
        <w:rPr>
          <w:rFonts w:hint="default"/>
          <w:lang w:val="en-US"/>
        </w:rPr>
      </w:pPr>
      <w:r>
        <w:rPr>
          <w:lang w:val="en-US"/>
        </w:rPr>
        <w:t xml:space="preserve">Dự án Trường Mẫu giáo 29-3 do Công ty CP Lương Thực Đà Nẵng làm chủ đầu tư, tọa lạc tại quận Hải Châu, Đà Nẵng. Công trình cấp II này gồm 1 tầng hầm, 5 tầng nổi và 2775 m2 sàn bê tông dự ứng lực. A.S.P.T </w:t>
      </w:r>
      <w:r>
        <w:rPr>
          <w:rFonts w:hint="default"/>
          <w:lang w:val="en-US"/>
        </w:rPr>
        <w:t>thiết kế phần kết cấu</w:t>
      </w:r>
      <w:r>
        <w:rPr>
          <w:lang w:val="en-US"/>
        </w:rPr>
        <w:t xml:space="preserve"> từ tháng 11 năm 2011. Hiện dự án đã </w:t>
      </w:r>
      <w:r>
        <w:rPr>
          <w:rFonts w:hint="default"/>
          <w:lang w:val="en-US"/>
        </w:rPr>
        <w:t>hoàn thành và đưa vào sử dụng</w:t>
      </w:r>
      <w:r>
        <w:rPr>
          <w:lang w:val="en-US"/>
        </w:rPr>
        <w:t>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26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449</Characters>
  <Lines>0</Lines>
  <Paragraphs>0</Paragraphs>
  <TotalTime>0</TotalTime>
  <ScaleCrop>false</ScaleCrop>
  <LinksUpToDate>false</LinksUpToDate>
  <CharactersWithSpaces>577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2026-07-02T11:23:14Z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DE4F7D4508B0404295FFB20102A02AC6_12</vt:lpwstr>
  </property>
</Properties>
</file>