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32480">
      <w:pPr>
        <w:pStyle w:val="36"/>
      </w:pPr>
      <w:r>
        <w:t>Hạng mục Nhà Câu lạc bộ, dừng chân và phát banh của dự án Sân Golf-Bà Nà</w:t>
      </w:r>
    </w:p>
    <w:p w14:paraId="51A3464F">
      <w:pPr>
        <w:jc w:val="both"/>
        <w:rPr>
          <w:rFonts w:hint="default"/>
          <w:lang w:val="en-US"/>
        </w:rPr>
      </w:pPr>
      <w:r>
        <w:rPr>
          <w:lang w:val="en-US"/>
        </w:rPr>
        <w:t xml:space="preserve">Được đầu tư bởi Tập đoàn Sun-Group, các hạng mục gồm Nhà Câu lạc bộ, trạm dừng chân và khu vực phát banh nằm trong khuôn viên Sân Golf của dự án Bana Hill (ngay dưới chân núi Bà Nà). Quy mô của công trình này bao gồm 3 phần chính. Điểm nhấn nổi bật là Nhà Câu lạc bộ mang kết cấu vô cùng phức tạp và đặc thù với nhịp lớn kéo dài tới 18m, được xếp vào nhóm công trình dân dụng cấp III. Công ty TNHH MTV Tư vấn &amp; Xây Dựng A.S.P.T đã chịu trách nhiệm thiết kế toàn bộ hệ thống kết cấu cho công trình này, với quá trình thực hiện bắt đầu từ tháng 04 năm 2014. </w:t>
      </w:r>
      <w:r>
        <w:rPr>
          <w:rFonts w:hint="default"/>
          <w:lang w:val="en-US"/>
        </w:rPr>
        <w:t>Hiện nay, công trình đã hoàn thành và đưa vào sử dụng</w:t>
      </w:r>
      <w:bookmarkStart w:id="0" w:name="_GoBack"/>
      <w:bookmarkEnd w:id="0"/>
      <w:r>
        <w:rPr>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5200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143</Words>
  <Characters>482</Characters>
  <Lines>0</Lines>
  <Paragraphs>0</Paragraphs>
  <TotalTime>0</TotalTime>
  <ScaleCrop>false</ScaleCrop>
  <LinksUpToDate>false</LinksUpToDate>
  <CharactersWithSpaces>623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2026-07-02T12:08:56Z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365FC88F8CDF4E0DAF6112474F88AD7F_12</vt:lpwstr>
  </property>
</Properties>
</file>