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Hạng mục BOH &amp; Darkride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Hạng mục BOH &amp; Darkride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Nằm trong dự án Công viên Châu Á, đường 2/9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Sun-Group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thấp tầng, diện tích mặt bằng khá lớn.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Nhà nhịp lớn để làm khu vui chơi (với nhà Darkride) và phục vụ cho hoạt động của toàn bộ công việc châu Á (với nhà BOH)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III.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01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hoàn thành và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