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EA47" w14:textId="77777777" w:rsidR="00CF65DC" w:rsidRDefault="00CF65DC">
      <w:pPr>
        <w:rPr>
          <w:rFonts w:ascii="Times New Roman" w:hAnsi="Times New Roman" w:cs="Times New Roman"/>
        </w:rPr>
      </w:pPr>
      <w:r>
        <w:rPr>
          <w:rFonts w:ascii="Times New Roman" w:hAnsi="Times New Roman" w:cs="Times New Roman"/>
        </w:rPr>
        <w:t>Importance</w:t>
      </w:r>
    </w:p>
    <w:p w14:paraId="4AE58AB2" w14:textId="1EAACE67" w:rsidR="00F947C7" w:rsidRDefault="00B622AB" w:rsidP="00D76C50">
      <w:pPr>
        <w:pStyle w:val="ListParagraph"/>
        <w:numPr>
          <w:ilvl w:val="0"/>
          <w:numId w:val="3"/>
        </w:numPr>
        <w:rPr>
          <w:rFonts w:ascii="Times New Roman" w:hAnsi="Times New Roman" w:cs="Times New Roman"/>
        </w:rPr>
      </w:pPr>
      <w:r>
        <w:rPr>
          <w:rFonts w:ascii="Times New Roman" w:hAnsi="Times New Roman" w:cs="Times New Roman"/>
        </w:rPr>
        <w:t>Basel 4</w:t>
      </w:r>
      <w:r w:rsidR="00DD058A">
        <w:rPr>
          <w:rFonts w:ascii="Times New Roman" w:hAnsi="Times New Roman" w:cs="Times New Roman"/>
        </w:rPr>
        <w:t xml:space="preserve"> implementation</w:t>
      </w:r>
    </w:p>
    <w:p w14:paraId="060C082C" w14:textId="4B3BC9A6" w:rsidR="00DD058A" w:rsidRDefault="00DD058A" w:rsidP="00DD058A">
      <w:pPr>
        <w:pStyle w:val="ListParagraph"/>
        <w:numPr>
          <w:ilvl w:val="1"/>
          <w:numId w:val="3"/>
        </w:numPr>
        <w:rPr>
          <w:rFonts w:ascii="Times New Roman" w:hAnsi="Times New Roman" w:cs="Times New Roman"/>
        </w:rPr>
      </w:pPr>
      <w:r>
        <w:rPr>
          <w:rFonts w:ascii="Times New Roman" w:hAnsi="Times New Roman" w:cs="Times New Roman"/>
        </w:rPr>
        <w:t>Higher standard for proportionality</w:t>
      </w:r>
    </w:p>
    <w:p w14:paraId="7487B5E6" w14:textId="0EB854F8" w:rsidR="00B622AB" w:rsidRPr="00437BE7" w:rsidRDefault="00DD058A" w:rsidP="00437BE7">
      <w:pPr>
        <w:pStyle w:val="ListParagraph"/>
        <w:numPr>
          <w:ilvl w:val="1"/>
          <w:numId w:val="3"/>
        </w:numPr>
        <w:rPr>
          <w:rFonts w:ascii="Times New Roman" w:hAnsi="Times New Roman" w:cs="Times New Roman"/>
        </w:rPr>
      </w:pPr>
      <w:r>
        <w:rPr>
          <w:rFonts w:ascii="Times New Roman" w:hAnsi="Times New Roman" w:cs="Times New Roman"/>
        </w:rPr>
        <w:t>Case:</w:t>
      </w:r>
      <w:r w:rsidR="00437BE7">
        <w:rPr>
          <w:rFonts w:ascii="Times New Roman" w:hAnsi="Times New Roman" w:cs="Times New Roman"/>
        </w:rPr>
        <w:t xml:space="preserve"> proportionality is rejected in most of the cases</w:t>
      </w:r>
    </w:p>
    <w:p w14:paraId="1CAF2913" w14:textId="09F60065" w:rsidR="00F947C7" w:rsidRDefault="0028709E" w:rsidP="00D76C50">
      <w:pPr>
        <w:pStyle w:val="ListParagraph"/>
        <w:numPr>
          <w:ilvl w:val="0"/>
          <w:numId w:val="3"/>
        </w:numPr>
        <w:rPr>
          <w:rFonts w:ascii="Times New Roman" w:hAnsi="Times New Roman" w:cs="Times New Roman"/>
        </w:rPr>
      </w:pPr>
      <w:r>
        <w:rPr>
          <w:rFonts w:ascii="Times New Roman" w:hAnsi="Times New Roman" w:cs="Times New Roman"/>
        </w:rPr>
        <w:t xml:space="preserve">Consequences of not strict application of the </w:t>
      </w:r>
      <w:r w:rsidR="00F947C7">
        <w:rPr>
          <w:rFonts w:ascii="Times New Roman" w:hAnsi="Times New Roman" w:cs="Times New Roman"/>
        </w:rPr>
        <w:t xml:space="preserve">principle </w:t>
      </w:r>
      <w:r w:rsidR="00476BD8">
        <w:rPr>
          <w:rFonts w:ascii="Times New Roman" w:hAnsi="Times New Roman" w:cs="Times New Roman"/>
        </w:rPr>
        <w:t>of</w:t>
      </w:r>
      <w:r w:rsidR="00F947C7">
        <w:rPr>
          <w:rFonts w:ascii="Times New Roman" w:hAnsi="Times New Roman" w:cs="Times New Roman"/>
        </w:rPr>
        <w:t xml:space="preserve"> proportionality </w:t>
      </w:r>
    </w:p>
    <w:p w14:paraId="1E7DDDFC" w14:textId="2C0AFDDB" w:rsidR="00D76C50" w:rsidRDefault="00997BC0" w:rsidP="00F947C7">
      <w:pPr>
        <w:pStyle w:val="ListParagraph"/>
        <w:numPr>
          <w:ilvl w:val="1"/>
          <w:numId w:val="3"/>
        </w:numPr>
        <w:rPr>
          <w:rFonts w:ascii="Times New Roman" w:hAnsi="Times New Roman" w:cs="Times New Roman"/>
        </w:rPr>
      </w:pPr>
      <w:r>
        <w:rPr>
          <w:rFonts w:ascii="Times New Roman" w:hAnsi="Times New Roman" w:cs="Times New Roman"/>
        </w:rPr>
        <w:t>Overburdening smaller institutions</w:t>
      </w:r>
      <w:r w:rsidR="00476BD8">
        <w:rPr>
          <w:rFonts w:ascii="Times New Roman" w:hAnsi="Times New Roman" w:cs="Times New Roman"/>
        </w:rPr>
        <w:t xml:space="preserve"> =&gt; competition distortion</w:t>
      </w:r>
    </w:p>
    <w:p w14:paraId="50EB4F16" w14:textId="77777777" w:rsidR="00855C8C" w:rsidRPr="00855C8C" w:rsidRDefault="00855C8C" w:rsidP="00F947C7">
      <w:pPr>
        <w:pStyle w:val="ListParagraph"/>
        <w:numPr>
          <w:ilvl w:val="2"/>
          <w:numId w:val="3"/>
        </w:numPr>
        <w:rPr>
          <w:rFonts w:ascii="Times New Roman" w:hAnsi="Times New Roman" w:cs="Times New Roman"/>
        </w:rPr>
      </w:pPr>
      <w:r w:rsidRPr="00855C8C">
        <w:rPr>
          <w:rFonts w:ascii="Times New Roman" w:hAnsi="Times New Roman" w:cs="Times New Roman"/>
        </w:rPr>
        <w:t xml:space="preserve">Increased Compliance Costs: </w:t>
      </w:r>
      <w:commentRangeStart w:id="0"/>
      <w:commentRangeStart w:id="1"/>
      <w:r w:rsidRPr="00855C8C">
        <w:rPr>
          <w:rFonts w:ascii="Times New Roman" w:hAnsi="Times New Roman" w:cs="Times New Roman"/>
        </w:rPr>
        <w:t>Smaller banks might face disproportionately high compliance costs relative to their size and resources. This could strain their financial health and operational capabilities.</w:t>
      </w:r>
      <w:commentRangeEnd w:id="0"/>
      <w:r w:rsidR="007F5A9B">
        <w:rPr>
          <w:rStyle w:val="CommentReference"/>
        </w:rPr>
        <w:commentReference w:id="0"/>
      </w:r>
      <w:commentRangeEnd w:id="1"/>
      <w:r w:rsidR="002B2066">
        <w:rPr>
          <w:rStyle w:val="CommentReference"/>
        </w:rPr>
        <w:commentReference w:id="1"/>
      </w:r>
    </w:p>
    <w:p w14:paraId="5E14A630" w14:textId="6E45E8B7" w:rsidR="00855C8C" w:rsidRDefault="00855C8C" w:rsidP="00F947C7">
      <w:pPr>
        <w:pStyle w:val="ListParagraph"/>
        <w:numPr>
          <w:ilvl w:val="2"/>
          <w:numId w:val="3"/>
        </w:numPr>
        <w:rPr>
          <w:rFonts w:ascii="Times New Roman" w:hAnsi="Times New Roman" w:cs="Times New Roman"/>
        </w:rPr>
      </w:pPr>
      <w:r w:rsidRPr="00855C8C">
        <w:rPr>
          <w:rFonts w:ascii="Times New Roman" w:hAnsi="Times New Roman" w:cs="Times New Roman"/>
        </w:rPr>
        <w:t>Competitive Disadvantage: Smaller banks might be at a competitive disadvantage compared to larger institutions that can more easily absorb compliance costs. This could lead to reduced competition in the banking sector.</w:t>
      </w:r>
    </w:p>
    <w:p w14:paraId="2322D548" w14:textId="50A3946A" w:rsidR="00855C8C" w:rsidRDefault="00855C8C" w:rsidP="00F947C7">
      <w:pPr>
        <w:pStyle w:val="ListParagraph"/>
        <w:numPr>
          <w:ilvl w:val="2"/>
          <w:numId w:val="3"/>
        </w:numPr>
        <w:rPr>
          <w:rFonts w:ascii="Times New Roman" w:hAnsi="Times New Roman" w:cs="Times New Roman"/>
        </w:rPr>
      </w:pPr>
      <w:r w:rsidRPr="00855C8C">
        <w:rPr>
          <w:rFonts w:ascii="Times New Roman" w:hAnsi="Times New Roman" w:cs="Times New Roman"/>
        </w:rPr>
        <w:t>Access to Services: Smaller banks often serve niche markets and underserved communities. Over-regulation could limit their ability to operate effectively, reducing access to financial services for these segments of the population.</w:t>
      </w:r>
    </w:p>
    <w:p w14:paraId="0F226464" w14:textId="06876DE4" w:rsidR="00997BC0" w:rsidRDefault="00855C8C" w:rsidP="00F947C7">
      <w:pPr>
        <w:pStyle w:val="ListParagraph"/>
        <w:numPr>
          <w:ilvl w:val="1"/>
          <w:numId w:val="3"/>
        </w:numPr>
        <w:rPr>
          <w:rFonts w:ascii="Times New Roman" w:hAnsi="Times New Roman" w:cs="Times New Roman"/>
        </w:rPr>
      </w:pPr>
      <w:r w:rsidRPr="00855C8C">
        <w:rPr>
          <w:rFonts w:ascii="Times New Roman" w:hAnsi="Times New Roman" w:cs="Times New Roman"/>
        </w:rPr>
        <w:t>Inefficient Resource Allocation</w:t>
      </w:r>
    </w:p>
    <w:p w14:paraId="63F39B86" w14:textId="77777777" w:rsidR="003F30F8" w:rsidRPr="003F30F8" w:rsidRDefault="003F30F8" w:rsidP="00F947C7">
      <w:pPr>
        <w:pStyle w:val="ListParagraph"/>
        <w:numPr>
          <w:ilvl w:val="2"/>
          <w:numId w:val="3"/>
        </w:numPr>
        <w:rPr>
          <w:rFonts w:ascii="Times New Roman" w:hAnsi="Times New Roman" w:cs="Times New Roman"/>
        </w:rPr>
      </w:pPr>
      <w:r w:rsidRPr="003F30F8">
        <w:rPr>
          <w:rFonts w:ascii="Times New Roman" w:hAnsi="Times New Roman" w:cs="Times New Roman"/>
        </w:rPr>
        <w:t>Regulatory Resources: Regulators might allocate resources inefficiently by applying the same level of scrutiny to all banks, regardless of their size, complexity, and risk profile. This could result in inadequate supervision of larger, more complex institutions that pose greater systemic risk.</w:t>
      </w:r>
    </w:p>
    <w:p w14:paraId="4AD4F338" w14:textId="13A25C3E" w:rsidR="003F30F8" w:rsidRDefault="003F30F8" w:rsidP="00F947C7">
      <w:pPr>
        <w:pStyle w:val="ListParagraph"/>
        <w:numPr>
          <w:ilvl w:val="2"/>
          <w:numId w:val="3"/>
        </w:numPr>
        <w:rPr>
          <w:rFonts w:ascii="Times New Roman" w:hAnsi="Times New Roman" w:cs="Times New Roman"/>
        </w:rPr>
      </w:pPr>
      <w:r w:rsidRPr="003F30F8">
        <w:rPr>
          <w:rFonts w:ascii="Times New Roman" w:hAnsi="Times New Roman" w:cs="Times New Roman"/>
        </w:rPr>
        <w:t>Bank Resources: Banks might divert resources from core business activities to meet regulatory requirements, potentially stifling innovation and growth.</w:t>
      </w:r>
    </w:p>
    <w:p w14:paraId="22387BE7" w14:textId="176640FD" w:rsidR="003A2A4C" w:rsidRDefault="003A2A4C" w:rsidP="00F947C7">
      <w:pPr>
        <w:pStyle w:val="ListParagraph"/>
        <w:numPr>
          <w:ilvl w:val="2"/>
          <w:numId w:val="3"/>
        </w:numPr>
        <w:rPr>
          <w:rFonts w:ascii="Times New Roman" w:hAnsi="Times New Roman" w:cs="Times New Roman"/>
        </w:rPr>
      </w:pPr>
      <w:r w:rsidRPr="003A2A4C">
        <w:rPr>
          <w:rFonts w:ascii="Times New Roman" w:hAnsi="Times New Roman" w:cs="Times New Roman"/>
        </w:rPr>
        <w:t xml:space="preserve">LSIs tend to focus on the domestic market of the country where they are based. This makes the local expertise and geographical </w:t>
      </w:r>
      <w:commentRangeStart w:id="2"/>
      <w:r w:rsidRPr="003A2A4C">
        <w:rPr>
          <w:rFonts w:ascii="Times New Roman" w:hAnsi="Times New Roman" w:cs="Times New Roman"/>
        </w:rPr>
        <w:t xml:space="preserve">proximity </w:t>
      </w:r>
      <w:commentRangeEnd w:id="2"/>
      <w:r w:rsidR="00366FB5">
        <w:rPr>
          <w:rStyle w:val="CommentReference"/>
        </w:rPr>
        <w:commentReference w:id="2"/>
      </w:r>
      <w:r w:rsidRPr="003A2A4C">
        <w:rPr>
          <w:rFonts w:ascii="Times New Roman" w:hAnsi="Times New Roman" w:cs="Times New Roman"/>
        </w:rPr>
        <w:t>of the NCA supervisors particularly useful in ensuring the efficient monitoring of prudential soundness.</w:t>
      </w:r>
    </w:p>
    <w:p w14:paraId="6C5F9146" w14:textId="77777777" w:rsidR="003F30F8" w:rsidRPr="00D76C50" w:rsidRDefault="003F30F8" w:rsidP="003F30F8">
      <w:pPr>
        <w:pStyle w:val="ListParagraph"/>
        <w:numPr>
          <w:ilvl w:val="0"/>
          <w:numId w:val="3"/>
        </w:numPr>
        <w:rPr>
          <w:rFonts w:ascii="Times New Roman" w:hAnsi="Times New Roman" w:cs="Times New Roman"/>
        </w:rPr>
      </w:pPr>
    </w:p>
    <w:p w14:paraId="0EBCC837" w14:textId="77777777" w:rsidR="00885817" w:rsidRDefault="00885817">
      <w:pPr>
        <w:rPr>
          <w:rFonts w:ascii="Times New Roman" w:hAnsi="Times New Roman" w:cs="Times New Roman"/>
        </w:rPr>
      </w:pPr>
      <w:r>
        <w:rPr>
          <w:rFonts w:ascii="Times New Roman" w:hAnsi="Times New Roman" w:cs="Times New Roman"/>
        </w:rPr>
        <w:t>Research questions and objectives</w:t>
      </w:r>
    </w:p>
    <w:p w14:paraId="5E43AC9A" w14:textId="132A1783" w:rsidR="00345688" w:rsidRDefault="00345688" w:rsidP="00345688">
      <w:pPr>
        <w:pStyle w:val="ListParagraph"/>
        <w:numPr>
          <w:ilvl w:val="0"/>
          <w:numId w:val="2"/>
        </w:numPr>
        <w:rPr>
          <w:rFonts w:ascii="Times New Roman" w:hAnsi="Times New Roman" w:cs="Times New Roman"/>
        </w:rPr>
      </w:pPr>
      <w:r>
        <w:rPr>
          <w:rFonts w:ascii="Times New Roman" w:hAnsi="Times New Roman" w:cs="Times New Roman"/>
        </w:rPr>
        <w:t xml:space="preserve">Objectives: </w:t>
      </w:r>
      <w:proofErr w:type="spellStart"/>
      <w:r>
        <w:rPr>
          <w:rFonts w:ascii="Times New Roman" w:hAnsi="Times New Roman" w:cs="Times New Roman"/>
        </w:rPr>
        <w:t>đánh</w:t>
      </w:r>
      <w:proofErr w:type="spellEnd"/>
      <w:r>
        <w:rPr>
          <w:rFonts w:ascii="Times New Roman" w:hAnsi="Times New Roman" w:cs="Times New Roman"/>
        </w:rPr>
        <w:t xml:space="preserve"> </w:t>
      </w:r>
      <w:proofErr w:type="spellStart"/>
      <w:r>
        <w:rPr>
          <w:rFonts w:ascii="Times New Roman" w:hAnsi="Times New Roman" w:cs="Times New Roman"/>
        </w:rPr>
        <w:t>giá</w:t>
      </w:r>
      <w:proofErr w:type="spellEnd"/>
      <w:r>
        <w:rPr>
          <w:rFonts w:ascii="Times New Roman" w:hAnsi="Times New Roman" w:cs="Times New Roman"/>
        </w:rPr>
        <w:t xml:space="preserve"> adequacy… of </w:t>
      </w:r>
      <w:r w:rsidR="009A3938">
        <w:rPr>
          <w:rFonts w:ascii="Times New Roman" w:hAnsi="Times New Roman" w:cs="Times New Roman"/>
        </w:rPr>
        <w:t xml:space="preserve">the </w:t>
      </w:r>
      <w:r>
        <w:rPr>
          <w:rFonts w:ascii="Times New Roman" w:hAnsi="Times New Roman" w:cs="Times New Roman"/>
        </w:rPr>
        <w:t xml:space="preserve">principle of proportionality in </w:t>
      </w:r>
      <w:proofErr w:type="spellStart"/>
      <w:r w:rsidR="00C72738">
        <w:rPr>
          <w:rFonts w:ascii="Times New Roman" w:hAnsi="Times New Roman" w:cs="Times New Roman"/>
        </w:rPr>
        <w:t>xây</w:t>
      </w:r>
      <w:proofErr w:type="spellEnd"/>
      <w:r w:rsidR="00C72738">
        <w:rPr>
          <w:rFonts w:ascii="Times New Roman" w:hAnsi="Times New Roman" w:cs="Times New Roman"/>
        </w:rPr>
        <w:t xml:space="preserve"> </w:t>
      </w:r>
      <w:proofErr w:type="spellStart"/>
      <w:r w:rsidR="00C72738">
        <w:rPr>
          <w:rFonts w:ascii="Times New Roman" w:hAnsi="Times New Roman" w:cs="Times New Roman"/>
        </w:rPr>
        <w:t>dựng</w:t>
      </w:r>
      <w:proofErr w:type="spellEnd"/>
      <w:r w:rsidR="00C72738">
        <w:rPr>
          <w:rFonts w:ascii="Times New Roman" w:hAnsi="Times New Roman" w:cs="Times New Roman"/>
        </w:rPr>
        <w:t xml:space="preserve"> </w:t>
      </w:r>
      <w:proofErr w:type="spellStart"/>
      <w:r w:rsidR="00C72738">
        <w:rPr>
          <w:rFonts w:ascii="Times New Roman" w:hAnsi="Times New Roman" w:cs="Times New Roman"/>
        </w:rPr>
        <w:t>pháp</w:t>
      </w:r>
      <w:proofErr w:type="spellEnd"/>
      <w:r w:rsidR="00C72738">
        <w:rPr>
          <w:rFonts w:ascii="Times New Roman" w:hAnsi="Times New Roman" w:cs="Times New Roman"/>
        </w:rPr>
        <w:t xml:space="preserve"> </w:t>
      </w:r>
      <w:proofErr w:type="spellStart"/>
      <w:r w:rsidR="00C72738">
        <w:rPr>
          <w:rFonts w:ascii="Times New Roman" w:hAnsi="Times New Roman" w:cs="Times New Roman"/>
        </w:rPr>
        <w:t>luật</w:t>
      </w:r>
      <w:proofErr w:type="spellEnd"/>
      <w:r w:rsidR="00C72738">
        <w:rPr>
          <w:rFonts w:ascii="Times New Roman" w:hAnsi="Times New Roman" w:cs="Times New Roman"/>
        </w:rPr>
        <w:t xml:space="preserve"> </w:t>
      </w:r>
      <w:proofErr w:type="spellStart"/>
      <w:r w:rsidR="00C72738">
        <w:rPr>
          <w:rFonts w:ascii="Times New Roman" w:hAnsi="Times New Roman" w:cs="Times New Roman"/>
        </w:rPr>
        <w:t>và</w:t>
      </w:r>
      <w:proofErr w:type="spellEnd"/>
      <w:r w:rsidR="00C72738">
        <w:rPr>
          <w:rFonts w:ascii="Times New Roman" w:hAnsi="Times New Roman" w:cs="Times New Roman"/>
        </w:rPr>
        <w:t xml:space="preserve"> implementation </w:t>
      </w:r>
      <w:proofErr w:type="spellStart"/>
      <w:r w:rsidR="00C72738">
        <w:rPr>
          <w:rFonts w:ascii="Times New Roman" w:hAnsi="Times New Roman" w:cs="Times New Roman"/>
        </w:rPr>
        <w:t>trong</w:t>
      </w:r>
      <w:proofErr w:type="spellEnd"/>
      <w:r w:rsidR="00C72738">
        <w:rPr>
          <w:rFonts w:ascii="Times New Roman" w:hAnsi="Times New Roman" w:cs="Times New Roman"/>
        </w:rPr>
        <w:t xml:space="preserve"> banking supervision </w:t>
      </w:r>
      <w:proofErr w:type="spellStart"/>
      <w:r w:rsidR="00C72738">
        <w:rPr>
          <w:rFonts w:ascii="Times New Roman" w:hAnsi="Times New Roman" w:cs="Times New Roman"/>
        </w:rPr>
        <w:t>chưa</w:t>
      </w:r>
      <w:proofErr w:type="spellEnd"/>
    </w:p>
    <w:p w14:paraId="722335FB" w14:textId="1D40E952" w:rsidR="00345688" w:rsidRDefault="00345688" w:rsidP="00345688">
      <w:pPr>
        <w:pStyle w:val="ListParagraph"/>
        <w:numPr>
          <w:ilvl w:val="0"/>
          <w:numId w:val="2"/>
        </w:numPr>
        <w:rPr>
          <w:rFonts w:ascii="Times New Roman" w:hAnsi="Times New Roman" w:cs="Times New Roman"/>
        </w:rPr>
      </w:pPr>
      <w:r>
        <w:rPr>
          <w:rFonts w:ascii="Times New Roman" w:hAnsi="Times New Roman" w:cs="Times New Roman"/>
        </w:rPr>
        <w:t>Research questions:</w:t>
      </w:r>
      <w:r w:rsidR="00437BE7" w:rsidRPr="00345688">
        <w:rPr>
          <w:rFonts w:ascii="Times New Roman" w:hAnsi="Times New Roman" w:cs="Times New Roman"/>
        </w:rPr>
        <w:t xml:space="preserve"> </w:t>
      </w:r>
    </w:p>
    <w:p w14:paraId="22E09856" w14:textId="77777777" w:rsidR="00345688" w:rsidRDefault="00105EA0" w:rsidP="00345688">
      <w:pPr>
        <w:pStyle w:val="ListParagraph"/>
        <w:numPr>
          <w:ilvl w:val="1"/>
          <w:numId w:val="2"/>
        </w:numPr>
        <w:rPr>
          <w:rFonts w:ascii="Times New Roman" w:hAnsi="Times New Roman" w:cs="Times New Roman"/>
        </w:rPr>
      </w:pPr>
      <w:r w:rsidRPr="00345688">
        <w:rPr>
          <w:rFonts w:ascii="Times New Roman" w:hAnsi="Times New Roman" w:cs="Times New Roman"/>
        </w:rPr>
        <w:t xml:space="preserve">proportionality </w:t>
      </w:r>
      <w:r w:rsidR="001E5FF9" w:rsidRPr="00345688">
        <w:rPr>
          <w:rFonts w:ascii="Times New Roman" w:hAnsi="Times New Roman" w:cs="Times New Roman"/>
        </w:rPr>
        <w:t xml:space="preserve">in banking supervision </w:t>
      </w:r>
      <w:proofErr w:type="spellStart"/>
      <w:r w:rsidR="001E5FF9" w:rsidRPr="00345688">
        <w:rPr>
          <w:rFonts w:ascii="Times New Roman" w:hAnsi="Times New Roman" w:cs="Times New Roman"/>
        </w:rPr>
        <w:t>đã</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đáp</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ứng</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theo</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được</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tinh</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thần</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và</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mục</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đích</w:t>
      </w:r>
      <w:proofErr w:type="spellEnd"/>
      <w:r w:rsidR="001E5FF9" w:rsidRPr="00345688">
        <w:rPr>
          <w:rFonts w:ascii="Times New Roman" w:hAnsi="Times New Roman" w:cs="Times New Roman"/>
        </w:rPr>
        <w:t xml:space="preserve"> </w:t>
      </w:r>
      <w:proofErr w:type="spellStart"/>
      <w:r w:rsidR="001E5FF9" w:rsidRPr="00345688">
        <w:rPr>
          <w:rFonts w:ascii="Times New Roman" w:hAnsi="Times New Roman" w:cs="Times New Roman"/>
        </w:rPr>
        <w:t>của</w:t>
      </w:r>
      <w:proofErr w:type="spellEnd"/>
      <w:r w:rsidR="001E5FF9" w:rsidRPr="00345688">
        <w:rPr>
          <w:rFonts w:ascii="Times New Roman" w:hAnsi="Times New Roman" w:cs="Times New Roman"/>
        </w:rPr>
        <w:t xml:space="preserve"> </w:t>
      </w:r>
      <w:proofErr w:type="spellStart"/>
      <w:r w:rsidR="00C61EF3" w:rsidRPr="00345688">
        <w:rPr>
          <w:rFonts w:ascii="Times New Roman" w:hAnsi="Times New Roman" w:cs="Times New Roman"/>
        </w:rPr>
        <w:t>nhà</w:t>
      </w:r>
      <w:proofErr w:type="spellEnd"/>
      <w:r w:rsidR="00C61EF3" w:rsidRPr="00345688">
        <w:rPr>
          <w:rFonts w:ascii="Times New Roman" w:hAnsi="Times New Roman" w:cs="Times New Roman"/>
        </w:rPr>
        <w:t xml:space="preserve"> </w:t>
      </w:r>
      <w:proofErr w:type="spellStart"/>
      <w:r w:rsidR="00C61EF3" w:rsidRPr="00345688">
        <w:rPr>
          <w:rFonts w:ascii="Times New Roman" w:hAnsi="Times New Roman" w:cs="Times New Roman"/>
        </w:rPr>
        <w:t>làm</w:t>
      </w:r>
      <w:proofErr w:type="spellEnd"/>
      <w:r w:rsidR="00C61EF3" w:rsidRPr="00345688">
        <w:rPr>
          <w:rFonts w:ascii="Times New Roman" w:hAnsi="Times New Roman" w:cs="Times New Roman"/>
        </w:rPr>
        <w:t xml:space="preserve"> </w:t>
      </w:r>
      <w:proofErr w:type="spellStart"/>
      <w:r w:rsidR="00C61EF3" w:rsidRPr="00345688">
        <w:rPr>
          <w:rFonts w:ascii="Times New Roman" w:hAnsi="Times New Roman" w:cs="Times New Roman"/>
        </w:rPr>
        <w:t>luật</w:t>
      </w:r>
      <w:proofErr w:type="spellEnd"/>
      <w:r w:rsidR="00C61EF3" w:rsidRPr="00345688">
        <w:rPr>
          <w:rFonts w:ascii="Times New Roman" w:hAnsi="Times New Roman" w:cs="Times New Roman"/>
        </w:rPr>
        <w:t xml:space="preserve"> </w:t>
      </w:r>
      <w:proofErr w:type="spellStart"/>
      <w:r w:rsidR="00C61EF3" w:rsidRPr="00345688">
        <w:rPr>
          <w:rFonts w:ascii="Times New Roman" w:hAnsi="Times New Roman" w:cs="Times New Roman"/>
        </w:rPr>
        <w:t>chưa</w:t>
      </w:r>
      <w:proofErr w:type="spellEnd"/>
      <w:r w:rsidR="00C61EF3" w:rsidRPr="00345688">
        <w:rPr>
          <w:rFonts w:ascii="Times New Roman" w:hAnsi="Times New Roman" w:cs="Times New Roman"/>
        </w:rPr>
        <w:t xml:space="preserve"> </w:t>
      </w:r>
      <w:proofErr w:type="spellStart"/>
      <w:r w:rsidR="00C61EF3" w:rsidRPr="00345688">
        <w:rPr>
          <w:rFonts w:ascii="Times New Roman" w:hAnsi="Times New Roman" w:cs="Times New Roman"/>
        </w:rPr>
        <w:t>và</w:t>
      </w:r>
      <w:proofErr w:type="spellEnd"/>
      <w:r w:rsidR="00C61EF3" w:rsidRPr="00345688">
        <w:rPr>
          <w:rFonts w:ascii="Times New Roman" w:hAnsi="Times New Roman" w:cs="Times New Roman"/>
        </w:rPr>
        <w:t xml:space="preserve"> </w:t>
      </w:r>
    </w:p>
    <w:p w14:paraId="75E19CF1" w14:textId="6A21620A" w:rsidR="00437BE7" w:rsidRPr="0099541F" w:rsidRDefault="00C61EF3" w:rsidP="0099541F">
      <w:pPr>
        <w:pStyle w:val="ListParagraph"/>
        <w:numPr>
          <w:ilvl w:val="1"/>
          <w:numId w:val="2"/>
        </w:numPr>
        <w:rPr>
          <w:rFonts w:ascii="Times New Roman" w:hAnsi="Times New Roman" w:cs="Times New Roman"/>
        </w:rPr>
      </w:pPr>
      <w:proofErr w:type="spellStart"/>
      <w:r w:rsidRPr="00345688">
        <w:rPr>
          <w:rFonts w:ascii="Times New Roman" w:hAnsi="Times New Roman" w:cs="Times New Roman"/>
        </w:rPr>
        <w:t>việc</w:t>
      </w:r>
      <w:proofErr w:type="spellEnd"/>
      <w:r w:rsidRPr="00345688">
        <w:rPr>
          <w:rFonts w:ascii="Times New Roman" w:hAnsi="Times New Roman" w:cs="Times New Roman"/>
        </w:rPr>
        <w:t xml:space="preserve"> </w:t>
      </w:r>
      <w:proofErr w:type="spellStart"/>
      <w:r w:rsidRPr="00345688">
        <w:rPr>
          <w:rFonts w:ascii="Times New Roman" w:hAnsi="Times New Roman" w:cs="Times New Roman"/>
        </w:rPr>
        <w:t>áp</w:t>
      </w:r>
      <w:proofErr w:type="spellEnd"/>
      <w:r w:rsidRPr="00345688">
        <w:rPr>
          <w:rFonts w:ascii="Times New Roman" w:hAnsi="Times New Roman" w:cs="Times New Roman"/>
        </w:rPr>
        <w:t xml:space="preserve"> </w:t>
      </w:r>
      <w:proofErr w:type="spellStart"/>
      <w:r w:rsidRPr="00345688">
        <w:rPr>
          <w:rFonts w:ascii="Times New Roman" w:hAnsi="Times New Roman" w:cs="Times New Roman"/>
        </w:rPr>
        <w:t>dụng</w:t>
      </w:r>
      <w:proofErr w:type="spellEnd"/>
      <w:r w:rsidRPr="00345688">
        <w:rPr>
          <w:rFonts w:ascii="Times New Roman" w:hAnsi="Times New Roman" w:cs="Times New Roman"/>
        </w:rPr>
        <w:t xml:space="preserve"> </w:t>
      </w:r>
      <w:proofErr w:type="spellStart"/>
      <w:r w:rsidRPr="00345688">
        <w:rPr>
          <w:rFonts w:ascii="Times New Roman" w:hAnsi="Times New Roman" w:cs="Times New Roman"/>
        </w:rPr>
        <w:t>trong</w:t>
      </w:r>
      <w:proofErr w:type="spellEnd"/>
      <w:r w:rsidRPr="00345688">
        <w:rPr>
          <w:rFonts w:ascii="Times New Roman" w:hAnsi="Times New Roman" w:cs="Times New Roman"/>
        </w:rPr>
        <w:t xml:space="preserve"> cases </w:t>
      </w:r>
      <w:proofErr w:type="spellStart"/>
      <w:r w:rsidRPr="00345688">
        <w:rPr>
          <w:rFonts w:ascii="Times New Roman" w:hAnsi="Times New Roman" w:cs="Times New Roman"/>
        </w:rPr>
        <w:t>có</w:t>
      </w:r>
      <w:proofErr w:type="spellEnd"/>
      <w:r w:rsidRPr="00345688">
        <w:rPr>
          <w:rFonts w:ascii="Times New Roman" w:hAnsi="Times New Roman" w:cs="Times New Roman"/>
        </w:rPr>
        <w:t xml:space="preserve"> </w:t>
      </w:r>
      <w:proofErr w:type="spellStart"/>
      <w:r w:rsidRPr="00345688">
        <w:rPr>
          <w:rFonts w:ascii="Times New Roman" w:hAnsi="Times New Roman" w:cs="Times New Roman"/>
        </w:rPr>
        <w:t>đáp</w:t>
      </w:r>
      <w:proofErr w:type="spellEnd"/>
      <w:r w:rsidRPr="00345688">
        <w:rPr>
          <w:rFonts w:ascii="Times New Roman" w:hAnsi="Times New Roman" w:cs="Times New Roman"/>
        </w:rPr>
        <w:t xml:space="preserve"> </w:t>
      </w:r>
      <w:proofErr w:type="spellStart"/>
      <w:r w:rsidRPr="00345688">
        <w:rPr>
          <w:rFonts w:ascii="Times New Roman" w:hAnsi="Times New Roman" w:cs="Times New Roman"/>
        </w:rPr>
        <w:t>ứng</w:t>
      </w:r>
      <w:proofErr w:type="spellEnd"/>
      <w:r w:rsidRPr="00345688">
        <w:rPr>
          <w:rFonts w:ascii="Times New Roman" w:hAnsi="Times New Roman" w:cs="Times New Roman"/>
        </w:rPr>
        <w:t xml:space="preserve"> </w:t>
      </w:r>
      <w:proofErr w:type="spellStart"/>
      <w:r w:rsidRPr="00345688">
        <w:rPr>
          <w:rFonts w:ascii="Times New Roman" w:hAnsi="Times New Roman" w:cs="Times New Roman"/>
        </w:rPr>
        <w:t>được</w:t>
      </w:r>
      <w:proofErr w:type="spellEnd"/>
      <w:r w:rsidRPr="00345688">
        <w:rPr>
          <w:rFonts w:ascii="Times New Roman" w:hAnsi="Times New Roman" w:cs="Times New Roman"/>
        </w:rPr>
        <w:t xml:space="preserve"> </w:t>
      </w:r>
      <w:proofErr w:type="spellStart"/>
      <w:r w:rsidR="008E1E13" w:rsidRPr="00345688">
        <w:rPr>
          <w:rFonts w:ascii="Times New Roman" w:hAnsi="Times New Roman" w:cs="Times New Roman"/>
        </w:rPr>
        <w:t>tinh</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thần</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và</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hiệu</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quả</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kỳ</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vọng</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bởi</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nhà</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làm</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luật</w:t>
      </w:r>
      <w:proofErr w:type="spellEnd"/>
      <w:r w:rsidR="008E1E13" w:rsidRPr="00345688">
        <w:rPr>
          <w:rFonts w:ascii="Times New Roman" w:hAnsi="Times New Roman" w:cs="Times New Roman"/>
        </w:rPr>
        <w:t xml:space="preserve"> </w:t>
      </w:r>
      <w:proofErr w:type="spellStart"/>
      <w:r w:rsidR="008E1E13" w:rsidRPr="00345688">
        <w:rPr>
          <w:rFonts w:ascii="Times New Roman" w:hAnsi="Times New Roman" w:cs="Times New Roman"/>
        </w:rPr>
        <w:t>chư</w:t>
      </w:r>
      <w:r w:rsidR="0099541F">
        <w:rPr>
          <w:rFonts w:ascii="Times New Roman" w:hAnsi="Times New Roman" w:cs="Times New Roman"/>
        </w:rPr>
        <w:t>a</w:t>
      </w:r>
      <w:proofErr w:type="spellEnd"/>
    </w:p>
    <w:p w14:paraId="435B9D4F" w14:textId="450840B4" w:rsidR="00885817" w:rsidRDefault="00885817">
      <w:pPr>
        <w:rPr>
          <w:rFonts w:ascii="Times New Roman" w:hAnsi="Times New Roman" w:cs="Times New Roman"/>
        </w:rPr>
      </w:pPr>
      <w:r>
        <w:rPr>
          <w:rFonts w:ascii="Times New Roman" w:hAnsi="Times New Roman" w:cs="Times New Roman"/>
        </w:rPr>
        <w:lastRenderedPageBreak/>
        <w:t>Methodology</w:t>
      </w:r>
    </w:p>
    <w:p w14:paraId="64B35D38" w14:textId="2D7BAB79" w:rsidR="00723C79" w:rsidRDefault="00117B15" w:rsidP="00117B15">
      <w:pPr>
        <w:pStyle w:val="ListParagraph"/>
        <w:numPr>
          <w:ilvl w:val="0"/>
          <w:numId w:val="1"/>
        </w:numPr>
        <w:rPr>
          <w:rFonts w:ascii="Times New Roman" w:hAnsi="Times New Roman" w:cs="Times New Roman"/>
        </w:rPr>
      </w:pPr>
      <w:r>
        <w:rPr>
          <w:rFonts w:ascii="Times New Roman" w:hAnsi="Times New Roman" w:cs="Times New Roman"/>
        </w:rPr>
        <w:t xml:space="preserve">Doctrinal </w:t>
      </w:r>
    </w:p>
    <w:p w14:paraId="2463542D" w14:textId="224980B3" w:rsidR="00117B15" w:rsidRDefault="00C653B4" w:rsidP="00117B15">
      <w:pPr>
        <w:pStyle w:val="ListParagraph"/>
        <w:numPr>
          <w:ilvl w:val="0"/>
          <w:numId w:val="1"/>
        </w:numPr>
        <w:rPr>
          <w:rFonts w:ascii="Times New Roman" w:hAnsi="Times New Roman" w:cs="Times New Roman"/>
        </w:rPr>
      </w:pPr>
      <w:r>
        <w:rPr>
          <w:rFonts w:ascii="Times New Roman" w:hAnsi="Times New Roman" w:cs="Times New Roman"/>
        </w:rPr>
        <w:t>Theoretical</w:t>
      </w:r>
    </w:p>
    <w:p w14:paraId="70A4B5AC" w14:textId="418073BB" w:rsidR="00117B15" w:rsidRPr="00117B15" w:rsidRDefault="00117B15" w:rsidP="00117B15">
      <w:pPr>
        <w:pStyle w:val="ListParagraph"/>
        <w:numPr>
          <w:ilvl w:val="0"/>
          <w:numId w:val="1"/>
        </w:numPr>
        <w:rPr>
          <w:rFonts w:ascii="Times New Roman" w:hAnsi="Times New Roman" w:cs="Times New Roman"/>
        </w:rPr>
      </w:pPr>
      <w:r>
        <w:rPr>
          <w:rFonts w:ascii="Times New Roman" w:hAnsi="Times New Roman" w:cs="Times New Roman"/>
        </w:rPr>
        <w:t xml:space="preserve">Comparative </w:t>
      </w:r>
    </w:p>
    <w:p w14:paraId="3C7613A9" w14:textId="77777777" w:rsidR="00723C79" w:rsidRDefault="00723C79">
      <w:pPr>
        <w:rPr>
          <w:rFonts w:ascii="Times New Roman" w:hAnsi="Times New Roman" w:cs="Times New Roman"/>
        </w:rPr>
      </w:pPr>
      <w:r>
        <w:rPr>
          <w:rFonts w:ascii="Times New Roman" w:hAnsi="Times New Roman" w:cs="Times New Roman"/>
        </w:rPr>
        <w:t>Scope and limitation</w:t>
      </w:r>
    </w:p>
    <w:p w14:paraId="74163514" w14:textId="6142BC6A" w:rsidR="00723C79" w:rsidRDefault="00723C79">
      <w:pPr>
        <w:rPr>
          <w:rFonts w:ascii="Times New Roman" w:hAnsi="Times New Roman" w:cs="Times New Roman"/>
        </w:rPr>
      </w:pPr>
      <w:r>
        <w:rPr>
          <w:rFonts w:ascii="Times New Roman" w:hAnsi="Times New Roman" w:cs="Times New Roman"/>
        </w:rPr>
        <w:t>Structure</w:t>
      </w:r>
    </w:p>
    <w:p w14:paraId="28D3325B" w14:textId="52561D6A" w:rsidR="0099541F" w:rsidRDefault="00837755" w:rsidP="00837755">
      <w:pPr>
        <w:pStyle w:val="ListParagraph"/>
        <w:numPr>
          <w:ilvl w:val="0"/>
          <w:numId w:val="1"/>
        </w:numPr>
        <w:rPr>
          <w:rFonts w:ascii="Times New Roman" w:hAnsi="Times New Roman" w:cs="Times New Roman"/>
        </w:rPr>
      </w:pPr>
      <w:r>
        <w:rPr>
          <w:rFonts w:ascii="Times New Roman" w:hAnsi="Times New Roman" w:cs="Times New Roman"/>
        </w:rPr>
        <w:t>Literature review</w:t>
      </w:r>
    </w:p>
    <w:p w14:paraId="16EADCD0" w14:textId="0FEC4F8A" w:rsidR="00837755" w:rsidRDefault="008025C2" w:rsidP="00837755">
      <w:pPr>
        <w:pStyle w:val="ListParagraph"/>
        <w:numPr>
          <w:ilvl w:val="0"/>
          <w:numId w:val="1"/>
        </w:numPr>
        <w:rPr>
          <w:rFonts w:ascii="Times New Roman" w:hAnsi="Times New Roman" w:cs="Times New Roman"/>
        </w:rPr>
      </w:pPr>
      <w:r>
        <w:rPr>
          <w:rFonts w:ascii="Times New Roman" w:hAnsi="Times New Roman" w:cs="Times New Roman"/>
        </w:rPr>
        <w:t>Theoretical framework</w:t>
      </w:r>
    </w:p>
    <w:p w14:paraId="47A72B3A" w14:textId="5A08BDF2" w:rsidR="001F2680" w:rsidRDefault="001F2680" w:rsidP="001F2680">
      <w:pPr>
        <w:pStyle w:val="ListParagraph"/>
        <w:numPr>
          <w:ilvl w:val="1"/>
          <w:numId w:val="1"/>
        </w:numPr>
        <w:rPr>
          <w:rFonts w:ascii="Times New Roman" w:hAnsi="Times New Roman" w:cs="Times New Roman"/>
        </w:rPr>
      </w:pPr>
      <w:r>
        <w:rPr>
          <w:rFonts w:ascii="Times New Roman" w:hAnsi="Times New Roman" w:cs="Times New Roman"/>
        </w:rPr>
        <w:t xml:space="preserve">Proportionality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gì</w:t>
      </w:r>
      <w:proofErr w:type="spellEnd"/>
    </w:p>
    <w:p w14:paraId="6F163BE0" w14:textId="1430A36B" w:rsidR="001F2680" w:rsidRDefault="00D24EE2" w:rsidP="001F2680">
      <w:pPr>
        <w:pStyle w:val="ListParagraph"/>
        <w:numPr>
          <w:ilvl w:val="1"/>
          <w:numId w:val="1"/>
        </w:numPr>
        <w:rPr>
          <w:rFonts w:ascii="Times New Roman" w:hAnsi="Times New Roman" w:cs="Times New Roman"/>
        </w:rPr>
      </w:pPr>
      <w:commentRangeStart w:id="3"/>
      <w:commentRangeStart w:id="4"/>
      <w:r>
        <w:rPr>
          <w:rFonts w:ascii="Times New Roman" w:hAnsi="Times New Roman" w:cs="Times New Roman"/>
        </w:rPr>
        <w:t>Trong EU law</w:t>
      </w:r>
      <w:commentRangeEnd w:id="3"/>
      <w:r w:rsidR="0036590A">
        <w:rPr>
          <w:rStyle w:val="CommentReference"/>
        </w:rPr>
        <w:commentReference w:id="3"/>
      </w:r>
      <w:commentRangeEnd w:id="4"/>
      <w:r w:rsidR="0036590A">
        <w:rPr>
          <w:rStyle w:val="CommentReference"/>
        </w:rPr>
        <w:commentReference w:id="4"/>
      </w:r>
    </w:p>
    <w:p w14:paraId="16F6BAA5" w14:textId="618496B8" w:rsidR="00D24EE2" w:rsidRDefault="00D24EE2" w:rsidP="001F2680">
      <w:pPr>
        <w:pStyle w:val="ListParagraph"/>
        <w:numPr>
          <w:ilvl w:val="1"/>
          <w:numId w:val="1"/>
        </w:numPr>
        <w:rPr>
          <w:rFonts w:ascii="Times New Roman" w:hAnsi="Times New Roman" w:cs="Times New Roman"/>
        </w:rPr>
      </w:pPr>
      <w:r>
        <w:rPr>
          <w:rFonts w:ascii="Times New Roman" w:hAnsi="Times New Roman" w:cs="Times New Roman"/>
        </w:rPr>
        <w:t>Trong EU banking regulation</w:t>
      </w:r>
      <w:r w:rsidR="00E15151">
        <w:rPr>
          <w:rFonts w:ascii="Times New Roman" w:hAnsi="Times New Roman" w:cs="Times New Roman"/>
        </w:rPr>
        <w:t xml:space="preserve"> </w:t>
      </w:r>
    </w:p>
    <w:p w14:paraId="2C651D68" w14:textId="77777777" w:rsidR="00360E8F" w:rsidRDefault="00D24EE2" w:rsidP="00360E8F">
      <w:pPr>
        <w:pStyle w:val="ListParagraph"/>
        <w:numPr>
          <w:ilvl w:val="1"/>
          <w:numId w:val="1"/>
        </w:numPr>
        <w:rPr>
          <w:rFonts w:ascii="Times New Roman" w:hAnsi="Times New Roman" w:cs="Times New Roman"/>
        </w:rPr>
      </w:pPr>
      <w:r>
        <w:rPr>
          <w:rFonts w:ascii="Times New Roman" w:hAnsi="Times New Roman" w:cs="Times New Roman"/>
        </w:rPr>
        <w:t>Trong banking supervision</w:t>
      </w:r>
    </w:p>
    <w:p w14:paraId="5A92E0C2" w14:textId="7994D1FD" w:rsidR="00E15151" w:rsidRDefault="00E15151" w:rsidP="00E15151">
      <w:pPr>
        <w:pStyle w:val="ListParagraph"/>
        <w:numPr>
          <w:ilvl w:val="2"/>
          <w:numId w:val="1"/>
        </w:numPr>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sánh</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jurisdictions </w:t>
      </w:r>
      <w:proofErr w:type="spellStart"/>
      <w:r>
        <w:rPr>
          <w:rFonts w:ascii="Times New Roman" w:hAnsi="Times New Roman" w:cs="Times New Roman"/>
        </w:rPr>
        <w:t>khác</w:t>
      </w:r>
      <w:proofErr w:type="spellEnd"/>
      <w:r w:rsidR="00A62E54">
        <w:rPr>
          <w:rFonts w:ascii="Times New Roman" w:hAnsi="Times New Roman" w:cs="Times New Roman"/>
        </w:rPr>
        <w:t xml:space="preserve"> (</w:t>
      </w:r>
      <w:proofErr w:type="spellStart"/>
      <w:r w:rsidR="00A62E54">
        <w:rPr>
          <w:rFonts w:ascii="Times New Roman" w:hAnsi="Times New Roman" w:cs="Times New Roman"/>
        </w:rPr>
        <w:t>Mỹ</w:t>
      </w:r>
      <w:proofErr w:type="spellEnd"/>
      <w:r w:rsidR="00A62E54">
        <w:rPr>
          <w:rFonts w:ascii="Times New Roman" w:hAnsi="Times New Roman" w:cs="Times New Roman"/>
        </w:rPr>
        <w:t xml:space="preserve">, Brazil, </w:t>
      </w:r>
      <w:proofErr w:type="spellStart"/>
      <w:r w:rsidR="00A62E54">
        <w:rPr>
          <w:rFonts w:ascii="Times New Roman" w:hAnsi="Times New Roman" w:cs="Times New Roman"/>
        </w:rPr>
        <w:t>Thụy</w:t>
      </w:r>
      <w:proofErr w:type="spellEnd"/>
      <w:r w:rsidR="00A62E54">
        <w:rPr>
          <w:rFonts w:ascii="Times New Roman" w:hAnsi="Times New Roman" w:cs="Times New Roman"/>
        </w:rPr>
        <w:t xml:space="preserve"> </w:t>
      </w:r>
      <w:proofErr w:type="spellStart"/>
      <w:r w:rsidR="00A62E54">
        <w:rPr>
          <w:rFonts w:ascii="Times New Roman" w:hAnsi="Times New Roman" w:cs="Times New Roman"/>
        </w:rPr>
        <w:t>Sỹ</w:t>
      </w:r>
      <w:proofErr w:type="spellEnd"/>
      <w:r w:rsidR="00A62E54">
        <w:rPr>
          <w:rFonts w:ascii="Times New Roman" w:hAnsi="Times New Roman" w:cs="Times New Roman"/>
        </w:rPr>
        <w:t xml:space="preserve">, </w:t>
      </w:r>
      <w:proofErr w:type="spellStart"/>
      <w:r w:rsidR="00A62E54">
        <w:rPr>
          <w:rFonts w:ascii="Times New Roman" w:hAnsi="Times New Roman" w:cs="Times New Roman"/>
        </w:rPr>
        <w:t>Nhật</w:t>
      </w:r>
      <w:proofErr w:type="spellEnd"/>
      <w:r w:rsidR="00F861AA">
        <w:rPr>
          <w:rFonts w:ascii="Times New Roman" w:hAnsi="Times New Roman" w:cs="Times New Roman"/>
        </w:rPr>
        <w:t>)</w:t>
      </w:r>
    </w:p>
    <w:p w14:paraId="59160DE9" w14:textId="750BD021" w:rsidR="00360E8F" w:rsidRDefault="00360E8F" w:rsidP="00360E8F">
      <w:pPr>
        <w:pStyle w:val="ListParagraph"/>
        <w:numPr>
          <w:ilvl w:val="2"/>
          <w:numId w:val="1"/>
        </w:numPr>
        <w:rPr>
          <w:rFonts w:ascii="Times New Roman" w:hAnsi="Times New Roman" w:cs="Times New Roman"/>
        </w:rPr>
      </w:pPr>
      <w:r w:rsidRPr="00360E8F">
        <w:rPr>
          <w:rFonts w:ascii="Times New Roman" w:hAnsi="Times New Roman" w:cs="Times New Roman"/>
        </w:rPr>
        <w:t>Assessing the significance of institutions</w:t>
      </w:r>
      <w:r w:rsidR="00A62E54">
        <w:rPr>
          <w:rFonts w:ascii="Times New Roman" w:hAnsi="Times New Roman" w:cs="Times New Roman"/>
        </w:rPr>
        <w:t xml:space="preserve"> </w:t>
      </w:r>
    </w:p>
    <w:p w14:paraId="435AF582" w14:textId="1199B511" w:rsidR="00A62E54" w:rsidRDefault="00973B47" w:rsidP="009750CC">
      <w:pPr>
        <w:pStyle w:val="ListParagraph"/>
        <w:numPr>
          <w:ilvl w:val="3"/>
          <w:numId w:val="1"/>
        </w:numPr>
        <w:rPr>
          <w:rFonts w:ascii="Times New Roman" w:hAnsi="Times New Roman" w:cs="Times New Roman"/>
        </w:rPr>
      </w:pPr>
      <w:r>
        <w:rPr>
          <w:rFonts w:ascii="Times New Roman" w:hAnsi="Times New Roman" w:cs="Times New Roman"/>
        </w:rPr>
        <w:t>Size (</w:t>
      </w:r>
      <w:r w:rsidRPr="00973B47">
        <w:rPr>
          <w:rFonts w:ascii="Times New Roman" w:hAnsi="Times New Roman" w:cs="Times New Roman"/>
        </w:rPr>
        <w:t>TITLE 3</w:t>
      </w:r>
      <w:r w:rsidR="00B22A23">
        <w:rPr>
          <w:rFonts w:ascii="Times New Roman" w:hAnsi="Times New Roman" w:cs="Times New Roman"/>
        </w:rPr>
        <w:t xml:space="preserve"> </w:t>
      </w:r>
      <w:r w:rsidR="00B22A23" w:rsidRPr="00B22A23">
        <w:rPr>
          <w:rFonts w:ascii="Times New Roman" w:hAnsi="Times New Roman" w:cs="Times New Roman"/>
        </w:rPr>
        <w:t>Article 50</w:t>
      </w:r>
      <w:r w:rsidR="009E05DB">
        <w:rPr>
          <w:rFonts w:ascii="Times New Roman" w:hAnsi="Times New Roman" w:cs="Times New Roman"/>
        </w:rPr>
        <w:t>, CRR, CRD)</w:t>
      </w:r>
    </w:p>
    <w:p w14:paraId="0C67E0AD" w14:textId="51A54DAA" w:rsidR="009E05DB" w:rsidRDefault="00FD73E8" w:rsidP="009750CC">
      <w:pPr>
        <w:pStyle w:val="ListParagraph"/>
        <w:numPr>
          <w:ilvl w:val="3"/>
          <w:numId w:val="1"/>
        </w:numPr>
        <w:rPr>
          <w:rFonts w:ascii="Times New Roman" w:hAnsi="Times New Roman" w:cs="Times New Roman"/>
        </w:rPr>
      </w:pPr>
      <w:r>
        <w:rPr>
          <w:rFonts w:ascii="Times New Roman" w:hAnsi="Times New Roman" w:cs="Times New Roman"/>
        </w:rPr>
        <w:t>Pillar 2 3: Deposit Guarantee Scheme</w:t>
      </w:r>
      <w:r w:rsidR="00B14C5D">
        <w:rPr>
          <w:rFonts w:ascii="Times New Roman" w:hAnsi="Times New Roman" w:cs="Times New Roman"/>
        </w:rPr>
        <w:t>, SRF</w:t>
      </w:r>
    </w:p>
    <w:p w14:paraId="48A2DD9E" w14:textId="0B2DAB33" w:rsidR="009750CC" w:rsidRPr="00EE1226" w:rsidRDefault="009750CC" w:rsidP="00520E31">
      <w:pPr>
        <w:pStyle w:val="ListParagraph"/>
        <w:numPr>
          <w:ilvl w:val="2"/>
          <w:numId w:val="1"/>
        </w:numPr>
        <w:rPr>
          <w:rFonts w:ascii="Times New Roman" w:hAnsi="Times New Roman" w:cs="Times New Roman"/>
        </w:rPr>
      </w:pPr>
      <w:r w:rsidRPr="009750CC">
        <w:rPr>
          <w:rFonts w:ascii="Times New Roman" w:hAnsi="Times New Roman" w:cs="Times New Roman"/>
        </w:rPr>
        <w:t xml:space="preserve">Requests relating to </w:t>
      </w:r>
      <w:proofErr w:type="spellStart"/>
      <w:r w:rsidRPr="009750CC">
        <w:rPr>
          <w:rFonts w:ascii="Times New Roman" w:hAnsi="Times New Roman" w:cs="Times New Roman"/>
        </w:rPr>
        <w:t>authorisations</w:t>
      </w:r>
      <w:proofErr w:type="spellEnd"/>
      <w:r w:rsidRPr="009750CC">
        <w:rPr>
          <w:rFonts w:ascii="Times New Roman" w:hAnsi="Times New Roman" w:cs="Times New Roman"/>
        </w:rPr>
        <w:t xml:space="preserve">, </w:t>
      </w:r>
      <w:r w:rsidRPr="00EE1226">
        <w:rPr>
          <w:rFonts w:ascii="Times New Roman" w:hAnsi="Times New Roman" w:cs="Times New Roman"/>
          <w:i/>
          <w:iCs/>
        </w:rPr>
        <w:t>proposed acquisitions of qualifying holdings and passporting</w:t>
      </w:r>
    </w:p>
    <w:p w14:paraId="7897E784" w14:textId="7EEDA958" w:rsidR="00EE1226" w:rsidRDefault="00AF0819" w:rsidP="00520E31">
      <w:pPr>
        <w:pStyle w:val="ListParagraph"/>
        <w:numPr>
          <w:ilvl w:val="2"/>
          <w:numId w:val="1"/>
        </w:numPr>
        <w:rPr>
          <w:rFonts w:ascii="Times New Roman" w:hAnsi="Times New Roman" w:cs="Times New Roman"/>
        </w:rPr>
      </w:pPr>
      <w:r w:rsidRPr="00AF0819">
        <w:rPr>
          <w:rFonts w:ascii="Times New Roman" w:hAnsi="Times New Roman" w:cs="Times New Roman"/>
        </w:rPr>
        <w:t>Collecting supervisory data</w:t>
      </w:r>
    </w:p>
    <w:p w14:paraId="02D142AF" w14:textId="2F7FEC4C" w:rsidR="00696E84" w:rsidRDefault="0008383E" w:rsidP="00520E31">
      <w:pPr>
        <w:pStyle w:val="ListParagraph"/>
        <w:numPr>
          <w:ilvl w:val="2"/>
          <w:numId w:val="1"/>
        </w:numPr>
        <w:rPr>
          <w:rFonts w:ascii="Times New Roman" w:hAnsi="Times New Roman" w:cs="Times New Roman"/>
        </w:rPr>
      </w:pPr>
      <w:r>
        <w:rPr>
          <w:rFonts w:ascii="Times New Roman" w:hAnsi="Times New Roman" w:cs="Times New Roman"/>
        </w:rPr>
        <w:t>Resolution</w:t>
      </w:r>
      <w:r w:rsidR="00E473D5">
        <w:rPr>
          <w:rFonts w:ascii="Times New Roman" w:hAnsi="Times New Roman" w:cs="Times New Roman"/>
        </w:rPr>
        <w:t xml:space="preserve"> (</w:t>
      </w:r>
      <w:r w:rsidR="00E473D5" w:rsidRPr="00E473D5">
        <w:rPr>
          <w:rFonts w:ascii="Times New Roman" w:hAnsi="Times New Roman" w:cs="Times New Roman"/>
        </w:rPr>
        <w:t xml:space="preserve">Case T-502/19, </w:t>
      </w:r>
      <w:proofErr w:type="spellStart"/>
      <w:r w:rsidR="00E473D5" w:rsidRPr="00E473D5">
        <w:rPr>
          <w:rFonts w:ascii="Times New Roman" w:hAnsi="Times New Roman" w:cs="Times New Roman"/>
        </w:rPr>
        <w:t>Corneli</w:t>
      </w:r>
      <w:proofErr w:type="spellEnd"/>
      <w:r w:rsidR="00E473D5" w:rsidRPr="00E473D5">
        <w:rPr>
          <w:rFonts w:ascii="Times New Roman" w:hAnsi="Times New Roman" w:cs="Times New Roman"/>
        </w:rPr>
        <w:t xml:space="preserve"> v ECB,) three special </w:t>
      </w:r>
      <w:proofErr w:type="spellStart"/>
      <w:r w:rsidR="00E473D5" w:rsidRPr="00E473D5">
        <w:rPr>
          <w:rFonts w:ascii="Times New Roman" w:hAnsi="Times New Roman" w:cs="Times New Roman"/>
        </w:rPr>
        <w:t>dministrators</w:t>
      </w:r>
      <w:proofErr w:type="spellEnd"/>
      <w:r w:rsidR="00E473D5" w:rsidRPr="00E473D5">
        <w:rPr>
          <w:rFonts w:ascii="Times New Roman" w:hAnsi="Times New Roman" w:cs="Times New Roman"/>
        </w:rPr>
        <w:t xml:space="preserve"> and with a supervisory committee formed of three members</w:t>
      </w:r>
    </w:p>
    <w:p w14:paraId="3FE855F7" w14:textId="4093004B" w:rsidR="0032172C" w:rsidRPr="0032172C" w:rsidRDefault="0032172C" w:rsidP="0032172C">
      <w:pPr>
        <w:pStyle w:val="ListParagraph"/>
        <w:numPr>
          <w:ilvl w:val="0"/>
          <w:numId w:val="1"/>
        </w:numPr>
        <w:rPr>
          <w:rFonts w:ascii="Times New Roman" w:hAnsi="Times New Roman" w:cs="Times New Roman"/>
        </w:rPr>
      </w:pPr>
      <w:r>
        <w:rPr>
          <w:rFonts w:ascii="Times New Roman" w:hAnsi="Times New Roman" w:cs="Times New Roman"/>
        </w:rPr>
        <w:t xml:space="preserve">Application of proportionality </w:t>
      </w:r>
    </w:p>
    <w:p w14:paraId="73CCF0FF" w14:textId="5681421D" w:rsidR="00723C79" w:rsidRPr="00360E8F" w:rsidRDefault="00723C79" w:rsidP="00360E8F">
      <w:pPr>
        <w:rPr>
          <w:rFonts w:ascii="Times New Roman" w:hAnsi="Times New Roman" w:cs="Times New Roman"/>
        </w:rPr>
      </w:pPr>
      <w:r w:rsidRPr="00360E8F">
        <w:rPr>
          <w:rFonts w:ascii="Times New Roman" w:hAnsi="Times New Roman" w:cs="Times New Roman"/>
        </w:rPr>
        <w:t>Conclusion</w:t>
      </w:r>
    </w:p>
    <w:p w14:paraId="3112F42F" w14:textId="77777777" w:rsidR="00C907DE" w:rsidRDefault="00C907DE">
      <w:pPr>
        <w:rPr>
          <w:rFonts w:ascii="Times New Roman" w:hAnsi="Times New Roman" w:cs="Times New Roman"/>
        </w:rPr>
      </w:pPr>
    </w:p>
    <w:p w14:paraId="2C6E4907" w14:textId="729872AE" w:rsidR="00B609CC" w:rsidRDefault="00B609CC">
      <w:pPr>
        <w:rPr>
          <w:rFonts w:ascii="Times New Roman" w:hAnsi="Times New Roman" w:cs="Times New Roman"/>
        </w:rPr>
      </w:pPr>
      <w:r>
        <w:rPr>
          <w:rFonts w:ascii="Times New Roman" w:hAnsi="Times New Roman" w:cs="Times New Roman"/>
        </w:rPr>
        <w:t>Definition</w:t>
      </w:r>
    </w:p>
    <w:p w14:paraId="5860E43D" w14:textId="30EA6549" w:rsidR="00B609CC" w:rsidRDefault="00B609CC">
      <w:pPr>
        <w:rPr>
          <w:rFonts w:ascii="Times New Roman" w:hAnsi="Times New Roman" w:cs="Times New Roman"/>
        </w:rPr>
      </w:pPr>
      <w:r w:rsidRPr="00B609CC">
        <w:rPr>
          <w:rFonts w:ascii="Times New Roman" w:hAnsi="Times New Roman" w:cs="Times New Roman"/>
        </w:rPr>
        <w:t xml:space="preserve">proportionality does not mean lower or less conservative standards. Rather, it reflects the idea that rules and </w:t>
      </w:r>
      <w:commentRangeStart w:id="5"/>
      <w:r w:rsidRPr="00B609CC">
        <w:rPr>
          <w:rFonts w:ascii="Times New Roman" w:hAnsi="Times New Roman" w:cs="Times New Roman"/>
        </w:rPr>
        <w:t xml:space="preserve">supervisory </w:t>
      </w:r>
      <w:commentRangeEnd w:id="5"/>
      <w:r>
        <w:rPr>
          <w:rStyle w:val="CommentReference"/>
        </w:rPr>
        <w:commentReference w:id="5"/>
      </w:r>
      <w:r w:rsidRPr="00B609CC">
        <w:rPr>
          <w:rFonts w:ascii="Times New Roman" w:hAnsi="Times New Roman" w:cs="Times New Roman"/>
        </w:rPr>
        <w:t>practices are commensurate with banks' systemic importance and risk profiles, and that they are appropriate for the broader characteristics of a particular financial system</w:t>
      </w:r>
    </w:p>
    <w:p w14:paraId="1F392448" w14:textId="7340106D" w:rsidR="007D6F84" w:rsidRDefault="007D6F84" w:rsidP="007D6F84">
      <w:pPr>
        <w:rPr>
          <w:rFonts w:ascii="Times New Roman" w:hAnsi="Times New Roman" w:cs="Times New Roman"/>
        </w:rPr>
      </w:pPr>
      <w:r w:rsidRPr="007D6F84">
        <w:rPr>
          <w:rFonts w:ascii="Times New Roman" w:hAnsi="Times New Roman" w:cs="Times New Roman"/>
        </w:rPr>
        <w:t xml:space="preserve">The objective of proportionality </w:t>
      </w:r>
      <w:commentRangeStart w:id="6"/>
      <w:r w:rsidRPr="007D6F84">
        <w:rPr>
          <w:rFonts w:ascii="Times New Roman" w:hAnsi="Times New Roman" w:cs="Times New Roman"/>
        </w:rPr>
        <w:t>is to reflect</w:t>
      </w:r>
      <w:r>
        <w:rPr>
          <w:rFonts w:ascii="Times New Roman" w:hAnsi="Times New Roman" w:cs="Times New Roman"/>
        </w:rPr>
        <w:t xml:space="preserve"> </w:t>
      </w:r>
      <w:r w:rsidRPr="007D6F84">
        <w:rPr>
          <w:rFonts w:ascii="Times New Roman" w:hAnsi="Times New Roman" w:cs="Times New Roman"/>
        </w:rPr>
        <w:t>jurisdictions’ circumstances and supervisory capacity, not to dilute the robustness of the standards</w:t>
      </w:r>
      <w:commentRangeEnd w:id="6"/>
      <w:r>
        <w:rPr>
          <w:rStyle w:val="CommentReference"/>
        </w:rPr>
        <w:commentReference w:id="6"/>
      </w:r>
    </w:p>
    <w:p w14:paraId="784BC5F6" w14:textId="77777777" w:rsidR="00B609CC" w:rsidRDefault="00B609CC">
      <w:pPr>
        <w:rPr>
          <w:rFonts w:ascii="Times New Roman" w:hAnsi="Times New Roman" w:cs="Times New Roman"/>
        </w:rPr>
      </w:pPr>
    </w:p>
    <w:p w14:paraId="753C02C6" w14:textId="77777777" w:rsidR="00C907DE" w:rsidRDefault="00C907DE">
      <w:pPr>
        <w:rPr>
          <w:rFonts w:ascii="Times New Roman" w:hAnsi="Times New Roman" w:cs="Times New Roman"/>
        </w:rPr>
      </w:pPr>
      <w:r>
        <w:rPr>
          <w:rFonts w:ascii="Times New Roman" w:hAnsi="Times New Roman" w:cs="Times New Roman"/>
        </w:rPr>
        <w:t xml:space="preserve">Why application of proportionality is important: </w:t>
      </w:r>
    </w:p>
    <w:p w14:paraId="0BF921B5" w14:textId="77777777" w:rsidR="00C907DE" w:rsidRDefault="00C907DE" w:rsidP="00C907DE">
      <w:pPr>
        <w:pStyle w:val="ListParagraph"/>
        <w:numPr>
          <w:ilvl w:val="0"/>
          <w:numId w:val="1"/>
        </w:numPr>
        <w:rPr>
          <w:rFonts w:ascii="Times New Roman" w:hAnsi="Times New Roman" w:cs="Times New Roman"/>
        </w:rPr>
      </w:pPr>
      <w:r w:rsidRPr="00C907DE">
        <w:rPr>
          <w:rFonts w:ascii="Times New Roman" w:hAnsi="Times New Roman" w:cs="Times New Roman"/>
        </w:rPr>
        <w:t>applying the principle of proportionality can help regulation to avoid negative side effects on financial inclusion. This is true for both activity-based – such as AML/</w:t>
      </w:r>
      <w:commentRangeStart w:id="7"/>
      <w:r w:rsidRPr="00C907DE">
        <w:rPr>
          <w:rFonts w:ascii="Times New Roman" w:hAnsi="Times New Roman" w:cs="Times New Roman"/>
        </w:rPr>
        <w:t xml:space="preserve">CFT – and </w:t>
      </w:r>
      <w:commentRangeEnd w:id="7"/>
      <w:r w:rsidR="0014521C">
        <w:rPr>
          <w:rStyle w:val="CommentReference"/>
        </w:rPr>
        <w:commentReference w:id="7"/>
      </w:r>
      <w:r w:rsidRPr="00C907DE">
        <w:rPr>
          <w:rFonts w:ascii="Times New Roman" w:hAnsi="Times New Roman" w:cs="Times New Roman"/>
        </w:rPr>
        <w:t>entity-based regulation – such as that for banking or insurance firms.</w:t>
      </w:r>
      <w:r>
        <w:rPr>
          <w:rFonts w:ascii="Times New Roman" w:hAnsi="Times New Roman" w:cs="Times New Roman"/>
        </w:rPr>
        <w:t xml:space="preserve"> </w:t>
      </w:r>
    </w:p>
    <w:p w14:paraId="15B59017" w14:textId="77777777" w:rsidR="00C60A2E" w:rsidRDefault="00E0387A" w:rsidP="00C907DE">
      <w:pPr>
        <w:pStyle w:val="ListParagraph"/>
        <w:numPr>
          <w:ilvl w:val="0"/>
          <w:numId w:val="1"/>
        </w:numPr>
        <w:rPr>
          <w:rFonts w:ascii="Times New Roman" w:hAnsi="Times New Roman" w:cs="Times New Roman"/>
        </w:rPr>
      </w:pPr>
      <w:r w:rsidRPr="00E0387A">
        <w:rPr>
          <w:rFonts w:ascii="Times New Roman" w:hAnsi="Times New Roman" w:cs="Times New Roman"/>
        </w:rPr>
        <w:t>If the simplified rules are properly defined, they could remain effective at preserving the safety and soundness of small institutions, but they would also reduce an otherwise disproportionately costly regulatory burden. To the extent those firms are often active only in specific local communities and provide financial services to agents that could have difficulties obtaining the same services from larger institutions, proportionate prudential regulation would facilitate financial inclusion.</w:t>
      </w:r>
    </w:p>
    <w:p w14:paraId="1BD5C912" w14:textId="77777777" w:rsidR="003F5121" w:rsidRDefault="003F5121" w:rsidP="003F5121">
      <w:pPr>
        <w:rPr>
          <w:rFonts w:ascii="Times New Roman" w:hAnsi="Times New Roman" w:cs="Times New Roman"/>
        </w:rPr>
      </w:pPr>
      <w:r>
        <w:rPr>
          <w:rFonts w:ascii="Times New Roman" w:hAnsi="Times New Roman" w:cs="Times New Roman"/>
        </w:rPr>
        <w:t xml:space="preserve">Ở EU </w:t>
      </w:r>
      <w:proofErr w:type="spellStart"/>
      <w:r>
        <w:rPr>
          <w:rFonts w:ascii="Times New Roman" w:hAnsi="Times New Roman" w:cs="Times New Roman"/>
        </w:rPr>
        <w:t>thiếu</w:t>
      </w:r>
      <w:proofErr w:type="spellEnd"/>
      <w:r>
        <w:rPr>
          <w:rFonts w:ascii="Times New Roman" w:hAnsi="Times New Roman" w:cs="Times New Roman"/>
        </w:rPr>
        <w:t xml:space="preserve"> application </w:t>
      </w:r>
    </w:p>
    <w:p w14:paraId="56E97FD4" w14:textId="08B47C9C" w:rsidR="00E21CD0" w:rsidRDefault="00E21CD0" w:rsidP="003F5121">
      <w:pPr>
        <w:pStyle w:val="ListParagraph"/>
        <w:numPr>
          <w:ilvl w:val="0"/>
          <w:numId w:val="1"/>
        </w:numPr>
        <w:rPr>
          <w:rFonts w:ascii="Times New Roman" w:hAnsi="Times New Roman" w:cs="Times New Roman"/>
        </w:rPr>
      </w:pPr>
      <w:r w:rsidRPr="003F5121">
        <w:rPr>
          <w:rFonts w:ascii="Times New Roman" w:hAnsi="Times New Roman" w:cs="Times New Roman"/>
        </w:rPr>
        <w:t xml:space="preserve">With some notable exceptions, we currently more or less apply the same rules and procedures to </w:t>
      </w:r>
      <w:commentRangeStart w:id="8"/>
      <w:r w:rsidRPr="003F5121">
        <w:rPr>
          <w:rFonts w:ascii="Times New Roman" w:hAnsi="Times New Roman" w:cs="Times New Roman"/>
        </w:rPr>
        <w:t>all banks, irrespective of their size and their relevance for financial stability. In practice, this puts small institutions at a disadvantage compared to their larger peers. It runs counter to the idea of a level playing field and creates problematic incentives in terms of uniformity and size in the banking sector.</w:t>
      </w:r>
      <w:commentRangeEnd w:id="8"/>
      <w:r w:rsidR="00FF1A45">
        <w:rPr>
          <w:rStyle w:val="CommentReference"/>
        </w:rPr>
        <w:commentReference w:id="8"/>
      </w:r>
    </w:p>
    <w:p w14:paraId="48035A53" w14:textId="4F1F949F" w:rsidR="00742BDC" w:rsidRDefault="00742BDC" w:rsidP="003F5121">
      <w:pPr>
        <w:pStyle w:val="ListParagraph"/>
        <w:numPr>
          <w:ilvl w:val="0"/>
          <w:numId w:val="1"/>
        </w:numPr>
        <w:rPr>
          <w:rFonts w:ascii="Times New Roman" w:hAnsi="Times New Roman" w:cs="Times New Roman"/>
        </w:rPr>
      </w:pPr>
      <w:r w:rsidRPr="00742BDC">
        <w:rPr>
          <w:rFonts w:ascii="Times New Roman" w:hAnsi="Times New Roman" w:cs="Times New Roman"/>
        </w:rPr>
        <w:t>When assessing potential areas for simplifications, we must weigh the benefits of regulation - that is, ensuring financial stability - against the burden it creates for the private sector. As a rule of thumb, we can say that any rules that are dispensable for effective supervision are up for debate.</w:t>
      </w:r>
    </w:p>
    <w:p w14:paraId="30BE9F8B" w14:textId="383874D6" w:rsidR="00CC7B7D" w:rsidRDefault="00CC7B7D" w:rsidP="003F5121">
      <w:pPr>
        <w:pStyle w:val="ListParagraph"/>
        <w:numPr>
          <w:ilvl w:val="0"/>
          <w:numId w:val="1"/>
        </w:numPr>
        <w:rPr>
          <w:rFonts w:ascii="Times New Roman" w:hAnsi="Times New Roman" w:cs="Times New Roman"/>
        </w:rPr>
      </w:pPr>
      <w:commentRangeStart w:id="9"/>
      <w:r w:rsidRPr="00CC7B7D">
        <w:rPr>
          <w:rFonts w:ascii="Times New Roman" w:hAnsi="Times New Roman" w:cs="Times New Roman"/>
        </w:rPr>
        <w:t>In short, the Court grants considerable deference to the policy goals determined by the Council and refrains from conducting a thorough substantive review of individual restrictive measures. As a result, the application of the proportionality principle loses significance, even in the face of violations of fundamental rights protected by the Charter.</w:t>
      </w:r>
      <w:commentRangeEnd w:id="9"/>
      <w:r w:rsidR="00B31306">
        <w:rPr>
          <w:rStyle w:val="CommentReference"/>
        </w:rPr>
        <w:commentReference w:id="9"/>
      </w:r>
    </w:p>
    <w:p w14:paraId="792D3254" w14:textId="76DAA1A4" w:rsidR="000F71EC" w:rsidRDefault="000F71EC" w:rsidP="003F5121">
      <w:pPr>
        <w:pStyle w:val="ListParagraph"/>
        <w:numPr>
          <w:ilvl w:val="0"/>
          <w:numId w:val="1"/>
        </w:numPr>
        <w:rPr>
          <w:rFonts w:ascii="Times New Roman" w:hAnsi="Times New Roman" w:cs="Times New Roman"/>
        </w:rPr>
      </w:pPr>
      <w:commentRangeStart w:id="10"/>
      <w:r w:rsidRPr="000F71EC">
        <w:rPr>
          <w:rFonts w:ascii="Times New Roman" w:hAnsi="Times New Roman" w:cs="Times New Roman"/>
        </w:rPr>
        <w:t>when carrying out the proportionality assessment, the Courts assign significant weight to the objective of the restrictive measure determined by the Council. A weighty and inherently vague objective will justify almost any act, and in a balancing test will always outweigh private interests. This renders the proportionality principle ineffective and creates an indirect restriction to judicial review</w:t>
      </w:r>
      <w:commentRangeEnd w:id="10"/>
      <w:r>
        <w:rPr>
          <w:rStyle w:val="CommentReference"/>
        </w:rPr>
        <w:commentReference w:id="10"/>
      </w:r>
    </w:p>
    <w:p w14:paraId="6EE557B7" w14:textId="2EE62E7B" w:rsidR="006E724F" w:rsidRDefault="006E724F" w:rsidP="006E724F">
      <w:pPr>
        <w:rPr>
          <w:rFonts w:ascii="Times New Roman" w:hAnsi="Times New Roman" w:cs="Times New Roman"/>
        </w:rPr>
      </w:pPr>
      <w:r>
        <w:rPr>
          <w:rFonts w:ascii="Times New Roman" w:hAnsi="Times New Roman" w:cs="Times New Roman"/>
        </w:rPr>
        <w:t xml:space="preserve">EU da </w:t>
      </w:r>
      <w:proofErr w:type="spellStart"/>
      <w:r>
        <w:rPr>
          <w:rFonts w:ascii="Times New Roman" w:hAnsi="Times New Roman" w:cs="Times New Roman"/>
        </w:rPr>
        <w:t>khac</w:t>
      </w:r>
      <w:proofErr w:type="spellEnd"/>
      <w:r>
        <w:rPr>
          <w:rFonts w:ascii="Times New Roman" w:hAnsi="Times New Roman" w:cs="Times New Roman"/>
        </w:rPr>
        <w:t xml:space="preserve"> </w:t>
      </w:r>
      <w:proofErr w:type="spellStart"/>
      <w:r>
        <w:rPr>
          <w:rFonts w:ascii="Times New Roman" w:hAnsi="Times New Roman" w:cs="Times New Roman"/>
        </w:rPr>
        <w:t>phuc</w:t>
      </w:r>
      <w:proofErr w:type="spellEnd"/>
    </w:p>
    <w:p w14:paraId="5B1DE9E0" w14:textId="6A8FF7B9" w:rsidR="006E724F" w:rsidRPr="006E724F" w:rsidRDefault="006E724F" w:rsidP="006E724F">
      <w:pPr>
        <w:pStyle w:val="ListParagraph"/>
        <w:numPr>
          <w:ilvl w:val="0"/>
          <w:numId w:val="1"/>
        </w:numPr>
        <w:rPr>
          <w:rFonts w:ascii="Times New Roman" w:hAnsi="Times New Roman" w:cs="Times New Roman"/>
        </w:rPr>
      </w:pPr>
      <w:r w:rsidRPr="006E724F">
        <w:rPr>
          <w:rFonts w:ascii="Times New Roman" w:hAnsi="Times New Roman" w:cs="Times New Roman"/>
        </w:rPr>
        <w:t xml:space="preserve">Fee methodology: </w:t>
      </w:r>
      <w:commentRangeStart w:id="11"/>
      <w:r w:rsidRPr="006E724F">
        <w:rPr>
          <w:rFonts w:ascii="Times New Roman" w:hAnsi="Times New Roman" w:cs="Times New Roman"/>
        </w:rPr>
        <w:t>EC comment 2023: ECB could have considered embedding more proportionality in its fee methodology. This has largely been achieved via the review of the Supervisory Fee Regulation10 that was implemented from the 2020 fee period onwards. The new process introduced, among other methodological improvements, a discount on the minimum fee component of the ECB supervision for smaller LSIs.</w:t>
      </w:r>
      <w:commentRangeEnd w:id="11"/>
      <w:r>
        <w:rPr>
          <w:rStyle w:val="CommentReference"/>
        </w:rPr>
        <w:commentReference w:id="11"/>
      </w:r>
    </w:p>
    <w:p w14:paraId="2E4B92F3" w14:textId="25A21C48" w:rsidR="006E724F" w:rsidRPr="006E724F" w:rsidRDefault="006E724F" w:rsidP="006E724F">
      <w:pPr>
        <w:rPr>
          <w:rFonts w:ascii="Times New Roman" w:hAnsi="Times New Roman" w:cs="Times New Roman"/>
        </w:rPr>
      </w:pPr>
    </w:p>
    <w:p w14:paraId="7EF0AE54" w14:textId="77777777" w:rsidR="00CE77A3" w:rsidRPr="00887170" w:rsidRDefault="00AA0DEA" w:rsidP="00C60A2E">
      <w:pPr>
        <w:rPr>
          <w:rFonts w:ascii="Times New Roman" w:hAnsi="Times New Roman" w:cs="Times New Roman"/>
          <w:b/>
          <w:bCs/>
        </w:rPr>
      </w:pPr>
      <w:r w:rsidRPr="00887170">
        <w:rPr>
          <w:rFonts w:ascii="Times New Roman" w:hAnsi="Times New Roman" w:cs="Times New Roman"/>
          <w:b/>
          <w:bCs/>
        </w:rPr>
        <w:t>Challe</w:t>
      </w:r>
      <w:r w:rsidR="00CE77A3" w:rsidRPr="00887170">
        <w:rPr>
          <w:rFonts w:ascii="Times New Roman" w:hAnsi="Times New Roman" w:cs="Times New Roman"/>
          <w:b/>
          <w:bCs/>
        </w:rPr>
        <w:t xml:space="preserve">nges: </w:t>
      </w:r>
    </w:p>
    <w:p w14:paraId="2522CDF6" w14:textId="77777777" w:rsidR="00CE77A3" w:rsidRDefault="00C60A2E" w:rsidP="00CE77A3">
      <w:pPr>
        <w:pStyle w:val="ListParagraph"/>
        <w:numPr>
          <w:ilvl w:val="0"/>
          <w:numId w:val="1"/>
        </w:numPr>
        <w:rPr>
          <w:rFonts w:ascii="Times New Roman" w:hAnsi="Times New Roman" w:cs="Times New Roman"/>
        </w:rPr>
      </w:pPr>
      <w:r w:rsidRPr="00CE77A3">
        <w:rPr>
          <w:rFonts w:ascii="Times New Roman" w:hAnsi="Times New Roman" w:cs="Times New Roman"/>
        </w:rPr>
        <w:t>Larger segments</w:t>
      </w:r>
      <w:r w:rsidR="00207CDF" w:rsidRPr="00CE77A3">
        <w:rPr>
          <w:rFonts w:ascii="Times New Roman" w:hAnsi="Times New Roman" w:cs="Times New Roman"/>
        </w:rPr>
        <w:t>: In addition, successful financial inclusion policies may sometimes entail strengthening rather than alleviating some regulatory safeguards. For example, increasing the access of larger segments of the population to credit or payment facilities without sufficiently effective consumer protection rules could increase rather than reduce the vulnerability of some of the newly financially included individuals.</w:t>
      </w:r>
    </w:p>
    <w:p w14:paraId="75EDE1F7" w14:textId="77777777" w:rsidR="009142AF" w:rsidRDefault="00CE77A3" w:rsidP="00CE77A3">
      <w:pPr>
        <w:pStyle w:val="ListParagraph"/>
        <w:numPr>
          <w:ilvl w:val="0"/>
          <w:numId w:val="1"/>
        </w:numPr>
        <w:rPr>
          <w:rFonts w:ascii="Times New Roman" w:hAnsi="Times New Roman" w:cs="Times New Roman"/>
        </w:rPr>
      </w:pPr>
      <w:r>
        <w:rPr>
          <w:rFonts w:ascii="Times New Roman" w:hAnsi="Times New Roman" w:cs="Times New Roman"/>
        </w:rPr>
        <w:t xml:space="preserve">NCA: </w:t>
      </w:r>
      <w:r w:rsidRPr="00CE77A3">
        <w:rPr>
          <w:rFonts w:ascii="Times New Roman" w:hAnsi="Times New Roman" w:cs="Times New Roman"/>
        </w:rPr>
        <w:t>Very importantly, national authorities may be reluctant to introduce a proportionate approach in their regulatory frameworks, if they perceive that this could affect their international standing. Their concern is that this approach may be perceived as less rigorous, thus tainting the jurisdiction’s reputation as a safe and sound place to do business. That could lead to efforts to adopt the full package of international standards with insufficient tailoring to the specific domestic situation and needs.</w:t>
      </w:r>
    </w:p>
    <w:p w14:paraId="578C8CA9" w14:textId="77777777" w:rsidR="00C3170D" w:rsidRDefault="009F3C70" w:rsidP="00C3170D">
      <w:pPr>
        <w:pStyle w:val="ListParagraph"/>
        <w:numPr>
          <w:ilvl w:val="1"/>
          <w:numId w:val="1"/>
        </w:numPr>
        <w:rPr>
          <w:rFonts w:ascii="Times New Roman" w:hAnsi="Times New Roman" w:cs="Times New Roman"/>
        </w:rPr>
      </w:pPr>
      <w:r>
        <w:rPr>
          <w:rFonts w:ascii="Times New Roman" w:hAnsi="Times New Roman" w:cs="Times New Roman"/>
        </w:rPr>
        <w:t>Tur</w:t>
      </w:r>
      <w:r w:rsidR="000F4B32">
        <w:rPr>
          <w:rFonts w:ascii="Times New Roman" w:hAnsi="Times New Roman" w:cs="Times New Roman"/>
        </w:rPr>
        <w:t xml:space="preserve">moil: </w:t>
      </w:r>
      <w:r w:rsidR="00C3170D" w:rsidRPr="00C3170D">
        <w:rPr>
          <w:rFonts w:ascii="Times New Roman" w:hAnsi="Times New Roman" w:cs="Times New Roman"/>
        </w:rPr>
        <w:t xml:space="preserve">The turmoil also highlighted how the design of proportionality frameworks can impede effective supervision by </w:t>
      </w:r>
      <w:commentRangeStart w:id="12"/>
      <w:r w:rsidR="00C3170D" w:rsidRPr="00C3170D">
        <w:rPr>
          <w:rFonts w:ascii="Times New Roman" w:hAnsi="Times New Roman" w:cs="Times New Roman"/>
        </w:rPr>
        <w:t>reducing standards, increasing complexity and promoting a less assertive supervisory approach.</w:t>
      </w:r>
      <w:commentRangeEnd w:id="12"/>
      <w:r w:rsidR="00C3170D">
        <w:rPr>
          <w:rStyle w:val="CommentReference"/>
        </w:rPr>
        <w:commentReference w:id="12"/>
      </w:r>
    </w:p>
    <w:p w14:paraId="583DF8FA" w14:textId="6BEBDF1C" w:rsidR="001C483B" w:rsidRPr="00887170" w:rsidRDefault="001E286F" w:rsidP="001E286F">
      <w:pPr>
        <w:pStyle w:val="ListParagraph"/>
        <w:numPr>
          <w:ilvl w:val="0"/>
          <w:numId w:val="1"/>
        </w:numPr>
        <w:rPr>
          <w:rFonts w:ascii="Times New Roman" w:hAnsi="Times New Roman" w:cs="Times New Roman"/>
          <w:b/>
          <w:bCs/>
        </w:rPr>
      </w:pPr>
      <w:r w:rsidRPr="00887170">
        <w:rPr>
          <w:rFonts w:ascii="Times New Roman" w:hAnsi="Times New Roman" w:cs="Times New Roman"/>
          <w:b/>
          <w:bCs/>
        </w:rPr>
        <w:t>Reporting:</w:t>
      </w:r>
    </w:p>
    <w:p w14:paraId="3C1D5255" w14:textId="491957F1" w:rsidR="001E286F" w:rsidRDefault="001E286F" w:rsidP="001E286F">
      <w:pPr>
        <w:pStyle w:val="ListParagraph"/>
        <w:numPr>
          <w:ilvl w:val="1"/>
          <w:numId w:val="1"/>
        </w:numPr>
        <w:rPr>
          <w:rFonts w:ascii="Times New Roman" w:hAnsi="Times New Roman" w:cs="Times New Roman"/>
        </w:rPr>
      </w:pPr>
      <w:r w:rsidRPr="001E286F">
        <w:rPr>
          <w:rFonts w:ascii="Times New Roman" w:hAnsi="Times New Roman" w:cs="Times New Roman"/>
        </w:rPr>
        <w:t xml:space="preserve">As a general rule, smaller banks have to report fewer data points than larger banks. In numbers, that means 600 data points as opposed to almost 40,000. </w:t>
      </w:r>
      <w:commentRangeStart w:id="13"/>
      <w:r w:rsidRPr="001E286F">
        <w:rPr>
          <w:rFonts w:ascii="Times New Roman" w:hAnsi="Times New Roman" w:cs="Times New Roman"/>
        </w:rPr>
        <w:t>Still, I admit that the reporting burden remains too high for many smaller banks with simpler business models.</w:t>
      </w:r>
      <w:commentRangeEnd w:id="13"/>
      <w:r w:rsidR="00077935">
        <w:rPr>
          <w:rStyle w:val="CommentReference"/>
        </w:rPr>
        <w:commentReference w:id="13"/>
      </w:r>
    </w:p>
    <w:p w14:paraId="7F442FBA" w14:textId="07BDC27A" w:rsidR="001E286F" w:rsidRDefault="00CA3354" w:rsidP="001E286F">
      <w:pPr>
        <w:pStyle w:val="ListParagraph"/>
        <w:numPr>
          <w:ilvl w:val="2"/>
          <w:numId w:val="1"/>
        </w:numPr>
        <w:rPr>
          <w:rFonts w:ascii="Times New Roman" w:hAnsi="Times New Roman" w:cs="Times New Roman"/>
        </w:rPr>
      </w:pPr>
      <w:r w:rsidRPr="00CA3354">
        <w:rPr>
          <w:rFonts w:ascii="Times New Roman" w:hAnsi="Times New Roman" w:cs="Times New Roman"/>
        </w:rPr>
        <w:t>ways of streamlining our ad hoc requests for data</w:t>
      </w:r>
    </w:p>
    <w:p w14:paraId="78F16443" w14:textId="2254B05A" w:rsidR="00CA3354" w:rsidRDefault="00CA3354" w:rsidP="001E286F">
      <w:pPr>
        <w:pStyle w:val="ListParagraph"/>
        <w:numPr>
          <w:ilvl w:val="2"/>
          <w:numId w:val="1"/>
        </w:numPr>
        <w:rPr>
          <w:rFonts w:ascii="Times New Roman" w:hAnsi="Times New Roman" w:cs="Times New Roman"/>
        </w:rPr>
      </w:pPr>
      <w:r w:rsidRPr="00CA3354">
        <w:rPr>
          <w:rFonts w:ascii="Times New Roman" w:hAnsi="Times New Roman" w:cs="Times New Roman"/>
        </w:rPr>
        <w:t>improve our advance communication to banks, so that our requests for information become more predictable and the feedback from our analyses more useful, also for internal risk management purposes</w:t>
      </w:r>
    </w:p>
    <w:p w14:paraId="02F662C7" w14:textId="4031195C" w:rsidR="00552D17" w:rsidRPr="00887170" w:rsidRDefault="00580361" w:rsidP="00580361">
      <w:pPr>
        <w:pStyle w:val="ListParagraph"/>
        <w:numPr>
          <w:ilvl w:val="0"/>
          <w:numId w:val="1"/>
        </w:numPr>
        <w:rPr>
          <w:rFonts w:ascii="Times New Roman" w:hAnsi="Times New Roman" w:cs="Times New Roman"/>
          <w:b/>
          <w:bCs/>
        </w:rPr>
      </w:pPr>
      <w:r w:rsidRPr="00887170">
        <w:rPr>
          <w:rFonts w:ascii="Times New Roman" w:hAnsi="Times New Roman" w:cs="Times New Roman"/>
          <w:b/>
          <w:bCs/>
        </w:rPr>
        <w:t xml:space="preserve">Climate change </w:t>
      </w:r>
    </w:p>
    <w:p w14:paraId="3A32BA39" w14:textId="77777777" w:rsidR="006B4AC0" w:rsidRDefault="006B4AC0" w:rsidP="00580361">
      <w:pPr>
        <w:pStyle w:val="ListParagraph"/>
        <w:numPr>
          <w:ilvl w:val="1"/>
          <w:numId w:val="1"/>
        </w:numPr>
        <w:rPr>
          <w:rFonts w:ascii="Times New Roman" w:hAnsi="Times New Roman" w:cs="Times New Roman"/>
        </w:rPr>
      </w:pPr>
      <w:commentRangeStart w:id="14"/>
      <w:r w:rsidRPr="006B4AC0">
        <w:rPr>
          <w:rFonts w:ascii="Times New Roman" w:hAnsi="Times New Roman" w:cs="Times New Roman"/>
        </w:rPr>
        <w:t xml:space="preserve">climate change certainly poses risks to banks. </w:t>
      </w:r>
      <w:commentRangeEnd w:id="14"/>
      <w:r>
        <w:rPr>
          <w:rStyle w:val="CommentReference"/>
        </w:rPr>
        <w:commentReference w:id="14"/>
      </w:r>
      <w:r w:rsidRPr="006B4AC0">
        <w:rPr>
          <w:rFonts w:ascii="Times New Roman" w:hAnsi="Times New Roman" w:cs="Times New Roman"/>
        </w:rPr>
        <w:t>There are two broad categories of new risk drivers. First, there are the physical risks. With climate change we will see more heatwaves, droughts, storms and other natural disasters. We already do. These disasters will lead to economic and financial costs, which might very well have an impact on the balance sheets of banks. Second, there are transition risks. Given that the economy will go from “brown” to “green”, some sectors might suffer – those which are carbon-intensive, for instance. And to the degree that banks are exposed to these sectors, they might suffer as well.</w:t>
      </w:r>
    </w:p>
    <w:p w14:paraId="32EF6B6C" w14:textId="45F3EF5E" w:rsidR="00580361" w:rsidRDefault="006B4AC0" w:rsidP="00580361">
      <w:pPr>
        <w:pStyle w:val="ListParagraph"/>
        <w:numPr>
          <w:ilvl w:val="1"/>
          <w:numId w:val="1"/>
        </w:numPr>
        <w:rPr>
          <w:rFonts w:ascii="Times New Roman" w:hAnsi="Times New Roman" w:cs="Times New Roman"/>
        </w:rPr>
      </w:pPr>
      <w:r w:rsidRPr="006B4AC0">
        <w:rPr>
          <w:rFonts w:ascii="Times New Roman" w:hAnsi="Times New Roman" w:cs="Times New Roman"/>
        </w:rPr>
        <w:t>ECB is a member of the Network for Greening the Financial System. This network comprises 42 members – regulators, supervisors and central banks – from around the world.</w:t>
      </w:r>
    </w:p>
    <w:p w14:paraId="31E6491E" w14:textId="15357077" w:rsidR="006410D4" w:rsidRPr="00580361" w:rsidRDefault="006410D4" w:rsidP="006410D4">
      <w:pPr>
        <w:pStyle w:val="ListParagraph"/>
        <w:numPr>
          <w:ilvl w:val="0"/>
          <w:numId w:val="1"/>
        </w:numPr>
        <w:rPr>
          <w:rFonts w:ascii="Times New Roman" w:hAnsi="Times New Roman" w:cs="Times New Roman"/>
        </w:rPr>
      </w:pPr>
      <w:r w:rsidRPr="006410D4">
        <w:rPr>
          <w:rFonts w:ascii="Times New Roman" w:hAnsi="Times New Roman" w:cs="Times New Roman"/>
        </w:rPr>
        <w:t xml:space="preserve">t is noteworthy to </w:t>
      </w:r>
      <w:commentRangeStart w:id="15"/>
      <w:r w:rsidRPr="006410D4">
        <w:rPr>
          <w:rFonts w:ascii="Times New Roman" w:hAnsi="Times New Roman" w:cs="Times New Roman"/>
        </w:rPr>
        <w:t xml:space="preserve">point </w:t>
      </w:r>
      <w:commentRangeEnd w:id="15"/>
      <w:r w:rsidR="008D49B4">
        <w:rPr>
          <w:rStyle w:val="CommentReference"/>
        </w:rPr>
        <w:commentReference w:id="15"/>
      </w:r>
      <w:r w:rsidRPr="006410D4">
        <w:rPr>
          <w:rFonts w:ascii="Times New Roman" w:hAnsi="Times New Roman" w:cs="Times New Roman"/>
        </w:rPr>
        <w:t>out that certain competencies are attributed to the ECB irrespective of the dimensions and significance of the entity. An important example of an area in which the ECB is the sole competent authority concerns authorizations for new banks and financial institutions, as well as the authorization to acquiring qualifying holdings or control in such entities.2</w:t>
      </w:r>
    </w:p>
    <w:p w14:paraId="2307A4A5" w14:textId="77777777" w:rsidR="00552D17" w:rsidRDefault="00552D17" w:rsidP="00552D17">
      <w:pPr>
        <w:rPr>
          <w:rFonts w:ascii="Times New Roman" w:hAnsi="Times New Roman" w:cs="Times New Roman"/>
        </w:rPr>
      </w:pPr>
    </w:p>
    <w:p w14:paraId="4005A4E6" w14:textId="77777777" w:rsidR="001D60C0" w:rsidRPr="001D60C0" w:rsidRDefault="001D60C0" w:rsidP="001D60C0">
      <w:pPr>
        <w:rPr>
          <w:rFonts w:ascii="Times New Roman" w:hAnsi="Times New Roman" w:cs="Times New Roman"/>
        </w:rPr>
      </w:pPr>
    </w:p>
    <w:p w14:paraId="1B6CB84C" w14:textId="62E59377" w:rsidR="002C4D32" w:rsidRPr="00552D17" w:rsidRDefault="002C4D32" w:rsidP="001D60C0">
      <w:pPr>
        <w:rPr>
          <w:rFonts w:ascii="Times New Roman" w:hAnsi="Times New Roman" w:cs="Times New Roman"/>
        </w:rPr>
      </w:pPr>
      <w:r w:rsidRPr="00552D17">
        <w:rPr>
          <w:rFonts w:ascii="Times New Roman" w:hAnsi="Times New Roman" w:cs="Times New Roman"/>
        </w:rPr>
        <w:br w:type="page"/>
      </w:r>
    </w:p>
    <w:p w14:paraId="1073A5AB" w14:textId="3CD6E71B" w:rsidR="0FEA726A" w:rsidRDefault="006E74E6" w:rsidP="00841D66">
      <w:pPr>
        <w:jc w:val="both"/>
        <w:rPr>
          <w:rFonts w:ascii="Times New Roman" w:hAnsi="Times New Roman" w:cs="Times New Roman"/>
        </w:rPr>
      </w:pPr>
      <w:proofErr w:type="spellStart"/>
      <w:r w:rsidRPr="005E72F9">
        <w:rPr>
          <w:rFonts w:ascii="Times New Roman" w:hAnsi="Times New Roman" w:cs="Times New Roman"/>
        </w:rPr>
        <w:t>Landeskreditbank</w:t>
      </w:r>
      <w:proofErr w:type="spellEnd"/>
    </w:p>
    <w:p w14:paraId="7517352C" w14:textId="261B1857" w:rsidR="00F51032" w:rsidRDefault="006D1931" w:rsidP="00841D66">
      <w:pPr>
        <w:jc w:val="both"/>
        <w:rPr>
          <w:rFonts w:ascii="Times New Roman" w:hAnsi="Times New Roman" w:cs="Times New Roman"/>
        </w:rPr>
      </w:pPr>
      <w:r w:rsidRPr="006D1931">
        <w:rPr>
          <w:rFonts w:ascii="Times New Roman" w:hAnsi="Times New Roman" w:cs="Times New Roman"/>
        </w:rPr>
        <w:t xml:space="preserve">the landmark case of </w:t>
      </w:r>
      <w:proofErr w:type="spellStart"/>
      <w:r w:rsidRPr="006D1931">
        <w:rPr>
          <w:rFonts w:ascii="Times New Roman" w:hAnsi="Times New Roman" w:cs="Times New Roman"/>
        </w:rPr>
        <w:t>Landeskreditbank</w:t>
      </w:r>
      <w:proofErr w:type="spellEnd"/>
      <w:r w:rsidRPr="006D1931">
        <w:rPr>
          <w:rFonts w:ascii="Times New Roman" w:hAnsi="Times New Roman" w:cs="Times New Roman"/>
        </w:rPr>
        <w:t xml:space="preserve"> Baden-Württemberg (L-Bank) v. ECB, which centered on the ECB's classification of L-Bank as a "significant institution" subject to direct ECB supervision under the </w:t>
      </w:r>
      <w:r w:rsidR="00D57DE6">
        <w:rPr>
          <w:rFonts w:ascii="Times New Roman" w:hAnsi="Times New Roman" w:cs="Times New Roman"/>
        </w:rPr>
        <w:t>SSMR</w:t>
      </w:r>
      <w:r w:rsidRPr="006D1931">
        <w:rPr>
          <w:rFonts w:ascii="Times New Roman" w:hAnsi="Times New Roman" w:cs="Times New Roman"/>
        </w:rPr>
        <w:t>. L-Bank contested this classification, arguing that the ECB failed to adhere to the principles of proportionality and subsidiarity enshrined</w:t>
      </w:r>
      <w:r w:rsidR="0041734A" w:rsidRPr="0041734A">
        <w:rPr>
          <w:rFonts w:ascii="Times New Roman" w:hAnsi="Times New Roman" w:cs="Times New Roman"/>
        </w:rPr>
        <w:t xml:space="preserve"> in Article 5(4) TEU</w:t>
      </w:r>
      <w:r w:rsidR="0041734A">
        <w:rPr>
          <w:rFonts w:ascii="Times New Roman" w:hAnsi="Times New Roman" w:cs="Times New Roman"/>
        </w:rPr>
        <w:t>.</w:t>
      </w:r>
      <w:r w:rsidR="0041734A">
        <w:rPr>
          <w:rStyle w:val="FootnoteReference"/>
          <w:rFonts w:ascii="Times New Roman" w:hAnsi="Times New Roman" w:cs="Times New Roman"/>
        </w:rPr>
        <w:footnoteReference w:id="2"/>
      </w:r>
    </w:p>
    <w:p w14:paraId="4A43CB9B" w14:textId="0D71ABB4" w:rsidR="003226A8" w:rsidRPr="003226A8" w:rsidRDefault="003226A8" w:rsidP="00841D66">
      <w:pPr>
        <w:jc w:val="both"/>
        <w:rPr>
          <w:rFonts w:ascii="Times New Roman" w:hAnsi="Times New Roman" w:cs="Times New Roman"/>
        </w:rPr>
      </w:pPr>
      <w:r w:rsidRPr="003226A8">
        <w:rPr>
          <w:rFonts w:ascii="Times New Roman" w:hAnsi="Times New Roman" w:cs="Times New Roman"/>
        </w:rPr>
        <w:t xml:space="preserve">L-Bank challenged the ECB's decision through the lens of proportionality. They asserted that the ECB, prior to designating them as significant,  should have undertaken a nuanced assessment considering their </w:t>
      </w:r>
      <w:r w:rsidR="003B12B4">
        <w:rPr>
          <w:rFonts w:ascii="Times New Roman" w:hAnsi="Times New Roman" w:cs="Times New Roman"/>
        </w:rPr>
        <w:t>“particular circumstances”</w:t>
      </w:r>
      <w:r w:rsidR="0028344A">
        <w:rPr>
          <w:rFonts w:ascii="Times New Roman" w:hAnsi="Times New Roman" w:cs="Times New Roman"/>
        </w:rPr>
        <w:t xml:space="preserve"> </w:t>
      </w:r>
      <w:r w:rsidR="003B12B4">
        <w:rPr>
          <w:rFonts w:ascii="Times New Roman" w:hAnsi="Times New Roman" w:cs="Times New Roman"/>
        </w:rPr>
        <w:t>within the meaning of Article 6(4) SS</w:t>
      </w:r>
      <w:r w:rsidR="00EB1FAB">
        <w:rPr>
          <w:rFonts w:ascii="Times New Roman" w:hAnsi="Times New Roman" w:cs="Times New Roman"/>
        </w:rPr>
        <w:t>MR</w:t>
      </w:r>
      <w:r w:rsidR="00E00B0A">
        <w:rPr>
          <w:rFonts w:ascii="Times New Roman" w:hAnsi="Times New Roman" w:cs="Times New Roman"/>
        </w:rPr>
        <w:t xml:space="preserve">, </w:t>
      </w:r>
      <w:r w:rsidR="005C7348">
        <w:rPr>
          <w:rFonts w:ascii="Times New Roman" w:hAnsi="Times New Roman" w:cs="Times New Roman"/>
        </w:rPr>
        <w:t>including (</w:t>
      </w:r>
      <w:proofErr w:type="spellStart"/>
      <w:r w:rsidR="005C7348">
        <w:rPr>
          <w:rFonts w:ascii="Times New Roman" w:hAnsi="Times New Roman" w:cs="Times New Roman"/>
        </w:rPr>
        <w:t>i</w:t>
      </w:r>
      <w:proofErr w:type="spellEnd"/>
      <w:r w:rsidR="005C7348">
        <w:rPr>
          <w:rFonts w:ascii="Times New Roman" w:hAnsi="Times New Roman" w:cs="Times New Roman"/>
        </w:rPr>
        <w:t xml:space="preserve">) </w:t>
      </w:r>
      <w:r w:rsidR="00E00B0A">
        <w:rPr>
          <w:rFonts w:ascii="Times New Roman" w:hAnsi="Times New Roman" w:cs="Times New Roman"/>
        </w:rPr>
        <w:t>their low-risk profile</w:t>
      </w:r>
      <w:r w:rsidR="00435E62">
        <w:rPr>
          <w:rFonts w:ascii="Times New Roman" w:hAnsi="Times New Roman" w:cs="Times New Roman"/>
        </w:rPr>
        <w:t>,</w:t>
      </w:r>
      <w:r w:rsidR="005C7348">
        <w:rPr>
          <w:rFonts w:ascii="Times New Roman" w:hAnsi="Times New Roman" w:cs="Times New Roman"/>
        </w:rPr>
        <w:t xml:space="preserve"> (ii) </w:t>
      </w:r>
      <w:r w:rsidR="00435E62">
        <w:rPr>
          <w:rFonts w:ascii="Times New Roman" w:hAnsi="Times New Roman" w:cs="Times New Roman"/>
        </w:rPr>
        <w:t xml:space="preserve">among </w:t>
      </w:r>
      <w:r w:rsidR="009B2007">
        <w:rPr>
          <w:rFonts w:ascii="Times New Roman" w:hAnsi="Times New Roman" w:cs="Times New Roman"/>
        </w:rPr>
        <w:t>their</w:t>
      </w:r>
      <w:r w:rsidR="00534A52">
        <w:rPr>
          <w:rFonts w:ascii="Times New Roman" w:hAnsi="Times New Roman" w:cs="Times New Roman"/>
        </w:rPr>
        <w:t xml:space="preserve"> multiple supervisory authorities</w:t>
      </w:r>
      <w:r w:rsidR="00435E62">
        <w:rPr>
          <w:rFonts w:ascii="Times New Roman" w:hAnsi="Times New Roman" w:cs="Times New Roman"/>
        </w:rPr>
        <w:t xml:space="preserve">, Germany NCA </w:t>
      </w:r>
      <w:r w:rsidR="005F3EC3">
        <w:rPr>
          <w:rFonts w:ascii="Times New Roman" w:hAnsi="Times New Roman" w:cs="Times New Roman"/>
        </w:rPr>
        <w:t>may</w:t>
      </w:r>
      <w:r w:rsidR="00E802D0">
        <w:rPr>
          <w:rFonts w:ascii="Times New Roman" w:hAnsi="Times New Roman" w:cs="Times New Roman"/>
        </w:rPr>
        <w:t xml:space="preserve"> satisfy</w:t>
      </w:r>
      <w:r w:rsidR="00453F01">
        <w:rPr>
          <w:rFonts w:ascii="Times New Roman" w:hAnsi="Times New Roman" w:cs="Times New Roman"/>
        </w:rPr>
        <w:t xml:space="preserve"> the objectives of SSMR</w:t>
      </w:r>
      <w:r w:rsidR="00844B4B">
        <w:rPr>
          <w:rFonts w:ascii="Times New Roman" w:hAnsi="Times New Roman" w:cs="Times New Roman"/>
        </w:rPr>
        <w:t>. T</w:t>
      </w:r>
      <w:r w:rsidR="00741262">
        <w:rPr>
          <w:rFonts w:ascii="Times New Roman" w:hAnsi="Times New Roman" w:cs="Times New Roman"/>
        </w:rPr>
        <w:t>here</w:t>
      </w:r>
      <w:r w:rsidR="00306516">
        <w:rPr>
          <w:rFonts w:ascii="Times New Roman" w:hAnsi="Times New Roman" w:cs="Times New Roman"/>
        </w:rPr>
        <w:t>fore</w:t>
      </w:r>
      <w:r w:rsidR="00741262">
        <w:rPr>
          <w:rFonts w:ascii="Times New Roman" w:hAnsi="Times New Roman" w:cs="Times New Roman"/>
        </w:rPr>
        <w:t>, L-Bank should have been</w:t>
      </w:r>
      <w:r w:rsidR="005B2267">
        <w:rPr>
          <w:rFonts w:ascii="Times New Roman" w:hAnsi="Times New Roman" w:cs="Times New Roman"/>
        </w:rPr>
        <w:t xml:space="preserve"> classified</w:t>
      </w:r>
      <w:r w:rsidR="00844B4B">
        <w:rPr>
          <w:rFonts w:ascii="Times New Roman" w:hAnsi="Times New Roman" w:cs="Times New Roman"/>
        </w:rPr>
        <w:t xml:space="preserve"> as a </w:t>
      </w:r>
      <w:r w:rsidR="00EB1FAB">
        <w:rPr>
          <w:rFonts w:ascii="Times New Roman" w:hAnsi="Times New Roman" w:cs="Times New Roman"/>
        </w:rPr>
        <w:t>less significant institution</w:t>
      </w:r>
      <w:r w:rsidR="008F2133">
        <w:rPr>
          <w:rFonts w:ascii="Times New Roman" w:hAnsi="Times New Roman" w:cs="Times New Roman"/>
        </w:rPr>
        <w:t xml:space="preserve"> </w:t>
      </w:r>
      <w:r w:rsidR="008F2133" w:rsidRPr="008F2133">
        <w:rPr>
          <w:rFonts w:ascii="Times New Roman" w:hAnsi="Times New Roman" w:cs="Times New Roman"/>
        </w:rPr>
        <w:t>under Article 70(1) of the SSM Framework Regulation</w:t>
      </w:r>
      <w:r w:rsidR="0028344A">
        <w:rPr>
          <w:rFonts w:ascii="Times New Roman" w:hAnsi="Times New Roman" w:cs="Times New Roman"/>
        </w:rPr>
        <w:t xml:space="preserve"> </w:t>
      </w:r>
      <w:r w:rsidR="00A66997">
        <w:rPr>
          <w:rFonts w:ascii="Times New Roman" w:hAnsi="Times New Roman" w:cs="Times New Roman"/>
        </w:rPr>
        <w:t>for the best effect of safeguarding the objectives of the</w:t>
      </w:r>
      <w:r w:rsidR="00574269">
        <w:rPr>
          <w:rFonts w:ascii="Times New Roman" w:hAnsi="Times New Roman" w:cs="Times New Roman"/>
        </w:rPr>
        <w:t xml:space="preserve"> Basic Regulation</w:t>
      </w:r>
      <w:r w:rsidRPr="003226A8">
        <w:rPr>
          <w:rFonts w:ascii="Times New Roman" w:hAnsi="Times New Roman" w:cs="Times New Roman"/>
        </w:rPr>
        <w:t>.</w:t>
      </w:r>
      <w:r w:rsidR="008F2133">
        <w:rPr>
          <w:rStyle w:val="FootnoteReference"/>
          <w:rFonts w:ascii="Times New Roman" w:hAnsi="Times New Roman" w:cs="Times New Roman"/>
        </w:rPr>
        <w:footnoteReference w:id="3"/>
      </w:r>
      <w:r w:rsidRPr="003226A8">
        <w:rPr>
          <w:rFonts w:ascii="Times New Roman" w:hAnsi="Times New Roman" w:cs="Times New Roman"/>
        </w:rPr>
        <w:t xml:space="preserve"> This assessment, according to L-Bank, would have necessitated an evaluation of whether national supervision could effectively achieve the objectives outlined in the SSM</w:t>
      </w:r>
      <w:r w:rsidR="00812D64">
        <w:rPr>
          <w:rFonts w:ascii="Times New Roman" w:hAnsi="Times New Roman" w:cs="Times New Roman"/>
        </w:rPr>
        <w:t>R</w:t>
      </w:r>
      <w:r w:rsidR="0016185C">
        <w:rPr>
          <w:rFonts w:ascii="Times New Roman" w:hAnsi="Times New Roman" w:cs="Times New Roman"/>
        </w:rPr>
        <w:t xml:space="preserve"> </w:t>
      </w:r>
      <w:r w:rsidR="0016185C" w:rsidRPr="0016185C">
        <w:rPr>
          <w:rFonts w:ascii="Times New Roman" w:hAnsi="Times New Roman" w:cs="Times New Roman"/>
        </w:rPr>
        <w:t>to ensure the least onerous approach</w:t>
      </w:r>
      <w:r w:rsidRPr="003226A8">
        <w:rPr>
          <w:rFonts w:ascii="Times New Roman" w:hAnsi="Times New Roman" w:cs="Times New Roman"/>
        </w:rPr>
        <w:t>. If such an evaluation yielded an affirmative conclusion, L-Bank contended they should have been exempted from direct ECB oversight, thereby adhering to the principle of proportionality as enshrined in Article 5(4) TEU.</w:t>
      </w:r>
      <w:r w:rsidR="005E573F">
        <w:rPr>
          <w:rStyle w:val="FootnoteReference"/>
          <w:rFonts w:ascii="Times New Roman" w:hAnsi="Times New Roman" w:cs="Times New Roman"/>
        </w:rPr>
        <w:footnoteReference w:id="4"/>
      </w:r>
    </w:p>
    <w:p w14:paraId="295109DB" w14:textId="2C1EA0A3" w:rsidR="003226A8" w:rsidRDefault="003226A8" w:rsidP="00841D66">
      <w:pPr>
        <w:jc w:val="both"/>
        <w:rPr>
          <w:rFonts w:ascii="Times New Roman" w:hAnsi="Times New Roman" w:cs="Times New Roman"/>
        </w:rPr>
      </w:pPr>
      <w:r w:rsidRPr="003226A8">
        <w:rPr>
          <w:rFonts w:ascii="Times New Roman" w:hAnsi="Times New Roman" w:cs="Times New Roman"/>
        </w:rPr>
        <w:t>Furthermore, L-Bank invoked the principle of subsidiarity, arguing that the ECB's claim of supervising all entities under the SSM</w:t>
      </w:r>
      <w:r w:rsidR="00B12065">
        <w:rPr>
          <w:rFonts w:ascii="Times New Roman" w:hAnsi="Times New Roman" w:cs="Times New Roman"/>
        </w:rPr>
        <w:t>R</w:t>
      </w:r>
      <w:r w:rsidRPr="003226A8">
        <w:rPr>
          <w:rFonts w:ascii="Times New Roman" w:hAnsi="Times New Roman" w:cs="Times New Roman"/>
        </w:rPr>
        <w:t>, regardless of significance, clashed with this principle. They maintained that the ECB should prioritize national supervision unless it could demonstrably prove that direct ECB oversight served the objectives of the SSM more effectively. Here, L-Bank relied on Article 5(3) TEU, which outlines the principle of subsidiarity.</w:t>
      </w:r>
    </w:p>
    <w:p w14:paraId="0CD05EA8" w14:textId="4DBAA5F1" w:rsidR="00857D4F" w:rsidRPr="00AE7367" w:rsidRDefault="00857D4F" w:rsidP="00841D66">
      <w:pPr>
        <w:jc w:val="both"/>
        <w:rPr>
          <w:rFonts w:ascii="Times New Roman" w:hAnsi="Times New Roman" w:cs="Times New Roman"/>
          <w:b/>
          <w:bCs/>
        </w:rPr>
      </w:pPr>
      <w:r w:rsidRPr="00AE7367">
        <w:rPr>
          <w:rFonts w:ascii="Times New Roman" w:hAnsi="Times New Roman" w:cs="Times New Roman"/>
          <w:b/>
          <w:bCs/>
        </w:rPr>
        <w:t>The Court's Response:</w:t>
      </w:r>
    </w:p>
    <w:p w14:paraId="10580840" w14:textId="6AC198A6" w:rsidR="006B0B2D" w:rsidRDefault="00AE7367" w:rsidP="00841D66">
      <w:pPr>
        <w:jc w:val="both"/>
        <w:rPr>
          <w:rFonts w:ascii="Times New Roman" w:hAnsi="Times New Roman" w:cs="Times New Roman"/>
        </w:rPr>
      </w:pPr>
      <w:r>
        <w:rPr>
          <w:rFonts w:ascii="Times New Roman" w:hAnsi="Times New Roman" w:cs="Times New Roman"/>
        </w:rPr>
        <w:t>Both of the GC and CJEU</w:t>
      </w:r>
      <w:r w:rsidR="00857D4F" w:rsidRPr="00857D4F">
        <w:rPr>
          <w:rFonts w:ascii="Times New Roman" w:hAnsi="Times New Roman" w:cs="Times New Roman"/>
        </w:rPr>
        <w:t xml:space="preserve"> acknowledged L-Bank's arguments, but ultimately ruled in favor of the ECB. With regards to proportionality, the Court</w:t>
      </w:r>
      <w:r w:rsidR="00C3745F">
        <w:rPr>
          <w:rFonts w:ascii="Times New Roman" w:hAnsi="Times New Roman" w:cs="Times New Roman"/>
        </w:rPr>
        <w:t>s</w:t>
      </w:r>
      <w:r w:rsidR="00857D4F" w:rsidRPr="00857D4F">
        <w:rPr>
          <w:rFonts w:ascii="Times New Roman" w:hAnsi="Times New Roman" w:cs="Times New Roman"/>
        </w:rPr>
        <w:t xml:space="preserve"> maintained that the only potentially jeopardized principle was the one enshrined in Article 291(1) TFEU, which assigns the responsibility of implementing Union law to </w:t>
      </w:r>
      <w:proofErr w:type="spellStart"/>
      <w:r w:rsidR="00871929">
        <w:rPr>
          <w:rFonts w:ascii="Times New Roman" w:hAnsi="Times New Roman" w:cs="Times New Roman"/>
        </w:rPr>
        <w:t>MSs.</w:t>
      </w:r>
      <w:proofErr w:type="spellEnd"/>
      <w:r w:rsidR="00857D4F" w:rsidRPr="00857D4F">
        <w:rPr>
          <w:rFonts w:ascii="Times New Roman" w:hAnsi="Times New Roman" w:cs="Times New Roman"/>
        </w:rPr>
        <w:t xml:space="preserve"> The Court</w:t>
      </w:r>
      <w:r w:rsidR="00C3745F">
        <w:rPr>
          <w:rFonts w:ascii="Times New Roman" w:hAnsi="Times New Roman" w:cs="Times New Roman"/>
        </w:rPr>
        <w:t>s</w:t>
      </w:r>
      <w:r w:rsidR="00857D4F" w:rsidRPr="00857D4F">
        <w:rPr>
          <w:rFonts w:ascii="Times New Roman" w:hAnsi="Times New Roman" w:cs="Times New Roman"/>
        </w:rPr>
        <w:t xml:space="preserve"> further disagreed with L-Bank's interpretation of Article 70(1) of the SSM Framework Regulation. They argued that a case-by-case proportionality assessment was unnecessary due to </w:t>
      </w:r>
      <w:r w:rsidR="00BC09BE">
        <w:rPr>
          <w:rFonts w:ascii="Times New Roman" w:hAnsi="Times New Roman" w:cs="Times New Roman"/>
        </w:rPr>
        <w:t>(</w:t>
      </w:r>
      <w:proofErr w:type="spellStart"/>
      <w:r w:rsidR="00BC09BE">
        <w:rPr>
          <w:rFonts w:ascii="Times New Roman" w:hAnsi="Times New Roman" w:cs="Times New Roman"/>
        </w:rPr>
        <w:t>i</w:t>
      </w:r>
      <w:proofErr w:type="spellEnd"/>
      <w:r w:rsidR="00BC09BE">
        <w:rPr>
          <w:rFonts w:ascii="Times New Roman" w:hAnsi="Times New Roman" w:cs="Times New Roman"/>
        </w:rPr>
        <w:t xml:space="preserve">) </w:t>
      </w:r>
      <w:r w:rsidR="00BC09BE" w:rsidRPr="00BC09BE">
        <w:rPr>
          <w:rFonts w:ascii="Times New Roman" w:hAnsi="Times New Roman" w:cs="Times New Roman"/>
        </w:rPr>
        <w:t>proportionality has already been considered by the EU legislature when establishing the SSM framework</w:t>
      </w:r>
      <w:r w:rsidR="006644F6">
        <w:rPr>
          <w:rStyle w:val="FootnoteReference"/>
          <w:rFonts w:ascii="Times New Roman" w:hAnsi="Times New Roman" w:cs="Times New Roman"/>
        </w:rPr>
        <w:footnoteReference w:id="5"/>
      </w:r>
      <w:r w:rsidR="00BC09BE">
        <w:rPr>
          <w:rFonts w:ascii="Times New Roman" w:hAnsi="Times New Roman" w:cs="Times New Roman"/>
        </w:rPr>
        <w:t xml:space="preserve">; and </w:t>
      </w:r>
      <w:r w:rsidR="00303861">
        <w:rPr>
          <w:rFonts w:ascii="Times New Roman" w:hAnsi="Times New Roman" w:cs="Times New Roman"/>
        </w:rPr>
        <w:t xml:space="preserve">(ii) </w:t>
      </w:r>
      <w:r w:rsidR="00857D4F" w:rsidRPr="00857D4F">
        <w:rPr>
          <w:rFonts w:ascii="Times New Roman" w:hAnsi="Times New Roman" w:cs="Times New Roman"/>
        </w:rPr>
        <w:t>the existence of clear criteria for identifying significant institutions within Article 6(4) of the SSM</w:t>
      </w:r>
      <w:r w:rsidR="00303861">
        <w:rPr>
          <w:rFonts w:ascii="Times New Roman" w:hAnsi="Times New Roman" w:cs="Times New Roman"/>
        </w:rPr>
        <w:t>R</w:t>
      </w:r>
      <w:r w:rsidR="00180DE0">
        <w:rPr>
          <w:rStyle w:val="FootnoteReference"/>
          <w:rFonts w:ascii="Times New Roman" w:hAnsi="Times New Roman" w:cs="Times New Roman"/>
        </w:rPr>
        <w:footnoteReference w:id="6"/>
      </w:r>
      <w:r w:rsidR="00857D4F" w:rsidRPr="00857D4F">
        <w:rPr>
          <w:rFonts w:ascii="Times New Roman" w:hAnsi="Times New Roman" w:cs="Times New Roman"/>
        </w:rPr>
        <w:t>, including the €30 billion total asset threshold.</w:t>
      </w:r>
      <w:r w:rsidR="00144EB4">
        <w:rPr>
          <w:rFonts w:ascii="Times New Roman" w:hAnsi="Times New Roman" w:cs="Times New Roman"/>
        </w:rPr>
        <w:t xml:space="preserve"> </w:t>
      </w:r>
      <w:r w:rsidR="00603F01" w:rsidRPr="00603F01">
        <w:rPr>
          <w:rFonts w:ascii="Times New Roman" w:hAnsi="Times New Roman" w:cs="Times New Roman"/>
        </w:rPr>
        <w:t>Article 70(1) of the SSM Framework Regulation allows reclassification as "less significant" only in specific situations where national supervision can demonstrably achieve the goals of the Basic Regulation better than the ECB</w:t>
      </w:r>
      <w:r w:rsidR="00900B41">
        <w:rPr>
          <w:rStyle w:val="FootnoteReference"/>
          <w:rFonts w:ascii="Times New Roman" w:hAnsi="Times New Roman" w:cs="Times New Roman"/>
        </w:rPr>
        <w:footnoteReference w:id="7"/>
      </w:r>
      <w:r w:rsidR="00603F01" w:rsidRPr="00603F01">
        <w:rPr>
          <w:rFonts w:ascii="Times New Roman" w:hAnsi="Times New Roman" w:cs="Times New Roman"/>
        </w:rPr>
        <w:t>.</w:t>
      </w:r>
      <w:r w:rsidR="00603F01">
        <w:rPr>
          <w:rFonts w:ascii="Times New Roman" w:hAnsi="Times New Roman" w:cs="Times New Roman"/>
        </w:rPr>
        <w:t xml:space="preserve"> </w:t>
      </w:r>
      <w:r w:rsidR="006F0AA3">
        <w:rPr>
          <w:rFonts w:ascii="Times New Roman" w:hAnsi="Times New Roman" w:cs="Times New Roman"/>
        </w:rPr>
        <w:t>CJEU</w:t>
      </w:r>
      <w:r w:rsidR="00CD06ED">
        <w:rPr>
          <w:rFonts w:ascii="Times New Roman" w:hAnsi="Times New Roman" w:cs="Times New Roman"/>
        </w:rPr>
        <w:t>’s judgement a</w:t>
      </w:r>
      <w:r w:rsidR="00144EB4" w:rsidRPr="00144EB4">
        <w:rPr>
          <w:rFonts w:ascii="Times New Roman" w:hAnsi="Times New Roman" w:cs="Times New Roman"/>
        </w:rPr>
        <w:t>lign</w:t>
      </w:r>
      <w:r w:rsidR="00144EB4">
        <w:rPr>
          <w:rFonts w:ascii="Times New Roman" w:hAnsi="Times New Roman" w:cs="Times New Roman"/>
        </w:rPr>
        <w:t xml:space="preserve">s </w:t>
      </w:r>
      <w:r w:rsidR="006F0AA3">
        <w:rPr>
          <w:rFonts w:ascii="Times New Roman" w:hAnsi="Times New Roman" w:cs="Times New Roman"/>
        </w:rPr>
        <w:t>with</w:t>
      </w:r>
      <w:r w:rsidR="00144EB4" w:rsidRPr="00144EB4">
        <w:rPr>
          <w:rFonts w:ascii="Times New Roman" w:hAnsi="Times New Roman" w:cs="Times New Roman"/>
        </w:rPr>
        <w:t xml:space="preserve"> </w:t>
      </w:r>
      <w:r w:rsidR="002508A7">
        <w:rPr>
          <w:rFonts w:ascii="Times New Roman" w:hAnsi="Times New Roman" w:cs="Times New Roman"/>
        </w:rPr>
        <w:t>AG</w:t>
      </w:r>
      <w:r w:rsidR="00144EB4" w:rsidRPr="00144EB4">
        <w:rPr>
          <w:rFonts w:ascii="Times New Roman" w:hAnsi="Times New Roman" w:cs="Times New Roman"/>
        </w:rPr>
        <w:t xml:space="preserve"> Hogan's opinion</w:t>
      </w:r>
      <w:r w:rsidR="006F0AA3">
        <w:rPr>
          <w:rFonts w:ascii="Times New Roman" w:hAnsi="Times New Roman" w:cs="Times New Roman"/>
        </w:rPr>
        <w:t xml:space="preserve"> </w:t>
      </w:r>
      <w:r w:rsidR="00144EB4" w:rsidRPr="00144EB4">
        <w:rPr>
          <w:rFonts w:ascii="Times New Roman" w:hAnsi="Times New Roman" w:cs="Times New Roman"/>
        </w:rPr>
        <w:t>that the EU legislature had already factored in proportionality when establishing the SSM framework</w:t>
      </w:r>
      <w:r w:rsidR="006B0B2D">
        <w:rPr>
          <w:rFonts w:ascii="Times New Roman" w:hAnsi="Times New Roman" w:cs="Times New Roman"/>
        </w:rPr>
        <w:t xml:space="preserve">: </w:t>
      </w:r>
    </w:p>
    <w:p w14:paraId="42A79DC0" w14:textId="2BEAC719" w:rsidR="006B0B2D" w:rsidRPr="00857D4F" w:rsidRDefault="006B0B2D" w:rsidP="00841D66">
      <w:pPr>
        <w:ind w:left="567"/>
        <w:jc w:val="both"/>
        <w:rPr>
          <w:rFonts w:ascii="Times New Roman" w:hAnsi="Times New Roman" w:cs="Times New Roman"/>
        </w:rPr>
      </w:pPr>
      <w:r w:rsidRPr="006B0B2D">
        <w:rPr>
          <w:rFonts w:ascii="Times New Roman" w:hAnsi="Times New Roman" w:cs="Times New Roman"/>
        </w:rPr>
        <w:t xml:space="preserve">the legislator has established a legislative scheme that needs to be respected and which envisages the conditions under which the banks are qualified as significant, and that the principle of proportionality cannot be deployed in a manner which would effectively undermine the </w:t>
      </w:r>
      <w:proofErr w:type="spellStart"/>
      <w:r w:rsidRPr="006B0B2D">
        <w:rPr>
          <w:rFonts w:ascii="Times New Roman" w:hAnsi="Times New Roman" w:cs="Times New Roman"/>
          <w:i/>
          <w:iCs/>
        </w:rPr>
        <w:t>effet</w:t>
      </w:r>
      <w:proofErr w:type="spellEnd"/>
      <w:r w:rsidRPr="006B0B2D">
        <w:rPr>
          <w:rFonts w:ascii="Times New Roman" w:hAnsi="Times New Roman" w:cs="Times New Roman"/>
          <w:i/>
          <w:iCs/>
        </w:rPr>
        <w:t xml:space="preserve"> utile</w:t>
      </w:r>
      <w:r w:rsidRPr="006B0B2D">
        <w:rPr>
          <w:rFonts w:ascii="Times New Roman" w:hAnsi="Times New Roman" w:cs="Times New Roman"/>
        </w:rPr>
        <w:t xml:space="preserve"> of the legislative scheme</w:t>
      </w:r>
      <w:r w:rsidR="00144EB4" w:rsidRPr="00144EB4">
        <w:rPr>
          <w:rFonts w:ascii="Times New Roman" w:hAnsi="Times New Roman" w:cs="Times New Roman"/>
        </w:rPr>
        <w:t>.</w:t>
      </w:r>
      <w:r w:rsidR="00DC77C5">
        <w:rPr>
          <w:rStyle w:val="FootnoteReference"/>
          <w:rFonts w:ascii="Times New Roman" w:hAnsi="Times New Roman" w:cs="Times New Roman"/>
        </w:rPr>
        <w:footnoteReference w:id="8"/>
      </w:r>
    </w:p>
    <w:p w14:paraId="31C41E60" w14:textId="4A26CC45" w:rsidR="00857D4F" w:rsidRPr="005E72F9" w:rsidRDefault="00857D4F" w:rsidP="00841D66">
      <w:pPr>
        <w:jc w:val="both"/>
        <w:rPr>
          <w:rFonts w:ascii="Times New Roman" w:hAnsi="Times New Roman" w:cs="Times New Roman"/>
        </w:rPr>
      </w:pPr>
      <w:r w:rsidRPr="00857D4F">
        <w:rPr>
          <w:rFonts w:ascii="Times New Roman" w:hAnsi="Times New Roman" w:cs="Times New Roman"/>
        </w:rPr>
        <w:t>On the issue of subsidiarity, the Court acknowledged its applicability but ultimately deemed it irrelevant. Their rationale rested on the premise that subsidiarity only applies in areas that do not fall within the EU's exclusive competence. Since the SSM</w:t>
      </w:r>
      <w:r w:rsidR="00BB2A59">
        <w:rPr>
          <w:rFonts w:ascii="Times New Roman" w:hAnsi="Times New Roman" w:cs="Times New Roman"/>
        </w:rPr>
        <w:t>R</w:t>
      </w:r>
      <w:r w:rsidRPr="00857D4F">
        <w:rPr>
          <w:rFonts w:ascii="Times New Roman" w:hAnsi="Times New Roman" w:cs="Times New Roman"/>
        </w:rPr>
        <w:t xml:space="preserve"> concerned the exercise of the ECB's exclusive competence in ensuring financial stability, the Court concluded that subsidiarity was inapplicable in this instance (Article 5(2) </w:t>
      </w:r>
      <w:commentRangeStart w:id="16"/>
      <w:commentRangeStart w:id="17"/>
      <w:r w:rsidRPr="00857D4F">
        <w:rPr>
          <w:rFonts w:ascii="Times New Roman" w:hAnsi="Times New Roman" w:cs="Times New Roman"/>
        </w:rPr>
        <w:t>TEU).</w:t>
      </w:r>
      <w:commentRangeEnd w:id="16"/>
      <w:r w:rsidR="00DD22D4">
        <w:rPr>
          <w:rStyle w:val="CommentReference"/>
        </w:rPr>
        <w:commentReference w:id="16"/>
      </w:r>
      <w:commentRangeEnd w:id="17"/>
      <w:r w:rsidR="00073153">
        <w:rPr>
          <w:rStyle w:val="CommentReference"/>
        </w:rPr>
        <w:commentReference w:id="17"/>
      </w:r>
    </w:p>
    <w:p w14:paraId="6AA43044" w14:textId="34317360" w:rsidR="0093623F" w:rsidRDefault="005C3EE6" w:rsidP="00841D66">
      <w:pPr>
        <w:jc w:val="both"/>
        <w:rPr>
          <w:rFonts w:ascii="Times New Roman" w:hAnsi="Times New Roman" w:cs="Times New Roman"/>
        </w:rPr>
      </w:pPr>
      <w:r w:rsidRPr="005C3EE6">
        <w:rPr>
          <w:rFonts w:ascii="Times New Roman" w:hAnsi="Times New Roman" w:cs="Times New Roman"/>
        </w:rPr>
        <w:t xml:space="preserve">without delving into whether </w:t>
      </w:r>
      <w:r w:rsidR="00025429" w:rsidRPr="00025429">
        <w:rPr>
          <w:rFonts w:ascii="Times New Roman" w:hAnsi="Times New Roman" w:cs="Times New Roman"/>
        </w:rPr>
        <w:t xml:space="preserve">conferred </w:t>
      </w:r>
      <w:r w:rsidRPr="005C3EE6">
        <w:rPr>
          <w:rFonts w:ascii="Times New Roman" w:hAnsi="Times New Roman" w:cs="Times New Roman"/>
        </w:rPr>
        <w:t xml:space="preserve">powers </w:t>
      </w:r>
      <w:r w:rsidR="00025429" w:rsidRPr="00025429">
        <w:rPr>
          <w:rFonts w:ascii="Times New Roman" w:hAnsi="Times New Roman" w:cs="Times New Roman"/>
        </w:rPr>
        <w:t>upon the ECB are well-founded in the Treaty provisions</w:t>
      </w:r>
      <w:r w:rsidR="00025429">
        <w:rPr>
          <w:rFonts w:ascii="Times New Roman" w:hAnsi="Times New Roman" w:cs="Times New Roman"/>
        </w:rPr>
        <w:t xml:space="preserve"> </w:t>
      </w:r>
      <w:r w:rsidRPr="005C3EE6">
        <w:rPr>
          <w:rFonts w:ascii="Times New Roman" w:hAnsi="Times New Roman" w:cs="Times New Roman"/>
        </w:rPr>
        <w:t>comply with the principles of subsidiarity and proportionality.</w:t>
      </w:r>
      <w:r w:rsidR="0006650D">
        <w:rPr>
          <w:rFonts w:ascii="Times New Roman" w:hAnsi="Times New Roman" w:cs="Times New Roman"/>
        </w:rPr>
        <w:t xml:space="preserve"> </w:t>
      </w:r>
    </w:p>
    <w:p w14:paraId="6BEDBA8C" w14:textId="56DDDE94" w:rsidR="00FF6765" w:rsidRDefault="007E5243" w:rsidP="00841D66">
      <w:pPr>
        <w:jc w:val="both"/>
        <w:rPr>
          <w:rFonts w:ascii="Times New Roman" w:hAnsi="Times New Roman" w:cs="Times New Roman"/>
        </w:rPr>
      </w:pPr>
      <w:r w:rsidRPr="007E5243">
        <w:rPr>
          <w:rFonts w:ascii="Times New Roman" w:hAnsi="Times New Roman" w:cs="Times New Roman"/>
        </w:rPr>
        <w:t xml:space="preserve">Annunziata elucidated that the </w:t>
      </w:r>
      <w:r>
        <w:rPr>
          <w:rFonts w:ascii="Times New Roman" w:hAnsi="Times New Roman" w:cs="Times New Roman"/>
        </w:rPr>
        <w:t>applicant</w:t>
      </w:r>
      <w:r w:rsidRPr="007E5243">
        <w:rPr>
          <w:rFonts w:ascii="Times New Roman" w:hAnsi="Times New Roman" w:cs="Times New Roman"/>
        </w:rPr>
        <w:t>, L-Bank, concentrated its arguments on the interpretation of specific provisions within the SSM</w:t>
      </w:r>
      <w:r>
        <w:rPr>
          <w:rFonts w:ascii="Times New Roman" w:hAnsi="Times New Roman" w:cs="Times New Roman"/>
        </w:rPr>
        <w:t>R</w:t>
      </w:r>
      <w:r w:rsidRPr="007E5243">
        <w:rPr>
          <w:rFonts w:ascii="Times New Roman" w:hAnsi="Times New Roman" w:cs="Times New Roman"/>
        </w:rPr>
        <w:t xml:space="preserve"> and the Framework Regulation, rather than contesting their legitimacy. Consequently, it is unjustifiable to fault the GC and the CJEU for not examining the principle of proportionality's legitimacy. Nonetheless, the author contends that this case law has established a strong precedent for courts in recent cases involving ECB supervisory banks, indicating that there is no necessity to rigorously apply the three-limb test of proportionality.</w:t>
      </w:r>
      <w:r w:rsidR="008B4D50">
        <w:rPr>
          <w:rFonts w:ascii="Times New Roman" w:hAnsi="Times New Roman" w:cs="Times New Roman"/>
        </w:rPr>
        <w:t xml:space="preserve"> </w:t>
      </w:r>
      <w:proofErr w:type="spellStart"/>
      <w:r w:rsidR="0079109A">
        <w:rPr>
          <w:rFonts w:ascii="Times New Roman" w:hAnsi="Times New Roman" w:cs="Times New Roman"/>
        </w:rPr>
        <w:t>Markwardt</w:t>
      </w:r>
      <w:proofErr w:type="spellEnd"/>
      <w:r w:rsidR="0079109A">
        <w:rPr>
          <w:rFonts w:ascii="Times New Roman" w:hAnsi="Times New Roman" w:cs="Times New Roman"/>
        </w:rPr>
        <w:t xml:space="preserve"> </w:t>
      </w:r>
      <w:r w:rsidR="00E61778">
        <w:rPr>
          <w:rFonts w:ascii="Times New Roman" w:hAnsi="Times New Roman" w:cs="Times New Roman"/>
        </w:rPr>
        <w:t>argued that t</w:t>
      </w:r>
      <w:r w:rsidR="00E61778" w:rsidRPr="00E61778">
        <w:rPr>
          <w:rFonts w:ascii="Times New Roman" w:hAnsi="Times New Roman" w:cs="Times New Roman"/>
        </w:rPr>
        <w:t xml:space="preserve">he ECB retains exclusive competency to assess an entity's significance and the adequacy of national supervision, with the </w:t>
      </w:r>
      <w:r w:rsidR="004B7421">
        <w:rPr>
          <w:rFonts w:ascii="Times New Roman" w:hAnsi="Times New Roman" w:cs="Times New Roman"/>
        </w:rPr>
        <w:t>EU courts</w:t>
      </w:r>
      <w:r w:rsidR="00E61778" w:rsidRPr="00E61778">
        <w:rPr>
          <w:rFonts w:ascii="Times New Roman" w:hAnsi="Times New Roman" w:cs="Times New Roman"/>
        </w:rPr>
        <w:t xml:space="preserve"> likely favoring the ECB in future </w:t>
      </w:r>
      <w:commentRangeStart w:id="18"/>
      <w:r w:rsidR="00E61778" w:rsidRPr="00E61778">
        <w:rPr>
          <w:rFonts w:ascii="Times New Roman" w:hAnsi="Times New Roman" w:cs="Times New Roman"/>
        </w:rPr>
        <w:t>disputes</w:t>
      </w:r>
      <w:commentRangeEnd w:id="18"/>
      <w:r w:rsidR="00306516">
        <w:rPr>
          <w:rStyle w:val="CommentReference"/>
        </w:rPr>
        <w:commentReference w:id="18"/>
      </w:r>
      <w:r w:rsidR="00E61778" w:rsidRPr="00E61778">
        <w:rPr>
          <w:rFonts w:ascii="Times New Roman" w:hAnsi="Times New Roman" w:cs="Times New Roman"/>
        </w:rPr>
        <w:t xml:space="preserve">. </w:t>
      </w:r>
      <w:r w:rsidR="00A60CCA" w:rsidRPr="005E72F9">
        <w:rPr>
          <w:rFonts w:ascii="Times New Roman" w:hAnsi="Times New Roman" w:cs="Times New Roman"/>
        </w:rPr>
        <w:br w:type="page"/>
      </w:r>
      <w:r w:rsidR="00FF6765" w:rsidRPr="00FF6765">
        <w:rPr>
          <w:rFonts w:ascii="Times New Roman" w:hAnsi="Times New Roman" w:cs="Times New Roman"/>
        </w:rPr>
        <w:t xml:space="preserve">Crédit </w:t>
      </w:r>
      <w:r w:rsidR="005F2901">
        <w:rPr>
          <w:rFonts w:ascii="Times New Roman" w:hAnsi="Times New Roman" w:cs="Times New Roman"/>
        </w:rPr>
        <w:t>M</w:t>
      </w:r>
      <w:r w:rsidR="00FF6765" w:rsidRPr="00FF6765">
        <w:rPr>
          <w:rFonts w:ascii="Times New Roman" w:hAnsi="Times New Roman" w:cs="Times New Roman"/>
        </w:rPr>
        <w:t xml:space="preserve">utuel </w:t>
      </w:r>
      <w:proofErr w:type="spellStart"/>
      <w:r w:rsidR="00FF6765" w:rsidRPr="00FF6765">
        <w:rPr>
          <w:rFonts w:ascii="Times New Roman" w:hAnsi="Times New Roman" w:cs="Times New Roman"/>
        </w:rPr>
        <w:t>Arkéa</w:t>
      </w:r>
      <w:proofErr w:type="spellEnd"/>
      <w:r w:rsidR="00FF6765">
        <w:rPr>
          <w:rFonts w:ascii="Times New Roman" w:hAnsi="Times New Roman" w:cs="Times New Roman"/>
        </w:rPr>
        <w:t xml:space="preserve"> v ECB</w:t>
      </w:r>
    </w:p>
    <w:p w14:paraId="40BE5B54" w14:textId="77777777" w:rsidR="00095100" w:rsidRPr="00095100" w:rsidRDefault="00095100" w:rsidP="00095100">
      <w:pPr>
        <w:jc w:val="both"/>
        <w:rPr>
          <w:rFonts w:ascii="Times New Roman" w:hAnsi="Times New Roman" w:cs="Times New Roman"/>
        </w:rPr>
      </w:pPr>
    </w:p>
    <w:p w14:paraId="0836F2FA" w14:textId="3E8E2DB2" w:rsidR="00095100" w:rsidRDefault="00095100" w:rsidP="00095100">
      <w:pPr>
        <w:jc w:val="both"/>
        <w:rPr>
          <w:rFonts w:ascii="Times New Roman" w:hAnsi="Times New Roman" w:cs="Times New Roman"/>
        </w:rPr>
      </w:pPr>
      <w:r w:rsidRPr="00095100">
        <w:rPr>
          <w:rFonts w:ascii="Times New Roman" w:hAnsi="Times New Roman" w:cs="Times New Roman"/>
        </w:rPr>
        <w:t xml:space="preserve">Crédit Mutuel, a decentralized banking group, consists of local cooperative branches affiliated with regional federations, which in turn are affiliated with the </w:t>
      </w:r>
      <w:proofErr w:type="spellStart"/>
      <w:r w:rsidRPr="00095100">
        <w:rPr>
          <w:rFonts w:ascii="Times New Roman" w:hAnsi="Times New Roman" w:cs="Times New Roman"/>
        </w:rPr>
        <w:t>Confédération</w:t>
      </w:r>
      <w:proofErr w:type="spellEnd"/>
      <w:r w:rsidRPr="00095100">
        <w:rPr>
          <w:rFonts w:ascii="Times New Roman" w:hAnsi="Times New Roman" w:cs="Times New Roman"/>
        </w:rPr>
        <w:t xml:space="preserve"> </w:t>
      </w:r>
      <w:proofErr w:type="spellStart"/>
      <w:r w:rsidRPr="00095100">
        <w:rPr>
          <w:rFonts w:ascii="Times New Roman" w:hAnsi="Times New Roman" w:cs="Times New Roman"/>
        </w:rPr>
        <w:t>nationale</w:t>
      </w:r>
      <w:proofErr w:type="spellEnd"/>
      <w:r w:rsidRPr="00095100">
        <w:rPr>
          <w:rFonts w:ascii="Times New Roman" w:hAnsi="Times New Roman" w:cs="Times New Roman"/>
        </w:rPr>
        <w:t xml:space="preserve"> du Crédit Mutuel (CNCM). Crédit Mutuel </w:t>
      </w:r>
      <w:proofErr w:type="spellStart"/>
      <w:r w:rsidRPr="00095100">
        <w:rPr>
          <w:rFonts w:ascii="Times New Roman" w:hAnsi="Times New Roman" w:cs="Times New Roman"/>
        </w:rPr>
        <w:t>Arkéa</w:t>
      </w:r>
      <w:proofErr w:type="spellEnd"/>
      <w:r w:rsidRPr="00095100">
        <w:rPr>
          <w:rFonts w:ascii="Times New Roman" w:hAnsi="Times New Roman" w:cs="Times New Roman"/>
        </w:rPr>
        <w:t xml:space="preserve">, a cooperative finance company, challenged its prudential supervision by the ECB through the CNCM and opposed the </w:t>
      </w:r>
      <w:r w:rsidR="00CD1C5C">
        <w:rPr>
          <w:rFonts w:ascii="Times New Roman" w:hAnsi="Times New Roman" w:cs="Times New Roman"/>
        </w:rPr>
        <w:t xml:space="preserve">ECB’s </w:t>
      </w:r>
      <w:r w:rsidRPr="00095100">
        <w:rPr>
          <w:rFonts w:ascii="Times New Roman" w:hAnsi="Times New Roman" w:cs="Times New Roman"/>
        </w:rPr>
        <w:t xml:space="preserve">SREP decision to increase the CET 1 capital ratio from 8% to 11%, later reduced to 10.75%, in accordance with Article 97 </w:t>
      </w:r>
      <w:r w:rsidR="00CD1C5C">
        <w:rPr>
          <w:rFonts w:ascii="Times New Roman" w:hAnsi="Times New Roman" w:cs="Times New Roman"/>
        </w:rPr>
        <w:t>C</w:t>
      </w:r>
      <w:r w:rsidRPr="00095100">
        <w:rPr>
          <w:rFonts w:ascii="Times New Roman" w:hAnsi="Times New Roman" w:cs="Times New Roman"/>
        </w:rPr>
        <w:t>RD IV, should it leave the Crédit Mutuel group. The applicant argued that this requirement was erroneous and disproportionate.</w:t>
      </w:r>
    </w:p>
    <w:p w14:paraId="00B6A0B9" w14:textId="6262ED50" w:rsidR="000820CF" w:rsidRDefault="002E2312" w:rsidP="00095100">
      <w:pPr>
        <w:jc w:val="both"/>
        <w:rPr>
          <w:rFonts w:ascii="Times New Roman" w:hAnsi="Times New Roman" w:cs="Times New Roman"/>
        </w:rPr>
      </w:pPr>
      <w:r>
        <w:rPr>
          <w:rFonts w:ascii="Times New Roman" w:hAnsi="Times New Roman" w:cs="Times New Roman"/>
        </w:rPr>
        <w:t>The GC</w:t>
      </w:r>
      <w:r w:rsidR="004203E1">
        <w:rPr>
          <w:rFonts w:ascii="Times New Roman" w:hAnsi="Times New Roman" w:cs="Times New Roman"/>
        </w:rPr>
        <w:t xml:space="preserve">. </w:t>
      </w:r>
    </w:p>
    <w:p w14:paraId="3A1D415F" w14:textId="31287DE1" w:rsidR="000820CF" w:rsidRDefault="0053675F" w:rsidP="00841D66">
      <w:pPr>
        <w:jc w:val="both"/>
        <w:rPr>
          <w:rFonts w:ascii="Times New Roman" w:hAnsi="Times New Roman" w:cs="Times New Roman"/>
        </w:rPr>
      </w:pPr>
      <w:r w:rsidRPr="0053675F">
        <w:rPr>
          <w:rFonts w:ascii="Times New Roman" w:hAnsi="Times New Roman" w:cs="Times New Roman"/>
        </w:rPr>
        <w:t xml:space="preserve">Firstly, the </w:t>
      </w:r>
      <w:r>
        <w:rPr>
          <w:rFonts w:ascii="Times New Roman" w:hAnsi="Times New Roman" w:cs="Times New Roman"/>
        </w:rPr>
        <w:t>GC</w:t>
      </w:r>
      <w:r w:rsidRPr="0053675F">
        <w:rPr>
          <w:rFonts w:ascii="Times New Roman" w:hAnsi="Times New Roman" w:cs="Times New Roman"/>
        </w:rPr>
        <w:t xml:space="preserve"> determined that a joint and several liability mechanism exists within the Crédit Mutuel Group. This is evidenced by the CNCM's 10 March 1992 decision, which confirmed such a mechanism for distressed branches, including the applicant, necessitating CNCM intervention through interest-bearing advances, grants, or guarantees, applicable at both regional and national levels.</w:t>
      </w:r>
      <w:r w:rsidR="00C64738">
        <w:rPr>
          <w:rStyle w:val="FootnoteReference"/>
          <w:rFonts w:ascii="Times New Roman" w:hAnsi="Times New Roman" w:cs="Times New Roman"/>
        </w:rPr>
        <w:footnoteReference w:id="9"/>
      </w:r>
      <w:r w:rsidRPr="0053675F">
        <w:rPr>
          <w:rFonts w:ascii="Times New Roman" w:hAnsi="Times New Roman" w:cs="Times New Roman"/>
        </w:rPr>
        <w:t xml:space="preserve"> </w:t>
      </w:r>
      <w:r w:rsidR="003C0554">
        <w:rPr>
          <w:rFonts w:ascii="Times New Roman" w:hAnsi="Times New Roman" w:cs="Times New Roman"/>
        </w:rPr>
        <w:t>Moreover,</w:t>
      </w:r>
      <w:r w:rsidRPr="0053675F">
        <w:rPr>
          <w:rFonts w:ascii="Times New Roman" w:hAnsi="Times New Roman" w:cs="Times New Roman"/>
        </w:rPr>
        <w:t xml:space="preserve"> the applicant's rating agency report </w:t>
      </w:r>
      <w:r w:rsidR="00044E98">
        <w:rPr>
          <w:rFonts w:ascii="Times New Roman" w:hAnsi="Times New Roman" w:cs="Times New Roman"/>
        </w:rPr>
        <w:t xml:space="preserve">also </w:t>
      </w:r>
      <w:r w:rsidR="004A789D">
        <w:rPr>
          <w:rFonts w:ascii="Times New Roman" w:hAnsi="Times New Roman" w:cs="Times New Roman"/>
        </w:rPr>
        <w:t>acknowledged</w:t>
      </w:r>
      <w:r w:rsidR="003C0554">
        <w:rPr>
          <w:rFonts w:ascii="Times New Roman" w:hAnsi="Times New Roman" w:cs="Times New Roman"/>
        </w:rPr>
        <w:t xml:space="preserve"> </w:t>
      </w:r>
      <w:r w:rsidR="00044E98" w:rsidRPr="00044E98">
        <w:rPr>
          <w:rFonts w:ascii="Times New Roman" w:hAnsi="Times New Roman" w:cs="Times New Roman"/>
        </w:rPr>
        <w:t xml:space="preserve">the presence of this joint and several liability </w:t>
      </w:r>
      <w:r w:rsidR="00044E98">
        <w:rPr>
          <w:rFonts w:ascii="Times New Roman" w:hAnsi="Times New Roman" w:cs="Times New Roman"/>
        </w:rPr>
        <w:t>mechanism</w:t>
      </w:r>
      <w:r w:rsidR="00044E98" w:rsidRPr="00044E98">
        <w:rPr>
          <w:rFonts w:ascii="Times New Roman" w:hAnsi="Times New Roman" w:cs="Times New Roman"/>
        </w:rPr>
        <w:t>.</w:t>
      </w:r>
      <w:r w:rsidR="00C64738">
        <w:rPr>
          <w:rStyle w:val="FootnoteReference"/>
          <w:rFonts w:ascii="Times New Roman" w:hAnsi="Times New Roman" w:cs="Times New Roman"/>
        </w:rPr>
        <w:footnoteReference w:id="10"/>
      </w:r>
      <w:r w:rsidR="00C02909">
        <w:rPr>
          <w:rFonts w:ascii="Times New Roman" w:hAnsi="Times New Roman" w:cs="Times New Roman"/>
        </w:rPr>
        <w:t xml:space="preserve"> Therefore, the Court concluded that </w:t>
      </w:r>
      <w:r w:rsidR="000341EF">
        <w:rPr>
          <w:rFonts w:ascii="Times New Roman" w:hAnsi="Times New Roman" w:cs="Times New Roman"/>
        </w:rPr>
        <w:t>t</w:t>
      </w:r>
      <w:r w:rsidR="00C02909" w:rsidRPr="00C02909">
        <w:rPr>
          <w:rFonts w:ascii="Times New Roman" w:hAnsi="Times New Roman" w:cs="Times New Roman"/>
        </w:rPr>
        <w:t xml:space="preserve">he ECB did not make a manifest error in assessing the potential adverse impact on the applicant's ratings and refinancing costs if </w:t>
      </w:r>
      <w:r w:rsidR="00B71C05">
        <w:rPr>
          <w:rFonts w:ascii="Times New Roman" w:hAnsi="Times New Roman" w:cs="Times New Roman"/>
        </w:rPr>
        <w:t xml:space="preserve">such </w:t>
      </w:r>
      <w:r w:rsidR="00C02909" w:rsidRPr="00C02909">
        <w:rPr>
          <w:rFonts w:ascii="Times New Roman" w:hAnsi="Times New Roman" w:cs="Times New Roman"/>
        </w:rPr>
        <w:t xml:space="preserve">joint and several liability mechanism was </w:t>
      </w:r>
      <w:r w:rsidR="000341EF">
        <w:rPr>
          <w:rFonts w:ascii="Times New Roman" w:hAnsi="Times New Roman" w:cs="Times New Roman"/>
        </w:rPr>
        <w:t>no longer existed</w:t>
      </w:r>
      <w:r w:rsidR="00C02909" w:rsidRPr="00C02909">
        <w:rPr>
          <w:rFonts w:ascii="Times New Roman" w:hAnsi="Times New Roman" w:cs="Times New Roman"/>
        </w:rPr>
        <w:t>.</w:t>
      </w:r>
    </w:p>
    <w:p w14:paraId="48E7CF2B" w14:textId="77777777" w:rsidR="00905354" w:rsidRDefault="00C9404A" w:rsidP="00841D66">
      <w:pPr>
        <w:jc w:val="both"/>
        <w:rPr>
          <w:rFonts w:ascii="Times New Roman" w:hAnsi="Times New Roman" w:cs="Times New Roman"/>
        </w:rPr>
      </w:pPr>
      <w:r w:rsidRPr="00C9404A">
        <w:rPr>
          <w:rFonts w:ascii="Times New Roman" w:hAnsi="Times New Roman" w:cs="Times New Roman"/>
        </w:rPr>
        <w:t xml:space="preserve">Secondly, the </w:t>
      </w:r>
      <w:r>
        <w:rPr>
          <w:rFonts w:ascii="Times New Roman" w:hAnsi="Times New Roman" w:cs="Times New Roman"/>
        </w:rPr>
        <w:t>GC</w:t>
      </w:r>
      <w:r w:rsidRPr="00C9404A">
        <w:rPr>
          <w:rFonts w:ascii="Times New Roman" w:hAnsi="Times New Roman" w:cs="Times New Roman"/>
        </w:rPr>
        <w:t xml:space="preserve"> evaluated the adverse effects of transitioning the applicant's capital calculation method from the 'advanced approach' or 'Internal Ratings Based Approach,' which necessitates approval from the competent authority, to the '</w:t>
      </w:r>
      <w:proofErr w:type="spellStart"/>
      <w:r w:rsidRPr="00C9404A">
        <w:rPr>
          <w:rFonts w:ascii="Times New Roman" w:hAnsi="Times New Roman" w:cs="Times New Roman"/>
        </w:rPr>
        <w:t>standardi</w:t>
      </w:r>
      <w:r>
        <w:rPr>
          <w:rFonts w:ascii="Times New Roman" w:hAnsi="Times New Roman" w:cs="Times New Roman"/>
        </w:rPr>
        <w:t>s</w:t>
      </w:r>
      <w:r w:rsidRPr="00C9404A">
        <w:rPr>
          <w:rFonts w:ascii="Times New Roman" w:hAnsi="Times New Roman" w:cs="Times New Roman"/>
        </w:rPr>
        <w:t>ed</w:t>
      </w:r>
      <w:proofErr w:type="spellEnd"/>
      <w:r w:rsidRPr="00C9404A">
        <w:rPr>
          <w:rFonts w:ascii="Times New Roman" w:hAnsi="Times New Roman" w:cs="Times New Roman"/>
        </w:rPr>
        <w:t xml:space="preserve"> approach.' This shift would not only automatically escalate CET 1 capital requirements</w:t>
      </w:r>
      <w:r w:rsidR="00057490">
        <w:rPr>
          <w:rStyle w:val="FootnoteReference"/>
          <w:rFonts w:ascii="Times New Roman" w:hAnsi="Times New Roman" w:cs="Times New Roman"/>
        </w:rPr>
        <w:footnoteReference w:id="11"/>
      </w:r>
      <w:r w:rsidRPr="00C9404A">
        <w:rPr>
          <w:rFonts w:ascii="Times New Roman" w:hAnsi="Times New Roman" w:cs="Times New Roman"/>
        </w:rPr>
        <w:t xml:space="preserve"> but also potentially result in a rating downgrade and a recognized decrease in CET 1 capital, as acknowledged by the appli</w:t>
      </w:r>
      <w:r w:rsidR="006161FC">
        <w:rPr>
          <w:rFonts w:ascii="Times New Roman" w:hAnsi="Times New Roman" w:cs="Times New Roman"/>
        </w:rPr>
        <w:t xml:space="preserve">cant. </w:t>
      </w:r>
      <w:r w:rsidR="002B27E0" w:rsidRPr="002B27E0">
        <w:rPr>
          <w:rFonts w:ascii="Times New Roman" w:hAnsi="Times New Roman" w:cs="Times New Roman"/>
        </w:rPr>
        <w:t xml:space="preserve">Therefore, it is neither a manifest error nor disproportionate for the ECB to conclude that the applicant must prepare for this eventuality by establishing appropriate capital </w:t>
      </w:r>
      <w:commentRangeStart w:id="19"/>
      <w:commentRangeStart w:id="20"/>
      <w:r w:rsidR="002B27E0" w:rsidRPr="002B27E0">
        <w:rPr>
          <w:rFonts w:ascii="Times New Roman" w:hAnsi="Times New Roman" w:cs="Times New Roman"/>
        </w:rPr>
        <w:t>reserves</w:t>
      </w:r>
      <w:commentRangeEnd w:id="19"/>
      <w:r w:rsidR="000E2792">
        <w:rPr>
          <w:rStyle w:val="CommentReference"/>
        </w:rPr>
        <w:commentReference w:id="19"/>
      </w:r>
      <w:commentRangeEnd w:id="20"/>
      <w:r w:rsidR="00B01D4E">
        <w:rPr>
          <w:rStyle w:val="CommentReference"/>
        </w:rPr>
        <w:commentReference w:id="20"/>
      </w:r>
      <w:r w:rsidR="002B27E0" w:rsidRPr="002B27E0">
        <w:rPr>
          <w:rFonts w:ascii="Times New Roman" w:hAnsi="Times New Roman" w:cs="Times New Roman"/>
        </w:rPr>
        <w:t>.</w:t>
      </w:r>
    </w:p>
    <w:p w14:paraId="20AA0B75" w14:textId="77777777" w:rsidR="00905354" w:rsidRDefault="00905354">
      <w:pPr>
        <w:rPr>
          <w:rFonts w:ascii="Times New Roman" w:hAnsi="Times New Roman" w:cs="Times New Roman"/>
        </w:rPr>
      </w:pPr>
      <w:r>
        <w:rPr>
          <w:rFonts w:ascii="Times New Roman" w:hAnsi="Times New Roman" w:cs="Times New Roman"/>
        </w:rPr>
        <w:br w:type="page"/>
      </w:r>
    </w:p>
    <w:p w14:paraId="103F1AAD" w14:textId="498793BA" w:rsidR="00905354" w:rsidRPr="00905354" w:rsidRDefault="00905354" w:rsidP="00841D66">
      <w:pPr>
        <w:jc w:val="both"/>
        <w:rPr>
          <w:rFonts w:ascii="Times New Roman" w:hAnsi="Times New Roman" w:cs="Times New Roman"/>
          <w:b/>
          <w:bCs/>
          <w:i/>
          <w:iCs/>
        </w:rPr>
      </w:pPr>
      <w:r w:rsidRPr="00905354">
        <w:rPr>
          <w:rFonts w:ascii="Times New Roman" w:hAnsi="Times New Roman" w:cs="Times New Roman"/>
          <w:b/>
          <w:bCs/>
          <w:i/>
          <w:iCs/>
        </w:rPr>
        <w:t>PNB Paribas v ECB</w:t>
      </w:r>
      <w:r w:rsidR="006F35E1">
        <w:rPr>
          <w:rStyle w:val="FootnoteReference"/>
          <w:rFonts w:ascii="Times New Roman" w:hAnsi="Times New Roman" w:cs="Times New Roman"/>
          <w:b/>
          <w:bCs/>
          <w:i/>
          <w:iCs/>
        </w:rPr>
        <w:footnoteReference w:id="12"/>
      </w:r>
    </w:p>
    <w:p w14:paraId="0D1CA1E5" w14:textId="2332937C" w:rsidR="00D03915" w:rsidRDefault="0044593E" w:rsidP="00841D66">
      <w:pPr>
        <w:jc w:val="both"/>
        <w:rPr>
          <w:rFonts w:ascii="Times New Roman" w:hAnsi="Times New Roman" w:cs="Times New Roman"/>
        </w:rPr>
      </w:pPr>
      <w:r w:rsidRPr="0044593E">
        <w:rPr>
          <w:rFonts w:ascii="Times New Roman" w:hAnsi="Times New Roman" w:cs="Times New Roman"/>
        </w:rPr>
        <w:t xml:space="preserve">The </w:t>
      </w:r>
      <w:r w:rsidR="00E36945">
        <w:rPr>
          <w:rFonts w:ascii="Times New Roman" w:hAnsi="Times New Roman" w:cs="Times New Roman"/>
        </w:rPr>
        <w:t xml:space="preserve">2024 </w:t>
      </w:r>
      <w:r w:rsidRPr="0044593E">
        <w:rPr>
          <w:rFonts w:ascii="Times New Roman" w:hAnsi="Times New Roman" w:cs="Times New Roman"/>
        </w:rPr>
        <w:t>dispute revolves around the ECB's SREP decision mandating BNP Paribas</w:t>
      </w:r>
      <w:r>
        <w:rPr>
          <w:rFonts w:ascii="Times New Roman" w:hAnsi="Times New Roman" w:cs="Times New Roman"/>
        </w:rPr>
        <w:t xml:space="preserve">, </w:t>
      </w:r>
      <w:r w:rsidR="0038097D">
        <w:rPr>
          <w:rFonts w:ascii="Times New Roman" w:hAnsi="Times New Roman" w:cs="Times New Roman"/>
        </w:rPr>
        <w:t>a French SI</w:t>
      </w:r>
      <w:r w:rsidR="009877A2">
        <w:rPr>
          <w:rFonts w:ascii="Times New Roman" w:hAnsi="Times New Roman" w:cs="Times New Roman"/>
        </w:rPr>
        <w:t xml:space="preserve">, </w:t>
      </w:r>
      <w:r w:rsidR="0036463E">
        <w:rPr>
          <w:rFonts w:ascii="Times New Roman" w:hAnsi="Times New Roman" w:cs="Times New Roman"/>
        </w:rPr>
        <w:t xml:space="preserve">to deduct the </w:t>
      </w:r>
      <w:r w:rsidR="0036463E" w:rsidRPr="0036463E">
        <w:rPr>
          <w:rFonts w:ascii="Times New Roman" w:hAnsi="Times New Roman" w:cs="Times New Roman"/>
        </w:rPr>
        <w:t>cumulative IPC amount</w:t>
      </w:r>
      <w:r w:rsidR="00A46B4F">
        <w:rPr>
          <w:rFonts w:ascii="Times New Roman" w:hAnsi="Times New Roman" w:cs="Times New Roman"/>
        </w:rPr>
        <w:t xml:space="preserve"> intended</w:t>
      </w:r>
      <w:r w:rsidR="0025600A">
        <w:rPr>
          <w:rFonts w:ascii="Times New Roman" w:hAnsi="Times New Roman" w:cs="Times New Roman"/>
        </w:rPr>
        <w:t xml:space="preserve"> </w:t>
      </w:r>
      <w:r w:rsidR="009F2147">
        <w:rPr>
          <w:rFonts w:ascii="Times New Roman" w:hAnsi="Times New Roman" w:cs="Times New Roman"/>
        </w:rPr>
        <w:t>for DGS</w:t>
      </w:r>
      <w:r w:rsidR="00BB5C9E">
        <w:rPr>
          <w:rFonts w:ascii="Times New Roman" w:hAnsi="Times New Roman" w:cs="Times New Roman"/>
        </w:rPr>
        <w:t xml:space="preserve"> or resolution funds</w:t>
      </w:r>
      <w:r w:rsidR="0036463E" w:rsidRPr="0036463E">
        <w:rPr>
          <w:rFonts w:ascii="Times New Roman" w:hAnsi="Times New Roman" w:cs="Times New Roman"/>
        </w:rPr>
        <w:t xml:space="preserve"> from </w:t>
      </w:r>
      <w:r w:rsidR="00D42447">
        <w:rPr>
          <w:rFonts w:ascii="Times New Roman" w:hAnsi="Times New Roman" w:cs="Times New Roman"/>
        </w:rPr>
        <w:t>its</w:t>
      </w:r>
      <w:r w:rsidR="00BB5C9E">
        <w:rPr>
          <w:rFonts w:ascii="Times New Roman" w:hAnsi="Times New Roman" w:cs="Times New Roman"/>
        </w:rPr>
        <w:t xml:space="preserve"> CET 1</w:t>
      </w:r>
      <w:r w:rsidR="009724FB">
        <w:rPr>
          <w:rFonts w:ascii="Times New Roman" w:hAnsi="Times New Roman" w:cs="Times New Roman"/>
        </w:rPr>
        <w:t xml:space="preserve">, </w:t>
      </w:r>
      <w:r w:rsidR="009724FB" w:rsidRPr="009724FB">
        <w:rPr>
          <w:rFonts w:ascii="Times New Roman" w:hAnsi="Times New Roman" w:cs="Times New Roman"/>
        </w:rPr>
        <w:t xml:space="preserve">citing concerns about overstated </w:t>
      </w:r>
      <w:r w:rsidR="00D03915">
        <w:rPr>
          <w:rFonts w:ascii="Times New Roman" w:hAnsi="Times New Roman" w:cs="Times New Roman"/>
        </w:rPr>
        <w:t xml:space="preserve">CET 1 </w:t>
      </w:r>
      <w:r w:rsidR="009724FB" w:rsidRPr="009724FB">
        <w:rPr>
          <w:rFonts w:ascii="Times New Roman" w:hAnsi="Times New Roman" w:cs="Times New Roman"/>
        </w:rPr>
        <w:t xml:space="preserve">capital and inadequate risk management. </w:t>
      </w:r>
      <w:r w:rsidR="009F0E65" w:rsidRPr="009F0E65">
        <w:rPr>
          <w:rFonts w:ascii="Times New Roman" w:hAnsi="Times New Roman" w:cs="Times New Roman"/>
        </w:rPr>
        <w:t xml:space="preserve">The applicant </w:t>
      </w:r>
      <w:r w:rsidR="009F0E65">
        <w:rPr>
          <w:rFonts w:ascii="Times New Roman" w:hAnsi="Times New Roman" w:cs="Times New Roman"/>
        </w:rPr>
        <w:t xml:space="preserve">submitted </w:t>
      </w:r>
      <w:r w:rsidR="009F0E65" w:rsidRPr="009F0E65">
        <w:rPr>
          <w:rFonts w:ascii="Times New Roman" w:hAnsi="Times New Roman" w:cs="Times New Roman"/>
        </w:rPr>
        <w:t>four pleas grounded in fundamental rights principles, including the principle of proportionality.</w:t>
      </w:r>
      <w:r w:rsidR="00864DEC">
        <w:rPr>
          <w:rFonts w:ascii="Times New Roman" w:hAnsi="Times New Roman" w:cs="Times New Roman"/>
        </w:rPr>
        <w:t xml:space="preserve"> However, none of them w</w:t>
      </w:r>
      <w:r w:rsidR="0019465A">
        <w:rPr>
          <w:rFonts w:ascii="Times New Roman" w:hAnsi="Times New Roman" w:cs="Times New Roman"/>
        </w:rPr>
        <w:t>e</w:t>
      </w:r>
      <w:r w:rsidR="00864DEC">
        <w:rPr>
          <w:rFonts w:ascii="Times New Roman" w:hAnsi="Times New Roman" w:cs="Times New Roman"/>
        </w:rPr>
        <w:t>re upheld.</w:t>
      </w:r>
    </w:p>
    <w:p w14:paraId="3A10E61A" w14:textId="637DC14F" w:rsidR="00864DEC" w:rsidRDefault="005904D6" w:rsidP="00841D66">
      <w:pPr>
        <w:jc w:val="both"/>
        <w:rPr>
          <w:rFonts w:ascii="Times New Roman" w:hAnsi="Times New Roman" w:cs="Times New Roman"/>
        </w:rPr>
      </w:pPr>
      <w:r w:rsidRPr="005904D6">
        <w:rPr>
          <w:rFonts w:ascii="Times New Roman" w:hAnsi="Times New Roman" w:cs="Times New Roman"/>
        </w:rPr>
        <w:t>The applicant challenged the ECB</w:t>
      </w:r>
      <w:r>
        <w:rPr>
          <w:rFonts w:ascii="Times New Roman" w:hAnsi="Times New Roman" w:cs="Times New Roman"/>
        </w:rPr>
        <w:t>’s</w:t>
      </w:r>
      <w:r w:rsidRPr="005904D6">
        <w:rPr>
          <w:rFonts w:ascii="Times New Roman" w:hAnsi="Times New Roman" w:cs="Times New Roman"/>
        </w:rPr>
        <w:t xml:space="preserve"> decision through the lens of proportionality, advancing a three argument</w:t>
      </w:r>
      <w:r w:rsidR="0093632F">
        <w:rPr>
          <w:rFonts w:ascii="Times New Roman" w:hAnsi="Times New Roman" w:cs="Times New Roman"/>
        </w:rPr>
        <w:t>s</w:t>
      </w:r>
      <w:r>
        <w:rPr>
          <w:rFonts w:ascii="Times New Roman" w:hAnsi="Times New Roman" w:cs="Times New Roman"/>
        </w:rPr>
        <w:t xml:space="preserve">. </w:t>
      </w:r>
      <w:r w:rsidR="00080705">
        <w:rPr>
          <w:rFonts w:ascii="Times New Roman" w:hAnsi="Times New Roman" w:cs="Times New Roman"/>
        </w:rPr>
        <w:t xml:space="preserve">Firstly, </w:t>
      </w:r>
      <w:r w:rsidR="00926EF4">
        <w:rPr>
          <w:rFonts w:ascii="Times New Roman" w:hAnsi="Times New Roman" w:cs="Times New Roman"/>
        </w:rPr>
        <w:t xml:space="preserve"> </w:t>
      </w:r>
      <w:r w:rsidR="00622870" w:rsidRPr="00622870">
        <w:rPr>
          <w:rFonts w:ascii="Times New Roman" w:hAnsi="Times New Roman" w:cs="Times New Roman"/>
        </w:rPr>
        <w:t>the</w:t>
      </w:r>
      <w:r w:rsidR="002C3F89">
        <w:rPr>
          <w:rFonts w:ascii="Times New Roman" w:hAnsi="Times New Roman" w:cs="Times New Roman"/>
        </w:rPr>
        <w:t xml:space="preserve"> ECB </w:t>
      </w:r>
      <w:r w:rsidR="00D11F9A">
        <w:rPr>
          <w:rFonts w:ascii="Times New Roman" w:hAnsi="Times New Roman" w:cs="Times New Roman"/>
        </w:rPr>
        <w:t>failed to account for</w:t>
      </w:r>
      <w:r w:rsidR="00622870" w:rsidRPr="00622870">
        <w:rPr>
          <w:rFonts w:ascii="Times New Roman" w:hAnsi="Times New Roman" w:cs="Times New Roman"/>
        </w:rPr>
        <w:t xml:space="preserve"> </w:t>
      </w:r>
      <w:r w:rsidR="00D11F9A">
        <w:rPr>
          <w:rFonts w:ascii="Times New Roman" w:hAnsi="Times New Roman" w:cs="Times New Roman"/>
        </w:rPr>
        <w:t xml:space="preserve">the </w:t>
      </w:r>
      <w:r w:rsidR="00622870" w:rsidRPr="00622870">
        <w:rPr>
          <w:rFonts w:ascii="Times New Roman" w:hAnsi="Times New Roman" w:cs="Times New Roman"/>
        </w:rPr>
        <w:t>improbable invocation of IPCs render</w:t>
      </w:r>
      <w:r w:rsidR="00134A41">
        <w:rPr>
          <w:rFonts w:ascii="Times New Roman" w:hAnsi="Times New Roman" w:cs="Times New Roman"/>
        </w:rPr>
        <w:t>ed</w:t>
      </w:r>
      <w:r w:rsidR="00622870" w:rsidRPr="00622870">
        <w:rPr>
          <w:rFonts w:ascii="Times New Roman" w:hAnsi="Times New Roman" w:cs="Times New Roman"/>
        </w:rPr>
        <w:t xml:space="preserve"> the risk associated with them largely hypothetical and mitigated by prudential measures</w:t>
      </w:r>
      <w:r w:rsidR="0033003F">
        <w:rPr>
          <w:rFonts w:ascii="Times New Roman" w:hAnsi="Times New Roman" w:cs="Times New Roman"/>
        </w:rPr>
        <w:t xml:space="preserve"> such as risk-weighted assets.</w:t>
      </w:r>
      <w:r w:rsidR="006F35E1">
        <w:rPr>
          <w:rStyle w:val="FootnoteReference"/>
          <w:rFonts w:ascii="Times New Roman" w:hAnsi="Times New Roman" w:cs="Times New Roman"/>
        </w:rPr>
        <w:footnoteReference w:id="13"/>
      </w:r>
      <w:r w:rsidR="003241BC">
        <w:rPr>
          <w:rFonts w:ascii="Times New Roman" w:hAnsi="Times New Roman" w:cs="Times New Roman"/>
        </w:rPr>
        <w:t xml:space="preserve"> </w:t>
      </w:r>
      <w:r w:rsidR="00080705">
        <w:rPr>
          <w:rFonts w:ascii="Times New Roman" w:hAnsi="Times New Roman" w:cs="Times New Roman"/>
        </w:rPr>
        <w:t xml:space="preserve">Secondly, </w:t>
      </w:r>
      <w:r w:rsidR="003241BC" w:rsidRPr="003241BC">
        <w:rPr>
          <w:rFonts w:ascii="Times New Roman" w:hAnsi="Times New Roman" w:cs="Times New Roman"/>
        </w:rPr>
        <w:t xml:space="preserve">ECB's rejection of </w:t>
      </w:r>
      <w:r w:rsidR="0013329F" w:rsidRPr="0013329F">
        <w:rPr>
          <w:rFonts w:ascii="Times New Roman" w:hAnsi="Times New Roman" w:cs="Times New Roman"/>
        </w:rPr>
        <w:t>less onerous</w:t>
      </w:r>
      <w:r w:rsidR="0013329F">
        <w:rPr>
          <w:rFonts w:ascii="Times New Roman" w:hAnsi="Times New Roman" w:cs="Times New Roman"/>
        </w:rPr>
        <w:t xml:space="preserve"> </w:t>
      </w:r>
      <w:r w:rsidR="003241BC" w:rsidRPr="003241BC">
        <w:rPr>
          <w:rFonts w:ascii="Times New Roman" w:hAnsi="Times New Roman" w:cs="Times New Roman"/>
        </w:rPr>
        <w:t xml:space="preserve">alternative measures, solely </w:t>
      </w:r>
      <w:r w:rsidR="00C30A4E">
        <w:rPr>
          <w:rFonts w:ascii="Times New Roman" w:hAnsi="Times New Roman" w:cs="Times New Roman"/>
        </w:rPr>
        <w:t xml:space="preserve">to obtain </w:t>
      </w:r>
      <w:r w:rsidR="00C30A4E" w:rsidRPr="00C30A4E">
        <w:rPr>
          <w:rFonts w:ascii="Times New Roman" w:hAnsi="Times New Roman" w:cs="Times New Roman"/>
        </w:rPr>
        <w:t>adequate information on the risks</w:t>
      </w:r>
      <w:r w:rsidR="003241BC" w:rsidRPr="003241BC">
        <w:rPr>
          <w:rFonts w:ascii="Times New Roman" w:hAnsi="Times New Roman" w:cs="Times New Roman"/>
        </w:rPr>
        <w:t>, result</w:t>
      </w:r>
      <w:r w:rsidR="00134A41">
        <w:rPr>
          <w:rFonts w:ascii="Times New Roman" w:hAnsi="Times New Roman" w:cs="Times New Roman"/>
        </w:rPr>
        <w:t>ed</w:t>
      </w:r>
      <w:r w:rsidR="003241BC" w:rsidRPr="003241BC">
        <w:rPr>
          <w:rFonts w:ascii="Times New Roman" w:hAnsi="Times New Roman" w:cs="Times New Roman"/>
        </w:rPr>
        <w:t xml:space="preserve"> in unjustifiably adverse effects</w:t>
      </w:r>
      <w:r w:rsidR="003241BC">
        <w:rPr>
          <w:rFonts w:ascii="Times New Roman" w:hAnsi="Times New Roman" w:cs="Times New Roman"/>
        </w:rPr>
        <w:t>.</w:t>
      </w:r>
      <w:r w:rsidR="006F35E1">
        <w:rPr>
          <w:rStyle w:val="FootnoteReference"/>
          <w:rFonts w:ascii="Times New Roman" w:hAnsi="Times New Roman" w:cs="Times New Roman"/>
        </w:rPr>
        <w:footnoteReference w:id="14"/>
      </w:r>
      <w:r w:rsidR="003241BC">
        <w:rPr>
          <w:rFonts w:ascii="Times New Roman" w:hAnsi="Times New Roman" w:cs="Times New Roman"/>
        </w:rPr>
        <w:t xml:space="preserve"> </w:t>
      </w:r>
      <w:r w:rsidR="005E2F4A">
        <w:rPr>
          <w:rFonts w:ascii="Times New Roman" w:hAnsi="Times New Roman" w:cs="Times New Roman"/>
        </w:rPr>
        <w:t xml:space="preserve">Thirdly, </w:t>
      </w:r>
      <w:r w:rsidR="005E2F4A" w:rsidRPr="005E2F4A">
        <w:rPr>
          <w:rFonts w:ascii="Times New Roman" w:hAnsi="Times New Roman" w:cs="Times New Roman"/>
        </w:rPr>
        <w:t>the ECB's dismissal of the relevance of the applicant's capital adequacy, suggesting a blanket application of the deduction measure irrespective of individual capital sufficiency, contradicting the principle of proportionality.</w:t>
      </w:r>
      <w:r w:rsidR="006F35E1">
        <w:rPr>
          <w:rStyle w:val="FootnoteReference"/>
          <w:rFonts w:ascii="Times New Roman" w:hAnsi="Times New Roman" w:cs="Times New Roman"/>
        </w:rPr>
        <w:footnoteReference w:id="15"/>
      </w:r>
    </w:p>
    <w:p w14:paraId="6B0DDFE1" w14:textId="77777777" w:rsidR="009C6A42" w:rsidRDefault="00053D32" w:rsidP="00841D66">
      <w:pPr>
        <w:jc w:val="both"/>
        <w:rPr>
          <w:rFonts w:ascii="Times New Roman" w:hAnsi="Times New Roman" w:cs="Times New Roman"/>
        </w:rPr>
      </w:pPr>
      <w:r>
        <w:rPr>
          <w:rFonts w:ascii="Times New Roman" w:hAnsi="Times New Roman" w:cs="Times New Roman"/>
        </w:rPr>
        <w:t>The</w:t>
      </w:r>
      <w:r w:rsidR="002307FA">
        <w:rPr>
          <w:rFonts w:ascii="Times New Roman" w:hAnsi="Times New Roman" w:cs="Times New Roman"/>
        </w:rPr>
        <w:t xml:space="preserve"> GC </w:t>
      </w:r>
      <w:r w:rsidR="00E94A90" w:rsidRPr="00E94A90">
        <w:rPr>
          <w:rFonts w:ascii="Times New Roman" w:hAnsi="Times New Roman" w:cs="Times New Roman"/>
        </w:rPr>
        <w:t>dismissed the applicant's initial contention regarding the speculative nature of IPC calls, asserting that it indeed resulted in the loss of economic resource</w:t>
      </w:r>
      <w:r w:rsidR="00E94A90">
        <w:rPr>
          <w:rFonts w:ascii="Times New Roman" w:hAnsi="Times New Roman" w:cs="Times New Roman"/>
        </w:rPr>
        <w:t>s</w:t>
      </w:r>
      <w:r w:rsidR="002307FA" w:rsidRPr="002307FA">
        <w:rPr>
          <w:rFonts w:ascii="Times New Roman" w:hAnsi="Times New Roman" w:cs="Times New Roman"/>
        </w:rPr>
        <w:t>.</w:t>
      </w:r>
      <w:r w:rsidR="0013329F">
        <w:rPr>
          <w:rStyle w:val="FootnoteReference"/>
          <w:rFonts w:ascii="Times New Roman" w:hAnsi="Times New Roman" w:cs="Times New Roman"/>
        </w:rPr>
        <w:footnoteReference w:id="16"/>
      </w:r>
      <w:r w:rsidR="002307FA" w:rsidRPr="002307FA">
        <w:rPr>
          <w:rFonts w:ascii="Times New Roman" w:hAnsi="Times New Roman" w:cs="Times New Roman"/>
        </w:rPr>
        <w:t xml:space="preserve"> </w:t>
      </w:r>
      <w:r w:rsidR="00E45FD0">
        <w:rPr>
          <w:rFonts w:ascii="Times New Roman" w:hAnsi="Times New Roman" w:cs="Times New Roman"/>
        </w:rPr>
        <w:t xml:space="preserve">In response to the second argument, </w:t>
      </w:r>
      <w:r w:rsidR="006C4DC6">
        <w:rPr>
          <w:rFonts w:ascii="Times New Roman" w:hAnsi="Times New Roman" w:cs="Times New Roman"/>
        </w:rPr>
        <w:t>the GC found that (</w:t>
      </w:r>
      <w:proofErr w:type="spellStart"/>
      <w:r w:rsidR="006C4DC6">
        <w:rPr>
          <w:rFonts w:ascii="Times New Roman" w:hAnsi="Times New Roman" w:cs="Times New Roman"/>
        </w:rPr>
        <w:t>i</w:t>
      </w:r>
      <w:proofErr w:type="spellEnd"/>
      <w:r w:rsidR="006C4DC6">
        <w:rPr>
          <w:rFonts w:ascii="Times New Roman" w:hAnsi="Times New Roman" w:cs="Times New Roman"/>
        </w:rPr>
        <w:t>) ECB did</w:t>
      </w:r>
      <w:r w:rsidR="00E45FD0" w:rsidRPr="00E45FD0">
        <w:rPr>
          <w:rFonts w:ascii="Times New Roman" w:hAnsi="Times New Roman" w:cs="Times New Roman"/>
        </w:rPr>
        <w:t xml:space="preserve"> consider alternative measures such as those aimed at increasing capital requirements or restricting dividend distribution under Article 16(2)(a) and (</w:t>
      </w:r>
      <w:proofErr w:type="spellStart"/>
      <w:r w:rsidR="00E45FD0" w:rsidRPr="00E45FD0">
        <w:rPr>
          <w:rFonts w:ascii="Times New Roman" w:hAnsi="Times New Roman" w:cs="Times New Roman"/>
        </w:rPr>
        <w:t>i</w:t>
      </w:r>
      <w:proofErr w:type="spellEnd"/>
      <w:r w:rsidR="00E45FD0" w:rsidRPr="00E45FD0">
        <w:rPr>
          <w:rFonts w:ascii="Times New Roman" w:hAnsi="Times New Roman" w:cs="Times New Roman"/>
        </w:rPr>
        <w:t>) respectively</w:t>
      </w:r>
      <w:r w:rsidR="00E94A90">
        <w:rPr>
          <w:rFonts w:ascii="Times New Roman" w:hAnsi="Times New Roman" w:cs="Times New Roman"/>
        </w:rPr>
        <w:t>, b</w:t>
      </w:r>
      <w:r w:rsidR="0091305A">
        <w:rPr>
          <w:rFonts w:ascii="Times New Roman" w:hAnsi="Times New Roman" w:cs="Times New Roman"/>
        </w:rPr>
        <w:t>ut</w:t>
      </w:r>
      <w:r w:rsidR="00E94A90">
        <w:rPr>
          <w:rFonts w:ascii="Times New Roman" w:hAnsi="Times New Roman" w:cs="Times New Roman"/>
        </w:rPr>
        <w:t xml:space="preserve"> (ii)</w:t>
      </w:r>
      <w:r w:rsidR="0091305A">
        <w:rPr>
          <w:rFonts w:ascii="Times New Roman" w:hAnsi="Times New Roman" w:cs="Times New Roman"/>
        </w:rPr>
        <w:t xml:space="preserve"> </w:t>
      </w:r>
      <w:r w:rsidR="00E648DC" w:rsidRPr="00E648DC">
        <w:rPr>
          <w:rFonts w:ascii="Times New Roman" w:hAnsi="Times New Roman" w:cs="Times New Roman"/>
        </w:rPr>
        <w:t xml:space="preserve">deemed them </w:t>
      </w:r>
      <w:r w:rsidR="00E648DC">
        <w:rPr>
          <w:rFonts w:ascii="Times New Roman" w:hAnsi="Times New Roman" w:cs="Times New Roman"/>
        </w:rPr>
        <w:t>inadequate</w:t>
      </w:r>
      <w:r w:rsidR="00E648DC" w:rsidRPr="00E648DC">
        <w:rPr>
          <w:rFonts w:ascii="Times New Roman" w:hAnsi="Times New Roman" w:cs="Times New Roman"/>
        </w:rPr>
        <w:t xml:space="preserve"> for ensuring the reporting of solely risk-bearing CET 1 capital</w:t>
      </w:r>
      <w:r w:rsidR="00305B18" w:rsidRPr="00305B18">
        <w:rPr>
          <w:rFonts w:ascii="Times New Roman" w:hAnsi="Times New Roman" w:cs="Times New Roman"/>
        </w:rPr>
        <w:t>.</w:t>
      </w:r>
      <w:r w:rsidR="00EA2F57">
        <w:rPr>
          <w:rStyle w:val="FootnoteReference"/>
          <w:rFonts w:ascii="Times New Roman" w:hAnsi="Times New Roman" w:cs="Times New Roman"/>
        </w:rPr>
        <w:footnoteReference w:id="17"/>
      </w:r>
      <w:r w:rsidR="00305B18" w:rsidRPr="00305B18">
        <w:rPr>
          <w:rFonts w:ascii="Times New Roman" w:hAnsi="Times New Roman" w:cs="Times New Roman"/>
        </w:rPr>
        <w:t xml:space="preserve"> </w:t>
      </w:r>
      <w:r w:rsidR="00C658B3" w:rsidRPr="00C658B3">
        <w:rPr>
          <w:rFonts w:ascii="Times New Roman" w:hAnsi="Times New Roman" w:cs="Times New Roman"/>
        </w:rPr>
        <w:t>Lastly, the classification of capital adequacy as 'medium-low risk' was deemed irrelevant in challenging the proportionality of the deduction measure, as it failed to address the identified risk of capital overstatement.</w:t>
      </w:r>
      <w:r w:rsidR="0013329F">
        <w:rPr>
          <w:rStyle w:val="FootnoteReference"/>
          <w:rFonts w:ascii="Times New Roman" w:hAnsi="Times New Roman" w:cs="Times New Roman"/>
        </w:rPr>
        <w:footnoteReference w:id="18"/>
      </w:r>
    </w:p>
    <w:p w14:paraId="76D82329" w14:textId="6C219071" w:rsidR="003D1A09" w:rsidRDefault="0050515A" w:rsidP="00841D66">
      <w:pPr>
        <w:jc w:val="both"/>
        <w:rPr>
          <w:rFonts w:ascii="Times New Roman" w:hAnsi="Times New Roman" w:cs="Times New Roman"/>
        </w:rPr>
      </w:pPr>
      <w:r w:rsidRPr="0050515A">
        <w:rPr>
          <w:rFonts w:ascii="Times New Roman" w:hAnsi="Times New Roman" w:cs="Times New Roman"/>
        </w:rPr>
        <w:t xml:space="preserve">This </w:t>
      </w:r>
      <w:r w:rsidR="00E8752C">
        <w:rPr>
          <w:rFonts w:ascii="Times New Roman" w:hAnsi="Times New Roman" w:cs="Times New Roman"/>
        </w:rPr>
        <w:t>decision</w:t>
      </w:r>
      <w:r w:rsidRPr="0050515A">
        <w:rPr>
          <w:rFonts w:ascii="Times New Roman" w:hAnsi="Times New Roman" w:cs="Times New Roman"/>
        </w:rPr>
        <w:t xml:space="preserve"> appears to present a discrepancy in outcomes compared to the 202</w:t>
      </w:r>
      <w:r w:rsidR="00F95EC8">
        <w:rPr>
          <w:rFonts w:ascii="Times New Roman" w:hAnsi="Times New Roman" w:cs="Times New Roman"/>
        </w:rPr>
        <w:t>0</w:t>
      </w:r>
      <w:r w:rsidRPr="0050515A">
        <w:rPr>
          <w:rFonts w:ascii="Times New Roman" w:hAnsi="Times New Roman" w:cs="Times New Roman"/>
        </w:rPr>
        <w:t xml:space="preserve"> decision PNB Paribas </w:t>
      </w:r>
      <w:r w:rsidR="00E8752C">
        <w:rPr>
          <w:rFonts w:ascii="Times New Roman" w:hAnsi="Times New Roman" w:cs="Times New Roman"/>
        </w:rPr>
        <w:t>v</w:t>
      </w:r>
      <w:r w:rsidRPr="0050515A">
        <w:rPr>
          <w:rFonts w:ascii="Times New Roman" w:hAnsi="Times New Roman" w:cs="Times New Roman"/>
        </w:rPr>
        <w:t xml:space="preserve">  ECB. However, this disparity is not attributable to conflicting judicial interpretations or interventions by the General Court, but rather to the factual distinctions between the cases. Both cases involve the deduction of IPC value from CET1 capital, alongside consideration of offsetting factors and application of the principle of proportionality by the </w:t>
      </w:r>
      <w:r w:rsidR="005741A2">
        <w:rPr>
          <w:rFonts w:ascii="Times New Roman" w:hAnsi="Times New Roman" w:cs="Times New Roman"/>
        </w:rPr>
        <w:t>GC</w:t>
      </w:r>
      <w:r w:rsidRPr="0050515A">
        <w:rPr>
          <w:rFonts w:ascii="Times New Roman" w:hAnsi="Times New Roman" w:cs="Times New Roman"/>
        </w:rPr>
        <w:t xml:space="preserve">. Nonetheless, </w:t>
      </w:r>
      <w:r w:rsidR="00D72031">
        <w:rPr>
          <w:rFonts w:ascii="Times New Roman" w:hAnsi="Times New Roman" w:cs="Times New Roman"/>
        </w:rPr>
        <w:t>in 202</w:t>
      </w:r>
      <w:r w:rsidR="00F95EC8">
        <w:rPr>
          <w:rFonts w:ascii="Times New Roman" w:hAnsi="Times New Roman" w:cs="Times New Roman"/>
        </w:rPr>
        <w:t>0</w:t>
      </w:r>
      <w:r w:rsidR="00D72031">
        <w:rPr>
          <w:rFonts w:ascii="Times New Roman" w:hAnsi="Times New Roman" w:cs="Times New Roman"/>
        </w:rPr>
        <w:t xml:space="preserve"> case, </w:t>
      </w:r>
      <w:r w:rsidRPr="0050515A">
        <w:rPr>
          <w:rFonts w:ascii="Times New Roman" w:hAnsi="Times New Roman" w:cs="Times New Roman"/>
        </w:rPr>
        <w:t>the ECB's failure to fulfill its obligation to conduct an individual supervisory review of the applicant, as required by Article 4(1)(f) and Article 16(1)(c) and (2)(d) of Regulation No 1024/2013, is evident. This deficiency stemmed from the ECB's narrow examination, which solely focused on identifying potential risks associated with IPC treatment as off-balance-sheet items, overlooking crucial aspects of the applicant's specific circumstances, such as its risk profile, liquidity level, and potential risk-mitigating factors</w:t>
      </w:r>
      <w:r w:rsidR="002B12C9">
        <w:rPr>
          <w:rFonts w:ascii="Times New Roman" w:hAnsi="Times New Roman" w:cs="Times New Roman"/>
        </w:rPr>
        <w:t>.</w:t>
      </w:r>
      <w:r w:rsidR="00A24B65">
        <w:rPr>
          <w:rStyle w:val="FootnoteReference"/>
          <w:rFonts w:ascii="Times New Roman" w:hAnsi="Times New Roman" w:cs="Times New Roman"/>
        </w:rPr>
        <w:footnoteReference w:id="19"/>
      </w:r>
      <w:r w:rsidR="00BD7FF7">
        <w:rPr>
          <w:rFonts w:ascii="Times New Roman" w:hAnsi="Times New Roman" w:cs="Times New Roman"/>
        </w:rPr>
        <w:t xml:space="preserve"> At that time, the risk is not identified </w:t>
      </w:r>
      <w:r w:rsidR="00290DF8">
        <w:rPr>
          <w:rFonts w:ascii="Times New Roman" w:hAnsi="Times New Roman" w:cs="Times New Roman"/>
        </w:rPr>
        <w:t>as in the 2024 case.</w:t>
      </w:r>
    </w:p>
    <w:p w14:paraId="60FD2CCA" w14:textId="77777777" w:rsidR="00C00238" w:rsidRDefault="00C00238" w:rsidP="00841D66">
      <w:pPr>
        <w:jc w:val="both"/>
        <w:rPr>
          <w:rFonts w:ascii="Times New Roman" w:hAnsi="Times New Roman" w:cs="Times New Roman"/>
        </w:rPr>
      </w:pPr>
    </w:p>
    <w:p w14:paraId="6493C292" w14:textId="79381059" w:rsidR="007A04B2" w:rsidRDefault="007A04B2" w:rsidP="00841D66">
      <w:pPr>
        <w:jc w:val="both"/>
        <w:rPr>
          <w:rFonts w:ascii="Times New Roman" w:hAnsi="Times New Roman" w:cs="Times New Roman"/>
        </w:rPr>
      </w:pPr>
      <w:r>
        <w:rPr>
          <w:rFonts w:ascii="Times New Roman" w:hAnsi="Times New Roman" w:cs="Times New Roman"/>
        </w:rPr>
        <w:br w:type="page"/>
      </w:r>
    </w:p>
    <w:p w14:paraId="7D0900C7" w14:textId="77777777" w:rsidR="00037B19" w:rsidRDefault="00037B19" w:rsidP="00841D66">
      <w:pPr>
        <w:jc w:val="both"/>
        <w:rPr>
          <w:rFonts w:ascii="Times New Roman" w:hAnsi="Times New Roman" w:cs="Times New Roman"/>
          <w:b/>
          <w:bCs/>
          <w:i/>
          <w:iCs/>
          <w:color w:val="0D0D0D"/>
          <w:shd w:val="clear" w:color="auto" w:fill="FFFFFF"/>
        </w:rPr>
      </w:pPr>
      <w:proofErr w:type="spellStart"/>
      <w:r w:rsidRPr="00037B19">
        <w:rPr>
          <w:rFonts w:ascii="Times New Roman" w:hAnsi="Times New Roman" w:cs="Times New Roman"/>
          <w:b/>
          <w:bCs/>
          <w:i/>
          <w:iCs/>
          <w:color w:val="0D0D0D"/>
          <w:shd w:val="clear" w:color="auto" w:fill="FFFFFF"/>
        </w:rPr>
        <w:t>Ukrselhosprom</w:t>
      </w:r>
      <w:proofErr w:type="spellEnd"/>
      <w:r w:rsidRPr="00037B19">
        <w:rPr>
          <w:rFonts w:ascii="Times New Roman" w:hAnsi="Times New Roman" w:cs="Times New Roman"/>
          <w:b/>
          <w:bCs/>
          <w:i/>
          <w:iCs/>
          <w:color w:val="0D0D0D"/>
          <w:shd w:val="clear" w:color="auto" w:fill="FFFFFF"/>
        </w:rPr>
        <w:t xml:space="preserve"> PCF and </w:t>
      </w:r>
      <w:proofErr w:type="spellStart"/>
      <w:r w:rsidRPr="00037B19">
        <w:rPr>
          <w:rFonts w:ascii="Times New Roman" w:hAnsi="Times New Roman" w:cs="Times New Roman"/>
          <w:b/>
          <w:bCs/>
          <w:i/>
          <w:iCs/>
          <w:color w:val="0D0D0D"/>
          <w:shd w:val="clear" w:color="auto" w:fill="FFFFFF"/>
        </w:rPr>
        <w:t>Versobank</w:t>
      </w:r>
      <w:proofErr w:type="spellEnd"/>
      <w:r w:rsidRPr="00037B19">
        <w:rPr>
          <w:rFonts w:ascii="Times New Roman" w:hAnsi="Times New Roman" w:cs="Times New Roman"/>
          <w:b/>
          <w:bCs/>
          <w:i/>
          <w:iCs/>
          <w:color w:val="0D0D0D"/>
          <w:shd w:val="clear" w:color="auto" w:fill="FFFFFF"/>
        </w:rPr>
        <w:t xml:space="preserve"> v ECB</w:t>
      </w:r>
    </w:p>
    <w:p w14:paraId="0CA85483" w14:textId="50476520" w:rsidR="00241924" w:rsidRDefault="00AA100E" w:rsidP="00841D66">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The dispute </w:t>
      </w:r>
      <w:r w:rsidR="006C38D1">
        <w:rPr>
          <w:rFonts w:ascii="Times New Roman" w:hAnsi="Times New Roman" w:cs="Times New Roman"/>
          <w:color w:val="0D0D0D"/>
          <w:shd w:val="clear" w:color="auto" w:fill="FFFFFF"/>
        </w:rPr>
        <w:t>wa</w:t>
      </w:r>
      <w:r>
        <w:rPr>
          <w:rFonts w:ascii="Times New Roman" w:hAnsi="Times New Roman" w:cs="Times New Roman"/>
          <w:color w:val="0D0D0D"/>
          <w:shd w:val="clear" w:color="auto" w:fill="FFFFFF"/>
        </w:rPr>
        <w:t>s between</w:t>
      </w:r>
      <w:r w:rsidRPr="00AA100E">
        <w:rPr>
          <w:rFonts w:ascii="Times New Roman" w:hAnsi="Times New Roman" w:cs="Times New Roman"/>
          <w:color w:val="0D0D0D"/>
          <w:shd w:val="clear" w:color="auto" w:fill="FFFFFF"/>
        </w:rPr>
        <w:t xml:space="preserve"> </w:t>
      </w:r>
      <w:proofErr w:type="spellStart"/>
      <w:r w:rsidRPr="00AA100E">
        <w:rPr>
          <w:rFonts w:ascii="Times New Roman" w:hAnsi="Times New Roman" w:cs="Times New Roman"/>
          <w:color w:val="0D0D0D"/>
          <w:shd w:val="clear" w:color="auto" w:fill="FFFFFF"/>
        </w:rPr>
        <w:t>Versobank</w:t>
      </w:r>
      <w:proofErr w:type="spellEnd"/>
      <w:r w:rsidRPr="00AA100E">
        <w:rPr>
          <w:rFonts w:ascii="Times New Roman" w:hAnsi="Times New Roman" w:cs="Times New Roman"/>
          <w:color w:val="0D0D0D"/>
          <w:shd w:val="clear" w:color="auto" w:fill="FFFFFF"/>
        </w:rPr>
        <w:t xml:space="preserve"> AS, a </w:t>
      </w:r>
      <w:r w:rsidR="00AA7BD8">
        <w:rPr>
          <w:rFonts w:ascii="Times New Roman" w:hAnsi="Times New Roman" w:cs="Times New Roman"/>
          <w:color w:val="0D0D0D"/>
          <w:shd w:val="clear" w:color="auto" w:fill="FFFFFF"/>
        </w:rPr>
        <w:t xml:space="preserve">less significant </w:t>
      </w:r>
      <w:r w:rsidRPr="00AA100E">
        <w:rPr>
          <w:rFonts w:ascii="Times New Roman" w:hAnsi="Times New Roman" w:cs="Times New Roman"/>
          <w:color w:val="0D0D0D"/>
          <w:shd w:val="clear" w:color="auto" w:fill="FFFFFF"/>
        </w:rPr>
        <w:t xml:space="preserve">institution in Estonia whose primary shareholder is </w:t>
      </w:r>
      <w:proofErr w:type="spellStart"/>
      <w:r w:rsidRPr="00AA100E">
        <w:rPr>
          <w:rFonts w:ascii="Times New Roman" w:hAnsi="Times New Roman" w:cs="Times New Roman"/>
          <w:color w:val="0D0D0D"/>
          <w:shd w:val="clear" w:color="auto" w:fill="FFFFFF"/>
        </w:rPr>
        <w:t>Ukrselhosprom</w:t>
      </w:r>
      <w:proofErr w:type="spellEnd"/>
      <w:r w:rsidRPr="00AA100E">
        <w:rPr>
          <w:rFonts w:ascii="Times New Roman" w:hAnsi="Times New Roman" w:cs="Times New Roman"/>
          <w:color w:val="0D0D0D"/>
          <w:shd w:val="clear" w:color="auto" w:fill="FFFFFF"/>
        </w:rPr>
        <w:t xml:space="preserve"> PCF LLC</w:t>
      </w:r>
      <w:r w:rsidR="00453443">
        <w:rPr>
          <w:rFonts w:ascii="Times New Roman" w:hAnsi="Times New Roman" w:cs="Times New Roman"/>
          <w:color w:val="0D0D0D"/>
          <w:shd w:val="clear" w:color="auto" w:fill="FFFFFF"/>
        </w:rPr>
        <w:t xml:space="preserve"> and t</w:t>
      </w:r>
      <w:r w:rsidRPr="00AA100E">
        <w:rPr>
          <w:rFonts w:ascii="Times New Roman" w:hAnsi="Times New Roman" w:cs="Times New Roman"/>
          <w:color w:val="0D0D0D"/>
          <w:shd w:val="clear" w:color="auto" w:fill="FFFFFF"/>
        </w:rPr>
        <w:t>he ECB withdr</w:t>
      </w:r>
      <w:r w:rsidR="00453443">
        <w:rPr>
          <w:rFonts w:ascii="Times New Roman" w:hAnsi="Times New Roman" w:cs="Times New Roman"/>
          <w:color w:val="0D0D0D"/>
          <w:shd w:val="clear" w:color="auto" w:fill="FFFFFF"/>
        </w:rPr>
        <w:t>awing the former’</w:t>
      </w:r>
      <w:r w:rsidRPr="00AA100E">
        <w:rPr>
          <w:rFonts w:ascii="Times New Roman" w:hAnsi="Times New Roman" w:cs="Times New Roman"/>
          <w:color w:val="0D0D0D"/>
          <w:shd w:val="clear" w:color="auto" w:fill="FFFFFF"/>
        </w:rPr>
        <w:t xml:space="preserve">s authorization based on persistent breaches of anti-money laundering and counter-terrorism financing (AML/CFT) laws. Under Regulation No 1024/2013, the </w:t>
      </w:r>
      <w:proofErr w:type="spellStart"/>
      <w:r w:rsidRPr="00AA100E">
        <w:rPr>
          <w:rFonts w:ascii="Times New Roman" w:hAnsi="Times New Roman" w:cs="Times New Roman"/>
          <w:color w:val="0D0D0D"/>
          <w:shd w:val="clear" w:color="auto" w:fill="FFFFFF"/>
        </w:rPr>
        <w:t>Finantsinspektsioon</w:t>
      </w:r>
      <w:proofErr w:type="spellEnd"/>
      <w:r w:rsidRPr="00AA100E">
        <w:rPr>
          <w:rFonts w:ascii="Times New Roman" w:hAnsi="Times New Roman" w:cs="Times New Roman"/>
          <w:color w:val="0D0D0D"/>
          <w:shd w:val="clear" w:color="auto" w:fill="FFFFFF"/>
        </w:rPr>
        <w:t xml:space="preserve"> (FSA) identified these breaches during multiple inspections from 2015 onward. Despite a precept issued in 2016, </w:t>
      </w:r>
      <w:proofErr w:type="spellStart"/>
      <w:r w:rsidRPr="00AA100E">
        <w:rPr>
          <w:rFonts w:ascii="Times New Roman" w:hAnsi="Times New Roman" w:cs="Times New Roman"/>
          <w:color w:val="0D0D0D"/>
          <w:shd w:val="clear" w:color="auto" w:fill="FFFFFF"/>
        </w:rPr>
        <w:t>Versobank</w:t>
      </w:r>
      <w:proofErr w:type="spellEnd"/>
      <w:r w:rsidRPr="00AA100E">
        <w:rPr>
          <w:rFonts w:ascii="Times New Roman" w:hAnsi="Times New Roman" w:cs="Times New Roman"/>
          <w:color w:val="0D0D0D"/>
          <w:shd w:val="clear" w:color="auto" w:fill="FFFFFF"/>
        </w:rPr>
        <w:t xml:space="preserve"> failed to rectify the issues. Consequently, the ECB, following the FSA's proposal, determined that the withdrawal was appropriate, necessary, and proportionate due to the severity and continuity of the violations, and the ineffectiveness of less onerous measures.</w:t>
      </w:r>
      <w:r w:rsidR="00742824">
        <w:rPr>
          <w:rFonts w:ascii="Times New Roman" w:hAnsi="Times New Roman" w:cs="Times New Roman"/>
          <w:color w:val="0D0D0D"/>
          <w:shd w:val="clear" w:color="auto" w:fill="FFFFFF"/>
        </w:rPr>
        <w:t xml:space="preserve"> </w:t>
      </w:r>
    </w:p>
    <w:p w14:paraId="0AD8AC41" w14:textId="59529823" w:rsidR="00AA100E" w:rsidRPr="00AA100E" w:rsidRDefault="00EB2D1D" w:rsidP="00841D66">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Six out of twenty five pleas alleged by the applicants </w:t>
      </w:r>
      <w:r w:rsidR="0074680E">
        <w:rPr>
          <w:rFonts w:ascii="Times New Roman" w:hAnsi="Times New Roman" w:cs="Times New Roman"/>
          <w:color w:val="0D0D0D"/>
          <w:shd w:val="clear" w:color="auto" w:fill="FFFFFF"/>
        </w:rPr>
        <w:t>related to the breach of principle of proportionality</w:t>
      </w:r>
      <w:r w:rsidR="006F7ACD">
        <w:rPr>
          <w:rFonts w:ascii="Times New Roman" w:hAnsi="Times New Roman" w:cs="Times New Roman"/>
          <w:color w:val="0D0D0D"/>
          <w:shd w:val="clear" w:color="auto" w:fill="FFFFFF"/>
        </w:rPr>
        <w:t xml:space="preserve">. </w:t>
      </w:r>
      <w:r w:rsidR="00241924">
        <w:rPr>
          <w:rFonts w:ascii="Times New Roman" w:hAnsi="Times New Roman" w:cs="Times New Roman"/>
          <w:color w:val="0D0D0D"/>
          <w:shd w:val="clear" w:color="auto" w:fill="FFFFFF"/>
        </w:rPr>
        <w:t>The applicants contended that (</w:t>
      </w:r>
      <w:proofErr w:type="spellStart"/>
      <w:r w:rsidR="00241924">
        <w:rPr>
          <w:rFonts w:ascii="Times New Roman" w:hAnsi="Times New Roman" w:cs="Times New Roman"/>
          <w:color w:val="0D0D0D"/>
          <w:shd w:val="clear" w:color="auto" w:fill="FFFFFF"/>
        </w:rPr>
        <w:t>i</w:t>
      </w:r>
      <w:proofErr w:type="spellEnd"/>
      <w:r w:rsidR="00241924">
        <w:rPr>
          <w:rFonts w:ascii="Times New Roman" w:hAnsi="Times New Roman" w:cs="Times New Roman"/>
          <w:color w:val="0D0D0D"/>
          <w:shd w:val="clear" w:color="auto" w:fill="FFFFFF"/>
        </w:rPr>
        <w:t>) ECB</w:t>
      </w:r>
      <w:r w:rsidR="00FA7E5E">
        <w:rPr>
          <w:rFonts w:ascii="Times New Roman" w:hAnsi="Times New Roman" w:cs="Times New Roman"/>
          <w:color w:val="0D0D0D"/>
          <w:shd w:val="clear" w:color="auto" w:fill="FFFFFF"/>
        </w:rPr>
        <w:t>’s</w:t>
      </w:r>
      <w:r w:rsidR="006F7ACD">
        <w:rPr>
          <w:rFonts w:ascii="Times New Roman" w:hAnsi="Times New Roman" w:cs="Times New Roman"/>
          <w:color w:val="0D0D0D"/>
          <w:shd w:val="clear" w:color="auto" w:fill="FFFFFF"/>
        </w:rPr>
        <w:t xml:space="preserve"> </w:t>
      </w:r>
      <w:r w:rsidR="00FC4A40" w:rsidRPr="00FC4A40">
        <w:rPr>
          <w:rFonts w:ascii="Times New Roman" w:hAnsi="Times New Roman" w:cs="Times New Roman"/>
          <w:color w:val="0D0D0D"/>
          <w:shd w:val="clear" w:color="auto" w:fill="FFFFFF"/>
        </w:rPr>
        <w:t>withdrawal of authorization</w:t>
      </w:r>
      <w:r w:rsidR="00FC4A40">
        <w:rPr>
          <w:rFonts w:ascii="Times New Roman" w:hAnsi="Times New Roman" w:cs="Times New Roman"/>
          <w:color w:val="0D0D0D"/>
          <w:shd w:val="clear" w:color="auto" w:fill="FFFFFF"/>
        </w:rPr>
        <w:t xml:space="preserve"> </w:t>
      </w:r>
      <w:r w:rsidR="00FC4A40" w:rsidRPr="00FC4A40">
        <w:rPr>
          <w:rFonts w:ascii="Times New Roman" w:hAnsi="Times New Roman" w:cs="Times New Roman"/>
          <w:color w:val="0D0D0D"/>
          <w:shd w:val="clear" w:color="auto" w:fill="FFFFFF"/>
        </w:rPr>
        <w:t>imposed an excessively severe measure</w:t>
      </w:r>
      <w:r w:rsidR="00CA7FA9">
        <w:rPr>
          <w:rFonts w:ascii="Times New Roman" w:hAnsi="Times New Roman" w:cs="Times New Roman"/>
          <w:color w:val="0D0D0D"/>
          <w:shd w:val="clear" w:color="auto" w:fill="FFFFFF"/>
        </w:rPr>
        <w:t xml:space="preserve"> </w:t>
      </w:r>
      <w:r w:rsidR="00CA7FA9" w:rsidRPr="00CA7FA9">
        <w:rPr>
          <w:rFonts w:ascii="Times New Roman" w:hAnsi="Times New Roman" w:cs="Times New Roman"/>
          <w:color w:val="0D0D0D"/>
          <w:shd w:val="clear" w:color="auto" w:fill="FFFFFF"/>
        </w:rPr>
        <w:t>for the regulatory non-compliance at issue</w:t>
      </w:r>
      <w:r w:rsidR="00493811">
        <w:rPr>
          <w:rFonts w:ascii="Times New Roman" w:hAnsi="Times New Roman" w:cs="Times New Roman"/>
          <w:color w:val="0D0D0D"/>
          <w:shd w:val="clear" w:color="auto" w:fill="FFFFFF"/>
        </w:rPr>
        <w:t xml:space="preserve"> under the objective of legal</w:t>
      </w:r>
      <w:r w:rsidR="003B4865">
        <w:rPr>
          <w:rFonts w:ascii="Times New Roman" w:hAnsi="Times New Roman" w:cs="Times New Roman"/>
          <w:color w:val="0D0D0D"/>
          <w:shd w:val="clear" w:color="auto" w:fill="FFFFFF"/>
        </w:rPr>
        <w:t>ity restoration</w:t>
      </w:r>
      <w:r w:rsidR="00FC4A40">
        <w:rPr>
          <w:rFonts w:ascii="Times New Roman" w:hAnsi="Times New Roman" w:cs="Times New Roman"/>
          <w:color w:val="0D0D0D"/>
          <w:shd w:val="clear" w:color="auto" w:fill="FFFFFF"/>
        </w:rPr>
        <w:t xml:space="preserve">, </w:t>
      </w:r>
      <w:r w:rsidR="00FA7E5E">
        <w:rPr>
          <w:rFonts w:ascii="Times New Roman" w:hAnsi="Times New Roman" w:cs="Times New Roman"/>
          <w:color w:val="0D0D0D"/>
          <w:shd w:val="clear" w:color="auto" w:fill="FFFFFF"/>
        </w:rPr>
        <w:t xml:space="preserve">(ii) </w:t>
      </w:r>
      <w:r w:rsidR="004854A6" w:rsidRPr="004854A6">
        <w:rPr>
          <w:rFonts w:ascii="Times New Roman" w:hAnsi="Times New Roman" w:cs="Times New Roman"/>
          <w:color w:val="0D0D0D"/>
          <w:shd w:val="clear" w:color="auto" w:fill="FFFFFF"/>
        </w:rPr>
        <w:t>ECB misinterpreted the necessity criterion for the measure</w:t>
      </w:r>
      <w:r w:rsidR="006A1454">
        <w:rPr>
          <w:rFonts w:ascii="Times New Roman" w:hAnsi="Times New Roman" w:cs="Times New Roman"/>
          <w:color w:val="0D0D0D"/>
          <w:shd w:val="clear" w:color="auto" w:fill="FFFFFF"/>
        </w:rPr>
        <w:t xml:space="preserve">, and (iii) </w:t>
      </w:r>
      <w:r w:rsidR="006A1454" w:rsidRPr="006A1454">
        <w:rPr>
          <w:rFonts w:ascii="Times New Roman" w:hAnsi="Times New Roman" w:cs="Times New Roman"/>
          <w:color w:val="0D0D0D"/>
          <w:shd w:val="clear" w:color="auto" w:fill="FFFFFF"/>
        </w:rPr>
        <w:t>ECB's examination of the reasonableness of the measure</w:t>
      </w:r>
      <w:r w:rsidR="006A1454">
        <w:rPr>
          <w:rFonts w:ascii="Times New Roman" w:hAnsi="Times New Roman" w:cs="Times New Roman"/>
          <w:color w:val="0D0D0D"/>
          <w:shd w:val="clear" w:color="auto" w:fill="FFFFFF"/>
        </w:rPr>
        <w:t xml:space="preserve"> </w:t>
      </w:r>
      <w:r w:rsidR="006A1454" w:rsidRPr="006A1454">
        <w:rPr>
          <w:rFonts w:ascii="Times New Roman" w:hAnsi="Times New Roman" w:cs="Times New Roman"/>
          <w:color w:val="0D0D0D"/>
          <w:shd w:val="clear" w:color="auto" w:fill="FFFFFF"/>
        </w:rPr>
        <w:t xml:space="preserve">was too abstract and failed to compare a specific regulatory objective </w:t>
      </w:r>
      <w:r w:rsidR="00157729">
        <w:rPr>
          <w:rFonts w:ascii="Times New Roman" w:hAnsi="Times New Roman" w:cs="Times New Roman"/>
          <w:color w:val="0D0D0D"/>
          <w:shd w:val="clear" w:color="auto" w:fill="FFFFFF"/>
        </w:rPr>
        <w:t xml:space="preserve">(or public interest) </w:t>
      </w:r>
      <w:r w:rsidR="006A1454" w:rsidRPr="006A1454">
        <w:rPr>
          <w:rFonts w:ascii="Times New Roman" w:hAnsi="Times New Roman" w:cs="Times New Roman"/>
          <w:color w:val="0D0D0D"/>
          <w:shd w:val="clear" w:color="auto" w:fill="FFFFFF"/>
        </w:rPr>
        <w:t>with the private interests of the bank</w:t>
      </w:r>
      <w:r w:rsidR="004854A6" w:rsidRPr="004854A6">
        <w:rPr>
          <w:rFonts w:ascii="Times New Roman" w:hAnsi="Times New Roman" w:cs="Times New Roman"/>
          <w:color w:val="0D0D0D"/>
          <w:shd w:val="clear" w:color="auto" w:fill="FFFFFF"/>
        </w:rPr>
        <w:t xml:space="preserve"> </w:t>
      </w:r>
      <w:r w:rsidR="00FC4A40">
        <w:rPr>
          <w:rFonts w:ascii="Times New Roman" w:hAnsi="Times New Roman" w:cs="Times New Roman"/>
          <w:color w:val="0D0D0D"/>
          <w:shd w:val="clear" w:color="auto" w:fill="FFFFFF"/>
        </w:rPr>
        <w:t>which was</w:t>
      </w:r>
      <w:r w:rsidR="00051738">
        <w:rPr>
          <w:rFonts w:ascii="Times New Roman" w:hAnsi="Times New Roman" w:cs="Times New Roman"/>
          <w:color w:val="0D0D0D"/>
          <w:shd w:val="clear" w:color="auto" w:fill="FFFFFF"/>
        </w:rPr>
        <w:t xml:space="preserve"> disproportionate</w:t>
      </w:r>
      <w:r w:rsidR="00FA7E5E">
        <w:rPr>
          <w:rFonts w:ascii="Times New Roman" w:hAnsi="Times New Roman" w:cs="Times New Roman"/>
          <w:color w:val="0D0D0D"/>
          <w:shd w:val="clear" w:color="auto" w:fill="FFFFFF"/>
        </w:rPr>
        <w:t xml:space="preserve">. </w:t>
      </w:r>
      <w:r w:rsidR="00D544C0">
        <w:rPr>
          <w:rFonts w:ascii="Times New Roman" w:hAnsi="Times New Roman" w:cs="Times New Roman"/>
          <w:color w:val="0D0D0D"/>
          <w:shd w:val="clear" w:color="auto" w:fill="FFFFFF"/>
        </w:rPr>
        <w:t xml:space="preserve">The applicants raised some alternative measures should have been done </w:t>
      </w:r>
      <w:r w:rsidR="00184879">
        <w:rPr>
          <w:rFonts w:ascii="Times New Roman" w:hAnsi="Times New Roman" w:cs="Times New Roman"/>
          <w:color w:val="0D0D0D"/>
          <w:shd w:val="clear" w:color="auto" w:fill="FFFFFF"/>
        </w:rPr>
        <w:t xml:space="preserve">for less onerous effect, including </w:t>
      </w:r>
      <w:r w:rsidR="00365BE6" w:rsidRPr="00365BE6">
        <w:rPr>
          <w:rFonts w:ascii="Times New Roman" w:hAnsi="Times New Roman" w:cs="Times New Roman"/>
          <w:color w:val="0D0D0D"/>
          <w:shd w:val="clear" w:color="auto" w:fill="FFFFFF"/>
        </w:rPr>
        <w:t>change in the board of directors and suspension of the voting rights of shareholders</w:t>
      </w:r>
      <w:r w:rsidR="00365BE6">
        <w:rPr>
          <w:rFonts w:ascii="Times New Roman" w:hAnsi="Times New Roman" w:cs="Times New Roman"/>
          <w:color w:val="0D0D0D"/>
          <w:shd w:val="clear" w:color="auto" w:fill="FFFFFF"/>
        </w:rPr>
        <w:t xml:space="preserve">, </w:t>
      </w:r>
      <w:r w:rsidR="007A63B7">
        <w:rPr>
          <w:rFonts w:ascii="Times New Roman" w:hAnsi="Times New Roman" w:cs="Times New Roman"/>
          <w:color w:val="0D0D0D"/>
          <w:shd w:val="clear" w:color="auto" w:fill="FFFFFF"/>
        </w:rPr>
        <w:t xml:space="preserve">imposition of </w:t>
      </w:r>
      <w:r w:rsidR="00444353">
        <w:rPr>
          <w:rFonts w:ascii="Times New Roman" w:hAnsi="Times New Roman" w:cs="Times New Roman"/>
          <w:color w:val="0D0D0D"/>
          <w:shd w:val="clear" w:color="auto" w:fill="FFFFFF"/>
        </w:rPr>
        <w:t xml:space="preserve">penalties or fines, </w:t>
      </w:r>
      <w:r w:rsidR="005D3584">
        <w:rPr>
          <w:rFonts w:ascii="Times New Roman" w:hAnsi="Times New Roman" w:cs="Times New Roman"/>
          <w:color w:val="0D0D0D"/>
          <w:shd w:val="clear" w:color="auto" w:fill="FFFFFF"/>
        </w:rPr>
        <w:t>cessation</w:t>
      </w:r>
      <w:r w:rsidR="00365BE6">
        <w:rPr>
          <w:rFonts w:ascii="Times New Roman" w:hAnsi="Times New Roman" w:cs="Times New Roman"/>
          <w:color w:val="0D0D0D"/>
          <w:shd w:val="clear" w:color="auto" w:fill="FFFFFF"/>
        </w:rPr>
        <w:t xml:space="preserve"> only</w:t>
      </w:r>
      <w:r w:rsidR="00444353">
        <w:rPr>
          <w:rFonts w:ascii="Times New Roman" w:hAnsi="Times New Roman" w:cs="Times New Roman"/>
          <w:color w:val="0D0D0D"/>
          <w:shd w:val="clear" w:color="auto" w:fill="FFFFFF"/>
        </w:rPr>
        <w:t xml:space="preserve"> unlawfully</w:t>
      </w:r>
      <w:r w:rsidR="00365BE6">
        <w:rPr>
          <w:rFonts w:ascii="Times New Roman" w:hAnsi="Times New Roman" w:cs="Times New Roman"/>
          <w:color w:val="0D0D0D"/>
          <w:shd w:val="clear" w:color="auto" w:fill="FFFFFF"/>
        </w:rPr>
        <w:t xml:space="preserve"> high</w:t>
      </w:r>
      <w:r w:rsidR="00444353">
        <w:rPr>
          <w:rFonts w:ascii="Times New Roman" w:hAnsi="Times New Roman" w:cs="Times New Roman"/>
          <w:color w:val="0D0D0D"/>
          <w:shd w:val="clear" w:color="auto" w:fill="FFFFFF"/>
        </w:rPr>
        <w:t>-risk activities</w:t>
      </w:r>
      <w:r w:rsidR="00A756F1">
        <w:rPr>
          <w:rFonts w:ascii="Times New Roman" w:hAnsi="Times New Roman" w:cs="Times New Roman"/>
          <w:color w:val="0D0D0D"/>
          <w:shd w:val="clear" w:color="auto" w:fill="FFFFFF"/>
        </w:rPr>
        <w:t>, self-liquidation or sale to other investors.</w:t>
      </w:r>
    </w:p>
    <w:p w14:paraId="0C31BD1E" w14:textId="729BCBEA" w:rsidR="006A79A1" w:rsidRDefault="00DB6F90" w:rsidP="00841D66">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After </w:t>
      </w:r>
      <w:r w:rsidRPr="00A47B5C">
        <w:rPr>
          <w:rFonts w:ascii="Times New Roman" w:hAnsi="Times New Roman" w:cs="Times New Roman"/>
          <w:color w:val="0D0D0D"/>
          <w:shd w:val="clear" w:color="auto" w:fill="FFFFFF"/>
        </w:rPr>
        <w:t>reiterat</w:t>
      </w:r>
      <w:r>
        <w:rPr>
          <w:rFonts w:ascii="Times New Roman" w:hAnsi="Times New Roman" w:cs="Times New Roman"/>
          <w:color w:val="0D0D0D"/>
          <w:shd w:val="clear" w:color="auto" w:fill="FFFFFF"/>
        </w:rPr>
        <w:t>ing</w:t>
      </w:r>
      <w:r w:rsidRPr="00A47B5C">
        <w:rPr>
          <w:rFonts w:ascii="Times New Roman" w:hAnsi="Times New Roman" w:cs="Times New Roman"/>
          <w:color w:val="0D0D0D"/>
          <w:shd w:val="clear" w:color="auto" w:fill="FFFFFF"/>
        </w:rPr>
        <w:t xml:space="preserve"> </w:t>
      </w:r>
      <w:r>
        <w:rPr>
          <w:rFonts w:ascii="Times New Roman" w:hAnsi="Times New Roman" w:cs="Times New Roman"/>
          <w:color w:val="0D0D0D"/>
          <w:shd w:val="clear" w:color="auto" w:fill="FFFFFF"/>
        </w:rPr>
        <w:t>the three-limbs test of proportionality</w:t>
      </w:r>
      <w:r>
        <w:rPr>
          <w:rStyle w:val="FootnoteReference"/>
          <w:rFonts w:ascii="Times New Roman" w:hAnsi="Times New Roman" w:cs="Times New Roman"/>
          <w:color w:val="0D0D0D"/>
          <w:shd w:val="clear" w:color="auto" w:fill="FFFFFF"/>
        </w:rPr>
        <w:footnoteReference w:id="20"/>
      </w:r>
      <w:r>
        <w:rPr>
          <w:rFonts w:ascii="Times New Roman" w:hAnsi="Times New Roman" w:cs="Times New Roman"/>
          <w:color w:val="0D0D0D"/>
          <w:shd w:val="clear" w:color="auto" w:fill="FFFFFF"/>
        </w:rPr>
        <w:t>, t</w:t>
      </w:r>
      <w:r w:rsidR="00D25D40">
        <w:rPr>
          <w:rFonts w:ascii="Times New Roman" w:hAnsi="Times New Roman" w:cs="Times New Roman"/>
          <w:color w:val="0D0D0D"/>
          <w:shd w:val="clear" w:color="auto" w:fill="FFFFFF"/>
        </w:rPr>
        <w:t>he GC rejected all</w:t>
      </w:r>
      <w:r w:rsidR="003543C4">
        <w:rPr>
          <w:rFonts w:ascii="Times New Roman" w:hAnsi="Times New Roman" w:cs="Times New Roman"/>
          <w:color w:val="0D0D0D"/>
          <w:shd w:val="clear" w:color="auto" w:fill="FFFFFF"/>
        </w:rPr>
        <w:t xml:space="preserve"> of these pleas</w:t>
      </w:r>
      <w:r w:rsidR="00C85AB9">
        <w:rPr>
          <w:rFonts w:ascii="Times New Roman" w:hAnsi="Times New Roman" w:cs="Times New Roman"/>
          <w:color w:val="0D0D0D"/>
          <w:shd w:val="clear" w:color="auto" w:fill="FFFFFF"/>
        </w:rPr>
        <w:t xml:space="preserve">. </w:t>
      </w:r>
      <w:r w:rsidR="00FC1C12">
        <w:rPr>
          <w:rFonts w:ascii="Times New Roman" w:hAnsi="Times New Roman" w:cs="Times New Roman"/>
          <w:color w:val="0D0D0D"/>
          <w:shd w:val="clear" w:color="auto" w:fill="FFFFFF"/>
        </w:rPr>
        <w:t xml:space="preserve">The GC </w:t>
      </w:r>
      <w:r w:rsidR="00DF479B">
        <w:rPr>
          <w:rFonts w:ascii="Times New Roman" w:hAnsi="Times New Roman" w:cs="Times New Roman"/>
          <w:color w:val="0D0D0D"/>
          <w:shd w:val="clear" w:color="auto" w:fill="FFFFFF"/>
        </w:rPr>
        <w:t xml:space="preserve">concluded that the public interest, particularly restoring the public confidence in </w:t>
      </w:r>
      <w:r w:rsidR="006A79A1" w:rsidRPr="006A79A1">
        <w:rPr>
          <w:rFonts w:ascii="Times New Roman" w:hAnsi="Times New Roman" w:cs="Times New Roman"/>
          <w:color w:val="0D0D0D"/>
          <w:shd w:val="clear" w:color="auto" w:fill="FFFFFF"/>
        </w:rPr>
        <w:t>Estonian and European financial markets</w:t>
      </w:r>
      <w:r w:rsidR="006A79A1">
        <w:rPr>
          <w:rFonts w:ascii="Times New Roman" w:hAnsi="Times New Roman" w:cs="Times New Roman"/>
          <w:color w:val="0D0D0D"/>
          <w:shd w:val="clear" w:color="auto" w:fill="FFFFFF"/>
        </w:rPr>
        <w:t xml:space="preserve"> as soon as possible, overweight the private interest of the applicants</w:t>
      </w:r>
      <w:r w:rsidR="00573DAF">
        <w:rPr>
          <w:rFonts w:ascii="Times New Roman" w:hAnsi="Times New Roman" w:cs="Times New Roman"/>
          <w:color w:val="0D0D0D"/>
          <w:shd w:val="clear" w:color="auto" w:fill="FFFFFF"/>
        </w:rPr>
        <w:t xml:space="preserve"> considering </w:t>
      </w:r>
      <w:r w:rsidR="0011325A">
        <w:rPr>
          <w:rFonts w:ascii="Times New Roman" w:hAnsi="Times New Roman" w:cs="Times New Roman"/>
          <w:color w:val="0D0D0D"/>
          <w:shd w:val="clear" w:color="auto" w:fill="FFFFFF"/>
        </w:rPr>
        <w:t xml:space="preserve">their </w:t>
      </w:r>
      <w:r w:rsidR="00573DAF">
        <w:rPr>
          <w:rFonts w:ascii="Times New Roman" w:hAnsi="Times New Roman" w:cs="Times New Roman"/>
          <w:color w:val="0D0D0D"/>
          <w:shd w:val="clear" w:color="auto" w:fill="FFFFFF"/>
        </w:rPr>
        <w:t xml:space="preserve">severe </w:t>
      </w:r>
      <w:r w:rsidR="0011325A">
        <w:rPr>
          <w:rFonts w:ascii="Times New Roman" w:hAnsi="Times New Roman" w:cs="Times New Roman"/>
          <w:color w:val="0D0D0D"/>
          <w:shd w:val="clear" w:color="auto" w:fill="FFFFFF"/>
        </w:rPr>
        <w:t>breaches</w:t>
      </w:r>
      <w:r w:rsidR="009A3DAF">
        <w:rPr>
          <w:rFonts w:ascii="Times New Roman" w:hAnsi="Times New Roman" w:cs="Times New Roman"/>
          <w:color w:val="0D0D0D"/>
          <w:shd w:val="clear" w:color="auto" w:fill="FFFFFF"/>
        </w:rPr>
        <w:t>.</w:t>
      </w:r>
      <w:r w:rsidR="006A6C6A">
        <w:rPr>
          <w:rStyle w:val="FootnoteReference"/>
          <w:rFonts w:ascii="Times New Roman" w:hAnsi="Times New Roman" w:cs="Times New Roman"/>
          <w:color w:val="0D0D0D"/>
          <w:shd w:val="clear" w:color="auto" w:fill="FFFFFF"/>
        </w:rPr>
        <w:footnoteReference w:id="21"/>
      </w:r>
      <w:r w:rsidR="009A3DAF">
        <w:rPr>
          <w:rFonts w:ascii="Times New Roman" w:hAnsi="Times New Roman" w:cs="Times New Roman"/>
          <w:color w:val="0D0D0D"/>
          <w:shd w:val="clear" w:color="auto" w:fill="FFFFFF"/>
        </w:rPr>
        <w:t xml:space="preserve"> </w:t>
      </w:r>
      <w:r w:rsidR="009A3DAF" w:rsidRPr="00C97757">
        <w:rPr>
          <w:rFonts w:ascii="Times New Roman" w:hAnsi="Times New Roman" w:cs="Times New Roman"/>
          <w:color w:val="0D0D0D"/>
          <w:shd w:val="clear" w:color="auto" w:fill="FFFFFF"/>
        </w:rPr>
        <w:t xml:space="preserve">This assessment considered the </w:t>
      </w:r>
      <w:r w:rsidR="009A3DAF">
        <w:rPr>
          <w:rFonts w:ascii="Times New Roman" w:hAnsi="Times New Roman" w:cs="Times New Roman"/>
          <w:color w:val="0D0D0D"/>
          <w:shd w:val="clear" w:color="auto" w:fill="FFFFFF"/>
        </w:rPr>
        <w:t xml:space="preserve">number of breaches, the </w:t>
      </w:r>
      <w:r w:rsidR="009A3DAF" w:rsidRPr="00C97757">
        <w:rPr>
          <w:rFonts w:ascii="Times New Roman" w:hAnsi="Times New Roman" w:cs="Times New Roman"/>
          <w:color w:val="0D0D0D"/>
          <w:shd w:val="clear" w:color="auto" w:fill="FFFFFF"/>
        </w:rPr>
        <w:t>gravity</w:t>
      </w:r>
      <w:r w:rsidR="009A3DAF">
        <w:rPr>
          <w:rFonts w:ascii="Times New Roman" w:hAnsi="Times New Roman" w:cs="Times New Roman"/>
          <w:color w:val="0D0D0D"/>
          <w:shd w:val="clear" w:color="auto" w:fill="FFFFFF"/>
        </w:rPr>
        <w:t xml:space="preserve"> and duration</w:t>
      </w:r>
      <w:r w:rsidR="009A3DAF" w:rsidRPr="00C97757">
        <w:rPr>
          <w:rFonts w:ascii="Times New Roman" w:hAnsi="Times New Roman" w:cs="Times New Roman"/>
          <w:color w:val="0D0D0D"/>
          <w:shd w:val="clear" w:color="auto" w:fill="FFFFFF"/>
        </w:rPr>
        <w:t xml:space="preserve"> of the applicants' conduct</w:t>
      </w:r>
      <w:r w:rsidR="009A3DAF">
        <w:rPr>
          <w:rFonts w:ascii="Times New Roman" w:hAnsi="Times New Roman" w:cs="Times New Roman"/>
          <w:color w:val="0D0D0D"/>
          <w:shd w:val="clear" w:color="auto" w:fill="FFFFFF"/>
        </w:rPr>
        <w:t xml:space="preserve"> and </w:t>
      </w:r>
      <w:r w:rsidR="009A3DAF" w:rsidRPr="00CF23FC">
        <w:rPr>
          <w:rFonts w:ascii="Times New Roman" w:hAnsi="Times New Roman" w:cs="Times New Roman"/>
          <w:color w:val="0D0D0D"/>
          <w:shd w:val="clear" w:color="auto" w:fill="FFFFFF"/>
        </w:rPr>
        <w:t>the opportunities afforded to rectify such unlawful behavior.</w:t>
      </w:r>
      <w:r w:rsidR="006A6C6A">
        <w:rPr>
          <w:rStyle w:val="FootnoteReference"/>
          <w:rFonts w:ascii="Times New Roman" w:hAnsi="Times New Roman" w:cs="Times New Roman"/>
          <w:color w:val="0D0D0D"/>
          <w:shd w:val="clear" w:color="auto" w:fill="FFFFFF"/>
        </w:rPr>
        <w:footnoteReference w:id="22"/>
      </w:r>
      <w:r w:rsidR="00A52F9B">
        <w:rPr>
          <w:rFonts w:ascii="Times New Roman" w:hAnsi="Times New Roman" w:cs="Times New Roman"/>
          <w:color w:val="0D0D0D"/>
          <w:shd w:val="clear" w:color="auto" w:fill="FFFFFF"/>
        </w:rPr>
        <w:t xml:space="preserve"> </w:t>
      </w:r>
    </w:p>
    <w:p w14:paraId="457CA48C" w14:textId="5B8A357D" w:rsidR="008C48FB" w:rsidRDefault="00A241CB" w:rsidP="00841D66">
      <w:pPr>
        <w:jc w:val="both"/>
        <w:rPr>
          <w:rFonts w:ascii="Times New Roman" w:hAnsi="Times New Roman" w:cs="Times New Roman"/>
          <w:color w:val="0D0D0D"/>
          <w:shd w:val="clear" w:color="auto" w:fill="FFFFFF"/>
        </w:rPr>
      </w:pPr>
      <w:r w:rsidRPr="00A241CB">
        <w:rPr>
          <w:rFonts w:ascii="Times New Roman" w:hAnsi="Times New Roman" w:cs="Times New Roman"/>
          <w:color w:val="0D0D0D"/>
          <w:shd w:val="clear" w:color="auto" w:fill="FFFFFF"/>
        </w:rPr>
        <w:t xml:space="preserve">The </w:t>
      </w:r>
      <w:r>
        <w:rPr>
          <w:rFonts w:ascii="Times New Roman" w:hAnsi="Times New Roman" w:cs="Times New Roman"/>
          <w:color w:val="0D0D0D"/>
          <w:shd w:val="clear" w:color="auto" w:fill="FFFFFF"/>
        </w:rPr>
        <w:t>GC</w:t>
      </w:r>
      <w:r w:rsidRPr="00A241CB">
        <w:rPr>
          <w:rFonts w:ascii="Times New Roman" w:hAnsi="Times New Roman" w:cs="Times New Roman"/>
          <w:color w:val="0D0D0D"/>
          <w:shd w:val="clear" w:color="auto" w:fill="FFFFFF"/>
        </w:rPr>
        <w:t xml:space="preserve"> contended that the </w:t>
      </w:r>
      <w:r>
        <w:rPr>
          <w:rFonts w:ascii="Times New Roman" w:hAnsi="Times New Roman" w:cs="Times New Roman"/>
          <w:color w:val="0D0D0D"/>
          <w:shd w:val="clear" w:color="auto" w:fill="FFFFFF"/>
        </w:rPr>
        <w:t>ECB’s</w:t>
      </w:r>
      <w:r w:rsidRPr="00A241CB">
        <w:rPr>
          <w:rFonts w:ascii="Times New Roman" w:hAnsi="Times New Roman" w:cs="Times New Roman"/>
          <w:color w:val="0D0D0D"/>
          <w:shd w:val="clear" w:color="auto" w:fill="FFFFFF"/>
        </w:rPr>
        <w:t xml:space="preserve"> withdrawal of authorization was both necessary and proportionate, following a comprehensive and appropriate assessment of alternative measures in terms of their effectiveness and alignment with the intended objectives. Except for self-liquidation and sale to another investor, the alternative measures proposed by the applicants were deemed less effective than the withdrawal of authorization and inadequate for achieving the objectives within the shortest possible time</w:t>
      </w:r>
      <w:r w:rsidR="001858B1">
        <w:rPr>
          <w:rStyle w:val="FootnoteReference"/>
          <w:rFonts w:ascii="Times New Roman" w:hAnsi="Times New Roman" w:cs="Times New Roman"/>
          <w:color w:val="0D0D0D"/>
          <w:shd w:val="clear" w:color="auto" w:fill="FFFFFF"/>
        </w:rPr>
        <w:footnoteReference w:id="23"/>
      </w:r>
      <w:r w:rsidR="008C48FB">
        <w:rPr>
          <w:rFonts w:ascii="Times New Roman" w:hAnsi="Times New Roman" w:cs="Times New Roman"/>
          <w:color w:val="0D0D0D"/>
          <w:shd w:val="clear" w:color="auto" w:fill="FFFFFF"/>
        </w:rPr>
        <w:t xml:space="preserve">. </w:t>
      </w:r>
    </w:p>
    <w:p w14:paraId="6FE0E0FC" w14:textId="2FBF8D73" w:rsidR="008C48FB" w:rsidRDefault="008C48FB" w:rsidP="00841D66">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Firstly, </w:t>
      </w:r>
      <w:proofErr w:type="spellStart"/>
      <w:r w:rsidR="00457CBC" w:rsidRPr="00457CBC">
        <w:rPr>
          <w:rFonts w:ascii="Times New Roman" w:hAnsi="Times New Roman" w:cs="Times New Roman"/>
          <w:color w:val="0D0D0D"/>
          <w:shd w:val="clear" w:color="auto" w:fill="FFFFFF"/>
        </w:rPr>
        <w:t>Versobank's</w:t>
      </w:r>
      <w:proofErr w:type="spellEnd"/>
      <w:r w:rsidR="00457CBC" w:rsidRPr="00457CBC">
        <w:rPr>
          <w:rFonts w:ascii="Times New Roman" w:hAnsi="Times New Roman" w:cs="Times New Roman"/>
          <w:color w:val="0D0D0D"/>
          <w:shd w:val="clear" w:color="auto" w:fill="FFFFFF"/>
        </w:rPr>
        <w:t xml:space="preserve"> deficient corporate governance is both structural and irremediable</w:t>
      </w:r>
      <w:r w:rsidR="0007218F">
        <w:rPr>
          <w:rStyle w:val="FootnoteReference"/>
          <w:rFonts w:ascii="Times New Roman" w:hAnsi="Times New Roman" w:cs="Times New Roman"/>
          <w:color w:val="0D0D0D"/>
          <w:shd w:val="clear" w:color="auto" w:fill="FFFFFF"/>
        </w:rPr>
        <w:footnoteReference w:id="24"/>
      </w:r>
      <w:r w:rsidR="00457CBC" w:rsidRPr="00457CBC">
        <w:rPr>
          <w:rFonts w:ascii="Times New Roman" w:hAnsi="Times New Roman" w:cs="Times New Roman"/>
          <w:color w:val="0D0D0D"/>
          <w:shd w:val="clear" w:color="auto" w:fill="FFFFFF"/>
        </w:rPr>
        <w:t xml:space="preserve">, rendering it impervious to mere alterations in commercial strategy, such as modifying the BOD or suspending voting rights. Firstly, despite three changes to the BOD, the </w:t>
      </w:r>
      <w:r w:rsidR="00457CBC">
        <w:rPr>
          <w:rFonts w:ascii="Times New Roman" w:hAnsi="Times New Roman" w:cs="Times New Roman"/>
          <w:color w:val="0D0D0D"/>
          <w:shd w:val="clear" w:color="auto" w:fill="FFFFFF"/>
        </w:rPr>
        <w:t>breaches</w:t>
      </w:r>
      <w:r w:rsidR="00457CBC" w:rsidRPr="00457CBC">
        <w:rPr>
          <w:rFonts w:ascii="Times New Roman" w:hAnsi="Times New Roman" w:cs="Times New Roman"/>
          <w:color w:val="0D0D0D"/>
          <w:shd w:val="clear" w:color="auto" w:fill="FFFFFF"/>
        </w:rPr>
        <w:t xml:space="preserve"> persist.</w:t>
      </w:r>
      <w:r w:rsidR="00A91BFD">
        <w:rPr>
          <w:rStyle w:val="FootnoteReference"/>
          <w:rFonts w:ascii="Times New Roman" w:hAnsi="Times New Roman" w:cs="Times New Roman"/>
          <w:color w:val="0D0D0D"/>
          <w:shd w:val="clear" w:color="auto" w:fill="FFFFFF"/>
        </w:rPr>
        <w:footnoteReference w:id="25"/>
      </w:r>
      <w:r w:rsidR="00457CBC" w:rsidRPr="00457CBC">
        <w:rPr>
          <w:rFonts w:ascii="Times New Roman" w:hAnsi="Times New Roman" w:cs="Times New Roman"/>
          <w:color w:val="0D0D0D"/>
          <w:shd w:val="clear" w:color="auto" w:fill="FFFFFF"/>
        </w:rPr>
        <w:t xml:space="preserve"> Secondly, the cessation or suspension of voting rights of certain shareholders would be ineffective, as the controlling shareholders, who are also members of the supervisory board, could still exert significant influence over the bank's strategy, even without their voting rights</w:t>
      </w:r>
      <w:r w:rsidR="00A91BFD">
        <w:rPr>
          <w:rStyle w:val="FootnoteReference"/>
          <w:rFonts w:ascii="Times New Roman" w:hAnsi="Times New Roman" w:cs="Times New Roman"/>
          <w:color w:val="0D0D0D"/>
          <w:shd w:val="clear" w:color="auto" w:fill="FFFFFF"/>
        </w:rPr>
        <w:footnoteReference w:id="26"/>
      </w:r>
      <w:r w:rsidR="00457CBC" w:rsidRPr="00457CBC">
        <w:rPr>
          <w:rFonts w:ascii="Times New Roman" w:hAnsi="Times New Roman" w:cs="Times New Roman"/>
          <w:color w:val="0D0D0D"/>
          <w:shd w:val="clear" w:color="auto" w:fill="FFFFFF"/>
        </w:rPr>
        <w:t>.</w:t>
      </w:r>
    </w:p>
    <w:p w14:paraId="6C3B7F19" w14:textId="2A31AFA6" w:rsidR="00CA38F6" w:rsidRDefault="00CA38F6" w:rsidP="00841D66">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Secondly, </w:t>
      </w:r>
      <w:r w:rsidR="00156CAA">
        <w:rPr>
          <w:rFonts w:ascii="Times New Roman" w:hAnsi="Times New Roman" w:cs="Times New Roman"/>
          <w:color w:val="0D0D0D"/>
          <w:shd w:val="clear" w:color="auto" w:fill="FFFFFF"/>
        </w:rPr>
        <w:t xml:space="preserve">penalties or fines are </w:t>
      </w:r>
      <w:r w:rsidR="007066E6">
        <w:rPr>
          <w:rFonts w:ascii="Times New Roman" w:hAnsi="Times New Roman" w:cs="Times New Roman"/>
          <w:color w:val="0D0D0D"/>
          <w:shd w:val="clear" w:color="auto" w:fill="FFFFFF"/>
        </w:rPr>
        <w:t>administrative</w:t>
      </w:r>
      <w:r w:rsidR="00156CAA">
        <w:rPr>
          <w:rFonts w:ascii="Times New Roman" w:hAnsi="Times New Roman" w:cs="Times New Roman"/>
          <w:color w:val="0D0D0D"/>
          <w:shd w:val="clear" w:color="auto" w:fill="FFFFFF"/>
        </w:rPr>
        <w:t xml:space="preserve"> pecuniary</w:t>
      </w:r>
      <w:r w:rsidR="007066E6">
        <w:rPr>
          <w:rFonts w:ascii="Times New Roman" w:hAnsi="Times New Roman" w:cs="Times New Roman"/>
          <w:color w:val="0D0D0D"/>
          <w:shd w:val="clear" w:color="auto" w:fill="FFFFFF"/>
        </w:rPr>
        <w:t xml:space="preserve"> penalties, not equivalent to </w:t>
      </w:r>
      <w:r w:rsidR="00323EC5">
        <w:rPr>
          <w:rFonts w:ascii="Times New Roman" w:hAnsi="Times New Roman" w:cs="Times New Roman"/>
          <w:color w:val="0D0D0D"/>
          <w:shd w:val="clear" w:color="auto" w:fill="FFFFFF"/>
        </w:rPr>
        <w:t>the withdrawal of authorization</w:t>
      </w:r>
      <w:r w:rsidR="004756CB">
        <w:rPr>
          <w:rFonts w:ascii="Times New Roman" w:hAnsi="Times New Roman" w:cs="Times New Roman"/>
          <w:color w:val="0D0D0D"/>
          <w:shd w:val="clear" w:color="auto" w:fill="FFFFFF"/>
        </w:rPr>
        <w:t xml:space="preserve">, especially cannot </w:t>
      </w:r>
      <w:r w:rsidR="00D628C1">
        <w:rPr>
          <w:rFonts w:ascii="Times New Roman" w:hAnsi="Times New Roman" w:cs="Times New Roman"/>
          <w:color w:val="0D0D0D"/>
          <w:shd w:val="clear" w:color="auto" w:fill="FFFFFF"/>
        </w:rPr>
        <w:t>“</w:t>
      </w:r>
      <w:r w:rsidR="00D628C1" w:rsidRPr="00D628C1">
        <w:rPr>
          <w:rFonts w:ascii="Times New Roman" w:hAnsi="Times New Roman" w:cs="Times New Roman"/>
          <w:color w:val="0D0D0D"/>
          <w:shd w:val="clear" w:color="auto" w:fill="FFFFFF"/>
        </w:rPr>
        <w:t>achieve the objective of restoring confidence in the Estonian and European financial markets within the shortest possible period of time</w:t>
      </w:r>
      <w:r w:rsidR="00D628C1">
        <w:rPr>
          <w:rFonts w:ascii="Open Sans" w:hAnsi="Open Sans" w:cs="Open Sans"/>
          <w:color w:val="000000"/>
          <w:sz w:val="18"/>
          <w:szCs w:val="18"/>
        </w:rPr>
        <w:t>”</w:t>
      </w:r>
      <w:r w:rsidR="006A6C6A">
        <w:rPr>
          <w:rFonts w:ascii="Open Sans" w:hAnsi="Open Sans" w:cs="Open Sans"/>
          <w:color w:val="000000"/>
          <w:sz w:val="18"/>
          <w:szCs w:val="18"/>
        </w:rPr>
        <w:t>.</w:t>
      </w:r>
      <w:r w:rsidR="00323EC5">
        <w:rPr>
          <w:rStyle w:val="FootnoteReference"/>
          <w:rFonts w:ascii="Times New Roman" w:hAnsi="Times New Roman" w:cs="Times New Roman"/>
          <w:color w:val="0D0D0D"/>
          <w:shd w:val="clear" w:color="auto" w:fill="FFFFFF"/>
        </w:rPr>
        <w:footnoteReference w:id="27"/>
      </w:r>
    </w:p>
    <w:p w14:paraId="61479B82" w14:textId="6B888846" w:rsidR="00FF4327" w:rsidRDefault="008C48FB" w:rsidP="00841D66">
      <w:pPr>
        <w:jc w:val="both"/>
        <w:rPr>
          <w:rFonts w:ascii="Times New Roman" w:hAnsi="Times New Roman" w:cs="Times New Roman"/>
          <w:color w:val="0D0D0D"/>
          <w:shd w:val="clear" w:color="auto" w:fill="FFFFFF"/>
        </w:rPr>
      </w:pPr>
      <w:r w:rsidRPr="00360E85">
        <w:rPr>
          <w:rFonts w:ascii="Times New Roman" w:hAnsi="Times New Roman" w:cs="Times New Roman"/>
          <w:color w:val="0D0D0D"/>
          <w:shd w:val="clear" w:color="auto" w:fill="FFFFFF"/>
        </w:rPr>
        <w:t>T</w:t>
      </w:r>
      <w:r>
        <w:rPr>
          <w:rFonts w:ascii="Times New Roman" w:hAnsi="Times New Roman" w:cs="Times New Roman"/>
          <w:color w:val="0D0D0D"/>
          <w:shd w:val="clear" w:color="auto" w:fill="FFFFFF"/>
        </w:rPr>
        <w:t>hirdly, t</w:t>
      </w:r>
      <w:r w:rsidRPr="00360E85">
        <w:rPr>
          <w:rFonts w:ascii="Times New Roman" w:hAnsi="Times New Roman" w:cs="Times New Roman"/>
          <w:color w:val="0D0D0D"/>
          <w:shd w:val="clear" w:color="auto" w:fill="FFFFFF"/>
        </w:rPr>
        <w:t>he partial cessation of unlawful high-risk activities is impractical</w:t>
      </w:r>
      <w:r>
        <w:rPr>
          <w:rFonts w:ascii="Times New Roman" w:hAnsi="Times New Roman" w:cs="Times New Roman"/>
          <w:color w:val="0D0D0D"/>
          <w:shd w:val="clear" w:color="auto" w:fill="FFFFFF"/>
        </w:rPr>
        <w:t xml:space="preserve"> and ineffective</w:t>
      </w:r>
      <w:r w:rsidRPr="00360E85">
        <w:rPr>
          <w:rFonts w:ascii="Times New Roman" w:hAnsi="Times New Roman" w:cs="Times New Roman"/>
          <w:color w:val="0D0D0D"/>
          <w:shd w:val="clear" w:color="auto" w:fill="FFFFFF"/>
        </w:rPr>
        <w:t xml:space="preserve">. </w:t>
      </w:r>
      <w:proofErr w:type="spellStart"/>
      <w:r w:rsidRPr="00360E85">
        <w:rPr>
          <w:rFonts w:ascii="Times New Roman" w:hAnsi="Times New Roman" w:cs="Times New Roman"/>
          <w:color w:val="0D0D0D"/>
          <w:shd w:val="clear" w:color="auto" w:fill="FFFFFF"/>
        </w:rPr>
        <w:t>Versobank’s</w:t>
      </w:r>
      <w:proofErr w:type="spellEnd"/>
      <w:r w:rsidRPr="00360E85">
        <w:rPr>
          <w:rFonts w:ascii="Times New Roman" w:hAnsi="Times New Roman" w:cs="Times New Roman"/>
          <w:color w:val="0D0D0D"/>
          <w:shd w:val="clear" w:color="auto" w:fill="FFFFFF"/>
        </w:rPr>
        <w:t xml:space="preserve"> business strategy has consistently focused on non-resident and high-risk customers, as evidenced by its primary revenue being derived from these clients.</w:t>
      </w:r>
      <w:r>
        <w:rPr>
          <w:rStyle w:val="FootnoteReference"/>
          <w:rFonts w:ascii="Times New Roman" w:hAnsi="Times New Roman" w:cs="Times New Roman"/>
          <w:color w:val="0D0D0D"/>
          <w:shd w:val="clear" w:color="auto" w:fill="FFFFFF"/>
        </w:rPr>
        <w:footnoteReference w:id="28"/>
      </w:r>
      <w:r w:rsidRPr="00360E85">
        <w:rPr>
          <w:rFonts w:ascii="Times New Roman" w:hAnsi="Times New Roman" w:cs="Times New Roman"/>
          <w:color w:val="0D0D0D"/>
          <w:shd w:val="clear" w:color="auto" w:fill="FFFFFF"/>
        </w:rPr>
        <w:t xml:space="preserve"> Terminating this principal revenue source could lead to significant monthly operating losses, thereby jeopardizing the institution's viability</w:t>
      </w:r>
      <w:r>
        <w:rPr>
          <w:rStyle w:val="FootnoteReference"/>
          <w:rFonts w:ascii="Times New Roman" w:hAnsi="Times New Roman" w:cs="Times New Roman"/>
          <w:color w:val="0D0D0D"/>
          <w:shd w:val="clear" w:color="auto" w:fill="FFFFFF"/>
        </w:rPr>
        <w:footnoteReference w:id="29"/>
      </w:r>
      <w:r w:rsidRPr="00360E85">
        <w:rPr>
          <w:rFonts w:ascii="Times New Roman" w:hAnsi="Times New Roman" w:cs="Times New Roman"/>
          <w:color w:val="0D0D0D"/>
          <w:shd w:val="clear" w:color="auto" w:fill="FFFFFF"/>
        </w:rPr>
        <w:t xml:space="preserve"> and, consequently, posing a risk to its depositors. </w:t>
      </w:r>
      <w:r w:rsidRPr="00BB7C5F">
        <w:rPr>
          <w:rFonts w:ascii="Times New Roman" w:hAnsi="Times New Roman" w:cs="Times New Roman"/>
          <w:color w:val="0D0D0D"/>
          <w:shd w:val="clear" w:color="auto" w:fill="FFFFFF"/>
        </w:rPr>
        <w:t xml:space="preserve">Furthermore, the applicants’ arguments disputing the second applicant’s non-compliance with the </w:t>
      </w:r>
      <w:r>
        <w:rPr>
          <w:rFonts w:ascii="Times New Roman" w:hAnsi="Times New Roman" w:cs="Times New Roman"/>
          <w:color w:val="0D0D0D"/>
          <w:shd w:val="clear" w:color="auto" w:fill="FFFFFF"/>
        </w:rPr>
        <w:t xml:space="preserve">FSA’s first </w:t>
      </w:r>
      <w:r w:rsidRPr="00BB7C5F">
        <w:rPr>
          <w:rFonts w:ascii="Times New Roman" w:hAnsi="Times New Roman" w:cs="Times New Roman"/>
          <w:color w:val="0D0D0D"/>
          <w:shd w:val="clear" w:color="auto" w:fill="FFFFFF"/>
        </w:rPr>
        <w:t>precept, by claiming vagueness and infeasibility, are rejected</w:t>
      </w:r>
      <w:r>
        <w:rPr>
          <w:rFonts w:ascii="Times New Roman" w:hAnsi="Times New Roman" w:cs="Times New Roman"/>
          <w:color w:val="0D0D0D"/>
          <w:shd w:val="clear" w:color="auto" w:fill="FFFFFF"/>
        </w:rPr>
        <w:t>.</w:t>
      </w:r>
      <w:r>
        <w:rPr>
          <w:rStyle w:val="FootnoteReference"/>
          <w:rFonts w:ascii="Times New Roman" w:hAnsi="Times New Roman" w:cs="Times New Roman"/>
          <w:color w:val="0D0D0D"/>
          <w:shd w:val="clear" w:color="auto" w:fill="FFFFFF"/>
        </w:rPr>
        <w:footnoteReference w:id="30"/>
      </w:r>
      <w:r w:rsidRPr="00DE3647">
        <w:t xml:space="preserve"> </w:t>
      </w:r>
    </w:p>
    <w:p w14:paraId="3BE53692" w14:textId="00CBA2FC" w:rsidR="00C97757" w:rsidRDefault="00C97757" w:rsidP="00841D66">
      <w:pPr>
        <w:jc w:val="both"/>
        <w:rPr>
          <w:rFonts w:ascii="Times New Roman" w:hAnsi="Times New Roman" w:cs="Times New Roman"/>
          <w:color w:val="0D0D0D"/>
          <w:shd w:val="clear" w:color="auto" w:fill="FFFFFF"/>
        </w:rPr>
      </w:pPr>
      <w:r w:rsidRPr="00C97757">
        <w:rPr>
          <w:rFonts w:ascii="Times New Roman" w:hAnsi="Times New Roman" w:cs="Times New Roman"/>
          <w:color w:val="0D0D0D"/>
          <w:shd w:val="clear" w:color="auto" w:fill="FFFFFF"/>
        </w:rPr>
        <w:t xml:space="preserve">Self-liquidation or acquisition by another investor, despite their potential similar outcomes, would obscure the aims of withdrawing </w:t>
      </w:r>
      <w:proofErr w:type="spellStart"/>
      <w:r w:rsidRPr="00C97757">
        <w:rPr>
          <w:rFonts w:ascii="Times New Roman" w:hAnsi="Times New Roman" w:cs="Times New Roman"/>
          <w:color w:val="0D0D0D"/>
          <w:shd w:val="clear" w:color="auto" w:fill="FFFFFF"/>
        </w:rPr>
        <w:t>authori</w:t>
      </w:r>
      <w:r w:rsidR="00105876">
        <w:rPr>
          <w:rFonts w:ascii="Times New Roman" w:hAnsi="Times New Roman" w:cs="Times New Roman"/>
          <w:color w:val="0D0D0D"/>
          <w:shd w:val="clear" w:color="auto" w:fill="FFFFFF"/>
        </w:rPr>
        <w:t>s</w:t>
      </w:r>
      <w:r w:rsidRPr="00C97757">
        <w:rPr>
          <w:rFonts w:ascii="Times New Roman" w:hAnsi="Times New Roman" w:cs="Times New Roman"/>
          <w:color w:val="0D0D0D"/>
          <w:shd w:val="clear" w:color="auto" w:fill="FFFFFF"/>
        </w:rPr>
        <w:t>ation</w:t>
      </w:r>
      <w:proofErr w:type="spellEnd"/>
      <w:r w:rsidRPr="00C97757">
        <w:rPr>
          <w:rFonts w:ascii="Times New Roman" w:hAnsi="Times New Roman" w:cs="Times New Roman"/>
          <w:color w:val="0D0D0D"/>
          <w:shd w:val="clear" w:color="auto" w:fill="FFFFFF"/>
        </w:rPr>
        <w:t>, encompassing both the restoration of legality and deterrence.</w:t>
      </w:r>
      <w:r w:rsidR="00CF23FC">
        <w:rPr>
          <w:rStyle w:val="FootnoteReference"/>
          <w:rFonts w:ascii="Times New Roman" w:hAnsi="Times New Roman" w:cs="Times New Roman"/>
          <w:color w:val="0D0D0D"/>
          <w:shd w:val="clear" w:color="auto" w:fill="FFFFFF"/>
        </w:rPr>
        <w:footnoteReference w:id="31"/>
      </w:r>
      <w:r w:rsidRPr="00C97757">
        <w:rPr>
          <w:rFonts w:ascii="Times New Roman" w:hAnsi="Times New Roman" w:cs="Times New Roman"/>
          <w:color w:val="0D0D0D"/>
          <w:shd w:val="clear" w:color="auto" w:fill="FFFFFF"/>
        </w:rPr>
        <w:t xml:space="preserve"> These voluntary alternatives were deemed </w:t>
      </w:r>
      <w:r>
        <w:rPr>
          <w:rFonts w:ascii="Times New Roman" w:hAnsi="Times New Roman" w:cs="Times New Roman"/>
          <w:color w:val="0D0D0D"/>
          <w:shd w:val="clear" w:color="auto" w:fill="FFFFFF"/>
        </w:rPr>
        <w:t>reasonable</w:t>
      </w:r>
      <w:r w:rsidRPr="00C97757">
        <w:rPr>
          <w:rFonts w:ascii="Times New Roman" w:hAnsi="Times New Roman" w:cs="Times New Roman"/>
          <w:color w:val="0D0D0D"/>
          <w:shd w:val="clear" w:color="auto" w:fill="FFFFFF"/>
        </w:rPr>
        <w:t xml:space="preserve"> only for minor </w:t>
      </w:r>
      <w:r>
        <w:rPr>
          <w:rFonts w:ascii="Times New Roman" w:hAnsi="Times New Roman" w:cs="Times New Roman"/>
          <w:color w:val="0D0D0D"/>
          <w:shd w:val="clear" w:color="auto" w:fill="FFFFFF"/>
        </w:rPr>
        <w:t>and/</w:t>
      </w:r>
      <w:r w:rsidRPr="00C97757">
        <w:rPr>
          <w:rFonts w:ascii="Times New Roman" w:hAnsi="Times New Roman" w:cs="Times New Roman"/>
          <w:color w:val="0D0D0D"/>
          <w:shd w:val="clear" w:color="auto" w:fill="FFFFFF"/>
        </w:rPr>
        <w:t xml:space="preserve">or </w:t>
      </w:r>
      <w:r>
        <w:rPr>
          <w:rFonts w:ascii="Times New Roman" w:hAnsi="Times New Roman" w:cs="Times New Roman"/>
          <w:color w:val="0D0D0D"/>
          <w:shd w:val="clear" w:color="auto" w:fill="FFFFFF"/>
        </w:rPr>
        <w:t>mere</w:t>
      </w:r>
      <w:r w:rsidRPr="00C97757">
        <w:rPr>
          <w:rFonts w:ascii="Times New Roman" w:hAnsi="Times New Roman" w:cs="Times New Roman"/>
          <w:color w:val="0D0D0D"/>
          <w:shd w:val="clear" w:color="auto" w:fill="FFFFFF"/>
        </w:rPr>
        <w:t xml:space="preserve"> constraints, but not for addressing severe infringements by the applicants.</w:t>
      </w:r>
      <w:r w:rsidR="00081DEE">
        <w:rPr>
          <w:rStyle w:val="FootnoteReference"/>
          <w:rFonts w:ascii="Times New Roman" w:hAnsi="Times New Roman" w:cs="Times New Roman"/>
          <w:color w:val="0D0D0D"/>
          <w:shd w:val="clear" w:color="auto" w:fill="FFFFFF"/>
        </w:rPr>
        <w:footnoteReference w:id="32"/>
      </w:r>
      <w:r w:rsidRPr="00C97757">
        <w:rPr>
          <w:rFonts w:ascii="Times New Roman" w:hAnsi="Times New Roman" w:cs="Times New Roman"/>
          <w:color w:val="0D0D0D"/>
          <w:shd w:val="clear" w:color="auto" w:fill="FFFFFF"/>
        </w:rPr>
        <w:t xml:space="preserve"> </w:t>
      </w:r>
      <w:r w:rsidR="00F46189">
        <w:rPr>
          <w:rFonts w:ascii="Times New Roman" w:hAnsi="Times New Roman" w:cs="Times New Roman"/>
          <w:color w:val="0D0D0D"/>
          <w:shd w:val="clear" w:color="auto" w:fill="FFFFFF"/>
        </w:rPr>
        <w:t xml:space="preserve">Additionally, the proposal for such alternatives were belated and only for </w:t>
      </w:r>
      <w:r w:rsidR="00716F6F">
        <w:rPr>
          <w:rFonts w:ascii="Times New Roman" w:hAnsi="Times New Roman" w:cs="Times New Roman"/>
          <w:color w:val="0D0D0D"/>
          <w:shd w:val="clear" w:color="auto" w:fill="FFFFFF"/>
        </w:rPr>
        <w:t>the purpose of responding to FSA’s draft decision</w:t>
      </w:r>
      <w:r w:rsidR="009B30C9">
        <w:rPr>
          <w:rFonts w:ascii="Times New Roman" w:hAnsi="Times New Roman" w:cs="Times New Roman"/>
          <w:color w:val="0D0D0D"/>
          <w:shd w:val="clear" w:color="auto" w:fill="FFFFFF"/>
        </w:rPr>
        <w:t xml:space="preserve"> and ECB’s notification</w:t>
      </w:r>
      <w:r w:rsidR="00716F6F">
        <w:rPr>
          <w:rFonts w:ascii="Times New Roman" w:hAnsi="Times New Roman" w:cs="Times New Roman"/>
          <w:color w:val="0D0D0D"/>
          <w:shd w:val="clear" w:color="auto" w:fill="FFFFFF"/>
        </w:rPr>
        <w:t xml:space="preserve"> on withdraw</w:t>
      </w:r>
      <w:r w:rsidR="009B30C9">
        <w:rPr>
          <w:rFonts w:ascii="Times New Roman" w:hAnsi="Times New Roman" w:cs="Times New Roman"/>
          <w:color w:val="0D0D0D"/>
          <w:shd w:val="clear" w:color="auto" w:fill="FFFFFF"/>
        </w:rPr>
        <w:t>ing</w:t>
      </w:r>
      <w:r w:rsidR="00E27A0F">
        <w:rPr>
          <w:rFonts w:ascii="Times New Roman" w:hAnsi="Times New Roman" w:cs="Times New Roman"/>
          <w:color w:val="0D0D0D"/>
          <w:shd w:val="clear" w:color="auto" w:fill="FFFFFF"/>
        </w:rPr>
        <w:t xml:space="preserve"> </w:t>
      </w:r>
      <w:proofErr w:type="spellStart"/>
      <w:r w:rsidR="00E27A0F">
        <w:rPr>
          <w:rFonts w:ascii="Times New Roman" w:hAnsi="Times New Roman" w:cs="Times New Roman"/>
          <w:color w:val="0D0D0D"/>
          <w:shd w:val="clear" w:color="auto" w:fill="FFFFFF"/>
        </w:rPr>
        <w:t>authori</w:t>
      </w:r>
      <w:r w:rsidR="009B30C9">
        <w:rPr>
          <w:rFonts w:ascii="Times New Roman" w:hAnsi="Times New Roman" w:cs="Times New Roman"/>
          <w:color w:val="0D0D0D"/>
          <w:shd w:val="clear" w:color="auto" w:fill="FFFFFF"/>
        </w:rPr>
        <w:t>s</w:t>
      </w:r>
      <w:r w:rsidR="00E27A0F">
        <w:rPr>
          <w:rFonts w:ascii="Times New Roman" w:hAnsi="Times New Roman" w:cs="Times New Roman"/>
          <w:color w:val="0D0D0D"/>
          <w:shd w:val="clear" w:color="auto" w:fill="FFFFFF"/>
        </w:rPr>
        <w:t>ation</w:t>
      </w:r>
      <w:proofErr w:type="spellEnd"/>
      <w:r w:rsidR="00E27A0F">
        <w:rPr>
          <w:rFonts w:ascii="Times New Roman" w:hAnsi="Times New Roman" w:cs="Times New Roman"/>
          <w:color w:val="0D0D0D"/>
          <w:shd w:val="clear" w:color="auto" w:fill="FFFFFF"/>
        </w:rPr>
        <w:t xml:space="preserve"> without any </w:t>
      </w:r>
      <w:r w:rsidR="002B1C0F" w:rsidRPr="002B1C0F">
        <w:rPr>
          <w:rFonts w:ascii="Times New Roman" w:hAnsi="Times New Roman" w:cs="Times New Roman"/>
          <w:color w:val="0D0D0D"/>
          <w:shd w:val="clear" w:color="auto" w:fill="FFFFFF"/>
        </w:rPr>
        <w:t>imminent</w:t>
      </w:r>
      <w:r w:rsidR="002B1C0F">
        <w:rPr>
          <w:rFonts w:ascii="Times New Roman" w:hAnsi="Times New Roman" w:cs="Times New Roman"/>
          <w:color w:val="0D0D0D"/>
          <w:shd w:val="clear" w:color="auto" w:fill="FFFFFF"/>
        </w:rPr>
        <w:t xml:space="preserve"> sign</w:t>
      </w:r>
      <w:r w:rsidR="009B30C9">
        <w:rPr>
          <w:rFonts w:ascii="Times New Roman" w:hAnsi="Times New Roman" w:cs="Times New Roman"/>
          <w:color w:val="0D0D0D"/>
          <w:shd w:val="clear" w:color="auto" w:fill="FFFFFF"/>
        </w:rPr>
        <w:t>als of implantation.</w:t>
      </w:r>
      <w:r w:rsidR="009B30C9">
        <w:rPr>
          <w:rStyle w:val="FootnoteReference"/>
          <w:rFonts w:ascii="Times New Roman" w:hAnsi="Times New Roman" w:cs="Times New Roman"/>
          <w:color w:val="0D0D0D"/>
          <w:shd w:val="clear" w:color="auto" w:fill="FFFFFF"/>
        </w:rPr>
        <w:footnoteReference w:id="33"/>
      </w:r>
    </w:p>
    <w:p w14:paraId="598CF542" w14:textId="577EF28E" w:rsidR="004A5C94" w:rsidRPr="00AA100E" w:rsidRDefault="004A5C94" w:rsidP="00841D66">
      <w:pPr>
        <w:jc w:val="both"/>
        <w:rPr>
          <w:rFonts w:ascii="Times New Roman" w:hAnsi="Times New Roman" w:cs="Times New Roman"/>
          <w:color w:val="0D0D0D"/>
          <w:shd w:val="clear" w:color="auto" w:fill="FFFFFF"/>
        </w:rPr>
      </w:pPr>
      <w:r w:rsidRPr="00AA100E">
        <w:rPr>
          <w:rFonts w:ascii="Times New Roman" w:hAnsi="Times New Roman" w:cs="Times New Roman"/>
          <w:color w:val="0D0D0D"/>
          <w:shd w:val="clear" w:color="auto" w:fill="FFFFFF"/>
        </w:rPr>
        <w:br w:type="page"/>
      </w:r>
    </w:p>
    <w:p w14:paraId="45F34A14" w14:textId="58308C8D" w:rsidR="00671CD7" w:rsidRPr="00671CD7" w:rsidRDefault="00671CD7" w:rsidP="00841D66">
      <w:pPr>
        <w:jc w:val="both"/>
        <w:rPr>
          <w:rFonts w:ascii="Times New Roman" w:hAnsi="Times New Roman" w:cs="Times New Roman"/>
          <w:b/>
          <w:bCs/>
          <w:i/>
          <w:iCs/>
          <w:color w:val="0D0D0D"/>
          <w:shd w:val="clear" w:color="auto" w:fill="FFFFFF"/>
        </w:rPr>
      </w:pPr>
      <w:r w:rsidRPr="00671CD7">
        <w:rPr>
          <w:rFonts w:ascii="Times New Roman" w:hAnsi="Times New Roman" w:cs="Times New Roman"/>
          <w:b/>
          <w:bCs/>
          <w:i/>
          <w:iCs/>
          <w:color w:val="0D0D0D"/>
          <w:shd w:val="clear" w:color="auto" w:fill="FFFFFF"/>
        </w:rPr>
        <w:t>BAWAG PSK v ECB</w:t>
      </w:r>
    </w:p>
    <w:p w14:paraId="1D65C81C" w14:textId="1AE9796E" w:rsidR="00821C2B" w:rsidRPr="005E72F9" w:rsidRDefault="00CE0109" w:rsidP="00841D66">
      <w:pPr>
        <w:jc w:val="both"/>
        <w:rPr>
          <w:rFonts w:ascii="Times New Roman" w:hAnsi="Times New Roman" w:cs="Times New Roman"/>
          <w:color w:val="0D0D0D"/>
          <w:shd w:val="clear" w:color="auto" w:fill="FFFFFF"/>
        </w:rPr>
      </w:pPr>
      <w:r w:rsidRPr="005E72F9">
        <w:rPr>
          <w:rFonts w:ascii="Times New Roman" w:hAnsi="Times New Roman" w:cs="Times New Roman"/>
          <w:color w:val="0D0D0D"/>
          <w:shd w:val="clear" w:color="auto" w:fill="FFFFFF"/>
        </w:rPr>
        <w:t xml:space="preserve">The case of </w:t>
      </w:r>
      <w:r w:rsidRPr="00671CD7">
        <w:rPr>
          <w:rFonts w:ascii="Times New Roman" w:hAnsi="Times New Roman" w:cs="Times New Roman"/>
          <w:i/>
          <w:iCs/>
          <w:color w:val="0D0D0D"/>
          <w:shd w:val="clear" w:color="auto" w:fill="FFFFFF"/>
        </w:rPr>
        <w:t>BAWAG PSK v ECB</w:t>
      </w:r>
      <w:r w:rsidRPr="005E72F9">
        <w:rPr>
          <w:rFonts w:ascii="Times New Roman" w:hAnsi="Times New Roman" w:cs="Times New Roman"/>
          <w:color w:val="0D0D0D"/>
          <w:shd w:val="clear" w:color="auto" w:fill="FFFFFF"/>
        </w:rPr>
        <w:t xml:space="preserve"> centers on the ECB's oversight of banking operations, particularly concerning large exposures and the imposition of absorption interest. BAWAG PSK, an Austrian </w:t>
      </w:r>
      <w:r w:rsidR="00671CD7">
        <w:rPr>
          <w:rFonts w:ascii="Times New Roman" w:hAnsi="Times New Roman" w:cs="Times New Roman"/>
          <w:color w:val="0D0D0D"/>
          <w:shd w:val="clear" w:color="auto" w:fill="FFFFFF"/>
        </w:rPr>
        <w:t>CI</w:t>
      </w:r>
      <w:r w:rsidRPr="005E72F9">
        <w:rPr>
          <w:rFonts w:ascii="Times New Roman" w:hAnsi="Times New Roman" w:cs="Times New Roman"/>
          <w:color w:val="0D0D0D"/>
          <w:shd w:val="clear" w:color="auto" w:fill="FFFFFF"/>
        </w:rPr>
        <w:t xml:space="preserve"> within the BAWAG group, acquired a portfolio of residential real estate loans in France in 2016. This acquisition prompted scrutiny by the ECB regarding the institution's overall exposure concerning the Vermeer portfolio. The ECB conducted an on-</w:t>
      </w:r>
      <w:r w:rsidR="00997339">
        <w:rPr>
          <w:rFonts w:ascii="Times New Roman" w:hAnsi="Times New Roman" w:cs="Times New Roman"/>
          <w:color w:val="0D0D0D"/>
          <w:shd w:val="clear" w:color="auto" w:fill="FFFFFF"/>
        </w:rPr>
        <w:t>site</w:t>
      </w:r>
      <w:r w:rsidRPr="005E72F9">
        <w:rPr>
          <w:rFonts w:ascii="Times New Roman" w:hAnsi="Times New Roman" w:cs="Times New Roman"/>
          <w:color w:val="0D0D0D"/>
          <w:shd w:val="clear" w:color="auto" w:fill="FFFFFF"/>
        </w:rPr>
        <w:t xml:space="preserve"> inspection and found that BAWAG PSK lacked sufficient data to identify individual borrowers within the portfolio, thus affecting its </w:t>
      </w:r>
      <w:r w:rsidR="009950D1" w:rsidRPr="009950D1">
        <w:rPr>
          <w:rFonts w:ascii="Times New Roman" w:hAnsi="Times New Roman" w:cs="Times New Roman"/>
          <w:color w:val="0D0D0D"/>
          <w:shd w:val="clear" w:color="auto" w:fill="FFFFFF"/>
        </w:rPr>
        <w:t xml:space="preserve">compliance with the large exposure requirements stipulated in </w:t>
      </w:r>
      <w:r w:rsidR="00C3241A" w:rsidRPr="00C3241A">
        <w:rPr>
          <w:rFonts w:ascii="Times New Roman" w:hAnsi="Times New Roman" w:cs="Times New Roman"/>
          <w:color w:val="0D0D0D"/>
          <w:shd w:val="clear" w:color="auto" w:fill="FFFFFF"/>
        </w:rPr>
        <w:t xml:space="preserve">Article 395(1) </w:t>
      </w:r>
      <w:r w:rsidR="005D7E75">
        <w:rPr>
          <w:rFonts w:ascii="Times New Roman" w:hAnsi="Times New Roman" w:cs="Times New Roman"/>
          <w:color w:val="0D0D0D"/>
          <w:shd w:val="clear" w:color="auto" w:fill="FFFFFF"/>
        </w:rPr>
        <w:t xml:space="preserve">CRR. </w:t>
      </w:r>
      <w:r w:rsidR="004A4746" w:rsidRPr="004A4746">
        <w:rPr>
          <w:rFonts w:ascii="Times New Roman" w:hAnsi="Times New Roman" w:cs="Times New Roman"/>
          <w:color w:val="0D0D0D"/>
          <w:shd w:val="clear" w:color="auto" w:fill="FFFFFF"/>
        </w:rPr>
        <w:t>Consequently, the ECB levied absorption interest totaling EUR 19,332,923.82 on BAWAG PSK for exceeding exposure limits, leading to legal proceedings disputing the proportionality of this action.</w:t>
      </w:r>
    </w:p>
    <w:p w14:paraId="69A68C64" w14:textId="75C22A16" w:rsidR="005E72F9" w:rsidRPr="005E72F9" w:rsidRDefault="005E72F9" w:rsidP="00841D66">
      <w:pPr>
        <w:jc w:val="both"/>
        <w:rPr>
          <w:rFonts w:ascii="Times New Roman" w:hAnsi="Times New Roman" w:cs="Times New Roman"/>
        </w:rPr>
      </w:pPr>
      <w:r w:rsidRPr="005E72F9">
        <w:rPr>
          <w:rFonts w:ascii="Times New Roman" w:hAnsi="Times New Roman" w:cs="Times New Roman"/>
        </w:rPr>
        <w:t xml:space="preserve">The </w:t>
      </w:r>
      <w:r w:rsidR="00B132BD">
        <w:rPr>
          <w:rFonts w:ascii="Times New Roman" w:hAnsi="Times New Roman" w:cs="Times New Roman"/>
        </w:rPr>
        <w:t>GC</w:t>
      </w:r>
      <w:r w:rsidRPr="005E72F9">
        <w:rPr>
          <w:rFonts w:ascii="Times New Roman" w:hAnsi="Times New Roman" w:cs="Times New Roman"/>
        </w:rPr>
        <w:t>'s analysis primarily focused on the proportionality of the ECB's decision to levy absorption interest. It delved into several key aspects, including the discretion afforded to the ECB, the legal framework under Directive 2013/36, and the interpretation of national law, particularly Point 2 of Paragraph 97(1) of the BWG.</w:t>
      </w:r>
    </w:p>
    <w:p w14:paraId="7663E724" w14:textId="23C7C4C2" w:rsidR="005E72F9" w:rsidRPr="005E72F9" w:rsidRDefault="005E72F9" w:rsidP="00841D66">
      <w:pPr>
        <w:jc w:val="both"/>
        <w:rPr>
          <w:rFonts w:ascii="Times New Roman" w:hAnsi="Times New Roman" w:cs="Times New Roman"/>
        </w:rPr>
      </w:pPr>
      <w:r w:rsidRPr="005E72F9">
        <w:rPr>
          <w:rFonts w:ascii="Times New Roman" w:hAnsi="Times New Roman" w:cs="Times New Roman"/>
        </w:rPr>
        <w:t>Initially, the court emphasized the discretion available to the ECB in applying administrative measures, highlighting the imperative to consider all relevant circumstances</w:t>
      </w:r>
      <w:r w:rsidR="009870C6">
        <w:rPr>
          <w:rStyle w:val="FootnoteReference"/>
          <w:rFonts w:ascii="Times New Roman" w:hAnsi="Times New Roman" w:cs="Times New Roman"/>
        </w:rPr>
        <w:footnoteReference w:id="34"/>
      </w:r>
      <w:r w:rsidRPr="005E72F9">
        <w:rPr>
          <w:rFonts w:ascii="Times New Roman" w:hAnsi="Times New Roman" w:cs="Times New Roman"/>
        </w:rPr>
        <w:t xml:space="preserve">. It </w:t>
      </w:r>
      <w:r w:rsidR="006A4832">
        <w:rPr>
          <w:rFonts w:ascii="Times New Roman" w:hAnsi="Times New Roman" w:cs="Times New Roman"/>
        </w:rPr>
        <w:t xml:space="preserve">recalled </w:t>
      </w:r>
      <w:r w:rsidR="00B91A7B">
        <w:rPr>
          <w:rFonts w:ascii="Times New Roman" w:hAnsi="Times New Roman" w:cs="Times New Roman"/>
        </w:rPr>
        <w:t>the</w:t>
      </w:r>
      <w:r w:rsidR="006A4832">
        <w:rPr>
          <w:rFonts w:ascii="Times New Roman" w:hAnsi="Times New Roman" w:cs="Times New Roman"/>
        </w:rPr>
        <w:t xml:space="preserve"> </w:t>
      </w:r>
      <w:r w:rsidR="006A4832" w:rsidRPr="00B91A7B">
        <w:rPr>
          <w:rFonts w:ascii="Times New Roman" w:hAnsi="Times New Roman" w:cs="Times New Roman"/>
          <w:i/>
          <w:iCs/>
        </w:rPr>
        <w:t>VTB Bank</w:t>
      </w:r>
      <w:r w:rsidR="00B91A7B">
        <w:rPr>
          <w:rFonts w:ascii="Times New Roman" w:hAnsi="Times New Roman" w:cs="Times New Roman"/>
        </w:rPr>
        <w:t>’s</w:t>
      </w:r>
      <w:r w:rsidRPr="005E72F9">
        <w:rPr>
          <w:rFonts w:ascii="Times New Roman" w:hAnsi="Times New Roman" w:cs="Times New Roman"/>
        </w:rPr>
        <w:t xml:space="preserve"> </w:t>
      </w:r>
      <w:r w:rsidR="001A77ED">
        <w:rPr>
          <w:rFonts w:ascii="Times New Roman" w:hAnsi="Times New Roman" w:cs="Times New Roman"/>
        </w:rPr>
        <w:t xml:space="preserve"> </w:t>
      </w:r>
      <w:r w:rsidR="00E07FC9" w:rsidRPr="00E07FC9">
        <w:rPr>
          <w:rFonts w:ascii="Times New Roman" w:hAnsi="Times New Roman" w:cs="Times New Roman"/>
        </w:rPr>
        <w:t>teleological</w:t>
      </w:r>
      <w:r w:rsidR="00E07FC9">
        <w:rPr>
          <w:rFonts w:ascii="Times New Roman" w:hAnsi="Times New Roman" w:cs="Times New Roman"/>
        </w:rPr>
        <w:t xml:space="preserve"> interpretation of </w:t>
      </w:r>
      <w:r w:rsidRPr="005E72F9">
        <w:rPr>
          <w:rFonts w:ascii="Times New Roman" w:hAnsi="Times New Roman" w:cs="Times New Roman"/>
        </w:rPr>
        <w:t>Article 70 of Directive 2013/36 mandates such consideration, implying that the ECB has flexibility in deciding on the appropriateness of absorption interest based on the specifics of each case</w:t>
      </w:r>
      <w:r w:rsidR="00901CFD">
        <w:rPr>
          <w:rStyle w:val="FootnoteReference"/>
          <w:rFonts w:ascii="Times New Roman" w:hAnsi="Times New Roman" w:cs="Times New Roman"/>
        </w:rPr>
        <w:footnoteReference w:id="35"/>
      </w:r>
      <w:r w:rsidRPr="005E72F9">
        <w:rPr>
          <w:rFonts w:ascii="Times New Roman" w:hAnsi="Times New Roman" w:cs="Times New Roman"/>
        </w:rPr>
        <w:t>.</w:t>
      </w:r>
      <w:r w:rsidR="00E357BD">
        <w:rPr>
          <w:rFonts w:ascii="Times New Roman" w:hAnsi="Times New Roman" w:cs="Times New Roman"/>
        </w:rPr>
        <w:t xml:space="preserve"> </w:t>
      </w:r>
      <w:r w:rsidR="00E357BD" w:rsidRPr="00E357BD">
        <w:rPr>
          <w:rFonts w:ascii="Times New Roman" w:hAnsi="Times New Roman" w:cs="Times New Roman"/>
        </w:rPr>
        <w:t>Furthermore, Article 65(1) of the same directive emphasizes that administrative penalties and other measures must be effective, proportionate, and dissuasive.</w:t>
      </w:r>
    </w:p>
    <w:p w14:paraId="30807416" w14:textId="56AB3013" w:rsidR="005E72F9" w:rsidRPr="005E72F9" w:rsidRDefault="005E72F9" w:rsidP="00841D66">
      <w:pPr>
        <w:jc w:val="both"/>
        <w:rPr>
          <w:rFonts w:ascii="Times New Roman" w:hAnsi="Times New Roman" w:cs="Times New Roman"/>
        </w:rPr>
      </w:pPr>
      <w:r w:rsidRPr="005E72F9">
        <w:rPr>
          <w:rFonts w:ascii="Times New Roman" w:hAnsi="Times New Roman" w:cs="Times New Roman"/>
        </w:rPr>
        <w:t xml:space="preserve">Subsequently, the court analyzed the legal foundation for discretion, finding support in both the wording of the BWG and </w:t>
      </w:r>
      <w:r w:rsidR="00E27126" w:rsidRPr="00E27126">
        <w:rPr>
          <w:rFonts w:ascii="Times New Roman" w:hAnsi="Times New Roman" w:cs="Times New Roman"/>
        </w:rPr>
        <w:t>Paragraph 99e</w:t>
      </w:r>
      <w:r w:rsidR="00E27126">
        <w:rPr>
          <w:rFonts w:ascii="Times New Roman" w:hAnsi="Times New Roman" w:cs="Times New Roman"/>
        </w:rPr>
        <w:t xml:space="preserve"> of </w:t>
      </w:r>
      <w:r w:rsidRPr="005E72F9">
        <w:rPr>
          <w:rFonts w:ascii="Times New Roman" w:hAnsi="Times New Roman" w:cs="Times New Roman"/>
        </w:rPr>
        <w:t>Section XXII, which aligns with Directive 2013/36</w:t>
      </w:r>
      <w:r w:rsidR="000127CA">
        <w:rPr>
          <w:rFonts w:ascii="Times New Roman" w:hAnsi="Times New Roman" w:cs="Times New Roman"/>
        </w:rPr>
        <w:t>.</w:t>
      </w:r>
      <w:r w:rsidR="000127CA">
        <w:rPr>
          <w:rStyle w:val="FootnoteReference"/>
          <w:rFonts w:ascii="Times New Roman" w:hAnsi="Times New Roman" w:cs="Times New Roman"/>
        </w:rPr>
        <w:footnoteReference w:id="36"/>
      </w:r>
      <w:r w:rsidRPr="005E72F9">
        <w:rPr>
          <w:rFonts w:ascii="Times New Roman" w:hAnsi="Times New Roman" w:cs="Times New Roman"/>
        </w:rPr>
        <w:t xml:space="preserve"> This alignment underscores the importance of a comprehensive assessment of circumstances before imposing administrative measures.</w:t>
      </w:r>
      <w:r w:rsidR="003652AF">
        <w:rPr>
          <w:rStyle w:val="FootnoteReference"/>
          <w:rFonts w:ascii="Times New Roman" w:hAnsi="Times New Roman" w:cs="Times New Roman"/>
        </w:rPr>
        <w:footnoteReference w:id="37"/>
      </w:r>
      <w:r w:rsidR="001F4772">
        <w:rPr>
          <w:rFonts w:ascii="Times New Roman" w:hAnsi="Times New Roman" w:cs="Times New Roman"/>
        </w:rPr>
        <w:t xml:space="preserve"> </w:t>
      </w:r>
      <w:r w:rsidRPr="005E72F9">
        <w:rPr>
          <w:rFonts w:ascii="Times New Roman" w:hAnsi="Times New Roman" w:cs="Times New Roman"/>
        </w:rPr>
        <w:t>Furthermore, the court dismissed the notion that acknowledging a margin of discretion would negatively impact the rights of the applicant</w:t>
      </w:r>
      <w:r w:rsidR="00506EB5">
        <w:rPr>
          <w:rStyle w:val="FootnoteReference"/>
          <w:rFonts w:ascii="Times New Roman" w:hAnsi="Times New Roman" w:cs="Times New Roman"/>
        </w:rPr>
        <w:footnoteReference w:id="38"/>
      </w:r>
      <w:r w:rsidRPr="005E72F9">
        <w:rPr>
          <w:rFonts w:ascii="Times New Roman" w:hAnsi="Times New Roman" w:cs="Times New Roman"/>
        </w:rPr>
        <w:t>, asserting that legal principles do not restrict such discretion</w:t>
      </w:r>
      <w:r w:rsidR="007468C4">
        <w:rPr>
          <w:rFonts w:ascii="Times New Roman" w:hAnsi="Times New Roman" w:cs="Times New Roman"/>
        </w:rPr>
        <w:t xml:space="preserve">, regardless </w:t>
      </w:r>
      <w:r w:rsidR="007468C4" w:rsidRPr="007468C4">
        <w:rPr>
          <w:rFonts w:ascii="Times New Roman" w:hAnsi="Times New Roman" w:cs="Times New Roman"/>
        </w:rPr>
        <w:t>point 2 of Paragraph 97(1) of the BWG appeared to mandate automatic imposition of absorption interest</w:t>
      </w:r>
      <w:r w:rsidR="00CE1C42">
        <w:rPr>
          <w:rFonts w:ascii="Times New Roman" w:hAnsi="Times New Roman" w:cs="Times New Roman"/>
        </w:rPr>
        <w:t>.</w:t>
      </w:r>
      <w:r w:rsidR="00083C69">
        <w:rPr>
          <w:rStyle w:val="FootnoteReference"/>
          <w:rFonts w:ascii="Times New Roman" w:hAnsi="Times New Roman" w:cs="Times New Roman"/>
        </w:rPr>
        <w:footnoteReference w:id="39"/>
      </w:r>
    </w:p>
    <w:p w14:paraId="490AA474" w14:textId="020482AD" w:rsidR="005E72F9" w:rsidRPr="005E72F9" w:rsidRDefault="005E72F9" w:rsidP="00841D66">
      <w:pPr>
        <w:jc w:val="both"/>
        <w:rPr>
          <w:rFonts w:ascii="Times New Roman" w:hAnsi="Times New Roman" w:cs="Times New Roman"/>
        </w:rPr>
      </w:pPr>
      <w:r w:rsidRPr="005E72F9">
        <w:rPr>
          <w:rFonts w:ascii="Times New Roman" w:hAnsi="Times New Roman" w:cs="Times New Roman"/>
        </w:rPr>
        <w:t>The court criticized the ECB's reliance on an incorrect premise—the automatic application of Point 2 of Paragraph 97(1) of the BWG—which prevented it from fully considering the circumstances of the case.</w:t>
      </w:r>
      <w:r w:rsidR="00DD1190">
        <w:rPr>
          <w:rStyle w:val="FootnoteReference"/>
          <w:rFonts w:ascii="Times New Roman" w:hAnsi="Times New Roman" w:cs="Times New Roman"/>
        </w:rPr>
        <w:footnoteReference w:id="40"/>
      </w:r>
      <w:r w:rsidRPr="005E72F9">
        <w:rPr>
          <w:rFonts w:ascii="Times New Roman" w:hAnsi="Times New Roman" w:cs="Times New Roman"/>
        </w:rPr>
        <w:t xml:space="preserve"> This failure compromised the lawfulness of the decision</w:t>
      </w:r>
      <w:r w:rsidR="009919E9">
        <w:rPr>
          <w:rStyle w:val="FootnoteReference"/>
          <w:rFonts w:ascii="Times New Roman" w:hAnsi="Times New Roman" w:cs="Times New Roman"/>
        </w:rPr>
        <w:footnoteReference w:id="41"/>
      </w:r>
      <w:r w:rsidRPr="005E72F9">
        <w:rPr>
          <w:rFonts w:ascii="Times New Roman" w:hAnsi="Times New Roman" w:cs="Times New Roman"/>
        </w:rPr>
        <w:t>.</w:t>
      </w:r>
      <w:r w:rsidR="00542C77">
        <w:rPr>
          <w:rFonts w:ascii="Times New Roman" w:hAnsi="Times New Roman" w:cs="Times New Roman"/>
        </w:rPr>
        <w:t xml:space="preserve"> </w:t>
      </w:r>
      <w:r w:rsidR="005C5299" w:rsidRPr="005C5299">
        <w:rPr>
          <w:rFonts w:ascii="Times New Roman" w:hAnsi="Times New Roman" w:cs="Times New Roman"/>
        </w:rPr>
        <w:t>The court underscored the importance of the ECB employing its discretion to consider all pertinent factors, thereby ensuring conformity with relevant EU directives and upholding principles of fairness.</w:t>
      </w:r>
    </w:p>
    <w:p w14:paraId="56F1C960" w14:textId="27B9C034" w:rsidR="005E72F9" w:rsidRDefault="005E72F9" w:rsidP="00841D66">
      <w:pPr>
        <w:jc w:val="both"/>
        <w:rPr>
          <w:rFonts w:ascii="Times New Roman" w:hAnsi="Times New Roman" w:cs="Times New Roman"/>
        </w:rPr>
      </w:pPr>
      <w:r w:rsidRPr="005E72F9">
        <w:rPr>
          <w:rFonts w:ascii="Times New Roman" w:hAnsi="Times New Roman" w:cs="Times New Roman"/>
        </w:rPr>
        <w:t>Finally, the court disregarded the ECB's argument on the proportionality of absorption interest, deeming it irrelevant due to the lack of proper consideration of circumstances in the decision-making process.</w:t>
      </w:r>
      <w:r w:rsidR="00F51B1F">
        <w:rPr>
          <w:rStyle w:val="FootnoteReference"/>
          <w:rFonts w:ascii="Times New Roman" w:hAnsi="Times New Roman" w:cs="Times New Roman"/>
        </w:rPr>
        <w:footnoteReference w:id="42"/>
      </w:r>
    </w:p>
    <w:p w14:paraId="5DEDE858" w14:textId="77777777" w:rsidR="009F45D3" w:rsidRDefault="009F45D3" w:rsidP="00841D66">
      <w:pPr>
        <w:jc w:val="both"/>
        <w:rPr>
          <w:rFonts w:ascii="Times New Roman" w:hAnsi="Times New Roman" w:cs="Times New Roman"/>
        </w:rPr>
      </w:pPr>
    </w:p>
    <w:p w14:paraId="4E68F418" w14:textId="14FF4121" w:rsidR="009F45D3" w:rsidRDefault="009F45D3" w:rsidP="00841D66">
      <w:pPr>
        <w:jc w:val="both"/>
        <w:rPr>
          <w:rFonts w:ascii="Times New Roman" w:hAnsi="Times New Roman" w:cs="Times New Roman"/>
        </w:rPr>
      </w:pPr>
      <w:r>
        <w:rPr>
          <w:rFonts w:ascii="Times New Roman" w:hAnsi="Times New Roman" w:cs="Times New Roman"/>
        </w:rPr>
        <w:t>V</w:t>
      </w:r>
      <w:r w:rsidR="00A16AF2">
        <w:rPr>
          <w:rFonts w:ascii="Times New Roman" w:hAnsi="Times New Roman" w:cs="Times New Roman"/>
        </w:rPr>
        <w:t>Q v ECB</w:t>
      </w:r>
    </w:p>
    <w:p w14:paraId="7FFC036A" w14:textId="27A7C526" w:rsidR="0096081C" w:rsidRDefault="0096081C">
      <w:pPr>
        <w:rPr>
          <w:rFonts w:ascii="Times New Roman" w:hAnsi="Times New Roman" w:cs="Times New Roman"/>
        </w:rPr>
      </w:pPr>
      <w:r>
        <w:rPr>
          <w:rFonts w:ascii="Times New Roman" w:hAnsi="Times New Roman" w:cs="Times New Roman"/>
        </w:rPr>
        <w:br w:type="page"/>
      </w:r>
    </w:p>
    <w:p w14:paraId="208CA7E0" w14:textId="431615A1" w:rsidR="007A578B" w:rsidRPr="007A578B" w:rsidRDefault="007A578B" w:rsidP="007A578B">
      <w:pPr>
        <w:spacing w:line="360" w:lineRule="auto"/>
        <w:jc w:val="center"/>
        <w:rPr>
          <w:rFonts w:ascii="Times New Roman" w:hAnsi="Times New Roman" w:cs="Times New Roman"/>
          <w:b/>
          <w:bCs/>
          <w:lang w:val="en-IE"/>
        </w:rPr>
      </w:pPr>
      <w:r w:rsidRPr="007A578B">
        <w:rPr>
          <w:rFonts w:ascii="Times New Roman" w:hAnsi="Times New Roman" w:cs="Times New Roman"/>
          <w:b/>
          <w:bCs/>
          <w:lang w:val="en-IE"/>
        </w:rPr>
        <w:t>SANCTION</w:t>
      </w:r>
    </w:p>
    <w:p w14:paraId="2BABD7BE" w14:textId="29FE6C47" w:rsidR="0096081C" w:rsidRDefault="0096081C" w:rsidP="0096081C">
      <w:pPr>
        <w:spacing w:line="360" w:lineRule="auto"/>
        <w:jc w:val="both"/>
        <w:rPr>
          <w:rFonts w:ascii="Times New Roman" w:hAnsi="Times New Roman" w:cs="Times New Roman"/>
          <w:lang w:val="en-IE"/>
        </w:rPr>
      </w:pPr>
      <w:commentRangeStart w:id="21"/>
      <w:r w:rsidRPr="004006CB">
        <w:rPr>
          <w:rFonts w:ascii="Times New Roman" w:hAnsi="Times New Roman" w:cs="Times New Roman"/>
          <w:lang w:val="en-IE"/>
        </w:rPr>
        <w:t xml:space="preserve">The sanctioning power of the ECB </w:t>
      </w:r>
      <w:commentRangeEnd w:id="21"/>
      <w:r w:rsidR="00DF1530">
        <w:rPr>
          <w:rStyle w:val="CommentReference"/>
        </w:rPr>
        <w:commentReference w:id="21"/>
      </w:r>
      <w:r w:rsidRPr="004006CB">
        <w:rPr>
          <w:rFonts w:ascii="Times New Roman" w:hAnsi="Times New Roman" w:cs="Times New Roman"/>
          <w:lang w:val="en-IE"/>
        </w:rPr>
        <w:t xml:space="preserve">plays a crucial role in reinforcing its supervisory authority, as </w:t>
      </w:r>
      <w:r>
        <w:rPr>
          <w:rFonts w:ascii="Times New Roman" w:hAnsi="Times New Roman" w:cs="Times New Roman"/>
          <w:lang w:val="en-IE"/>
        </w:rPr>
        <w:t>explicitly stated</w:t>
      </w:r>
      <w:r w:rsidRPr="004006CB">
        <w:rPr>
          <w:rFonts w:ascii="Times New Roman" w:hAnsi="Times New Roman" w:cs="Times New Roman"/>
          <w:lang w:val="en-IE"/>
        </w:rPr>
        <w:t xml:space="preserve"> in </w:t>
      </w:r>
      <w:r>
        <w:rPr>
          <w:rFonts w:ascii="Times New Roman" w:hAnsi="Times New Roman" w:cs="Times New Roman"/>
          <w:lang w:val="en-IE"/>
        </w:rPr>
        <w:t>r</w:t>
      </w:r>
      <w:r w:rsidRPr="004006CB">
        <w:rPr>
          <w:rFonts w:ascii="Times New Roman" w:hAnsi="Times New Roman" w:cs="Times New Roman"/>
          <w:lang w:val="en-IE"/>
        </w:rPr>
        <w:t xml:space="preserve">ecital 36 of the SSMR. To ensure that supervisory rules and decisions are adhered to by </w:t>
      </w:r>
      <w:r>
        <w:rPr>
          <w:rFonts w:ascii="Times New Roman" w:hAnsi="Times New Roman" w:cs="Times New Roman"/>
          <w:lang w:val="en-IE"/>
        </w:rPr>
        <w:t>CIs</w:t>
      </w:r>
      <w:r w:rsidRPr="004006CB">
        <w:rPr>
          <w:rFonts w:ascii="Times New Roman" w:hAnsi="Times New Roman" w:cs="Times New Roman"/>
          <w:lang w:val="en-IE"/>
        </w:rPr>
        <w:t>, financial holding companies, and mixed financial holding companies, the ECB must impose effective, proportionate, and dissuasive penalties in cases of non-compliance. In line with Article 132(3) TFEU and Council Regulation (EC) No 2532/98, the ECB is vested with the authority to impose fines or periodic penalty payments on undertakings that fail to meet their regulatory obligations. This sanctioning power</w:t>
      </w:r>
      <w:r>
        <w:rPr>
          <w:rFonts w:ascii="Times New Roman" w:hAnsi="Times New Roman" w:cs="Times New Roman"/>
          <w:lang w:val="en-IE"/>
        </w:rPr>
        <w:t xml:space="preserve"> of the ECB</w:t>
      </w:r>
      <w:r w:rsidRPr="004006CB">
        <w:rPr>
          <w:rFonts w:ascii="Times New Roman" w:hAnsi="Times New Roman" w:cs="Times New Roman"/>
          <w:lang w:val="en-IE"/>
        </w:rPr>
        <w:t xml:space="preserve"> is </w:t>
      </w:r>
      <w:r>
        <w:rPr>
          <w:rFonts w:ascii="Times New Roman" w:hAnsi="Times New Roman" w:cs="Times New Roman"/>
          <w:lang w:val="en-IE"/>
        </w:rPr>
        <w:t>divided</w:t>
      </w:r>
      <w:r w:rsidRPr="004006CB">
        <w:rPr>
          <w:rFonts w:ascii="Times New Roman" w:hAnsi="Times New Roman" w:cs="Times New Roman"/>
          <w:lang w:val="en-IE"/>
        </w:rPr>
        <w:t xml:space="preserve"> into direct and indirect powers. </w:t>
      </w:r>
    </w:p>
    <w:p w14:paraId="7A807188" w14:textId="77777777" w:rsidR="0096081C" w:rsidRDefault="0096081C" w:rsidP="0096081C">
      <w:pPr>
        <w:spacing w:line="360" w:lineRule="auto"/>
        <w:jc w:val="both"/>
        <w:rPr>
          <w:rFonts w:ascii="Times New Roman" w:hAnsi="Times New Roman" w:cs="Times New Roman"/>
          <w:lang w:val="en-IE"/>
        </w:rPr>
      </w:pPr>
      <w:r>
        <w:rPr>
          <w:rFonts w:ascii="Times New Roman" w:hAnsi="Times New Roman" w:cs="Times New Roman"/>
          <w:lang w:val="en-IE"/>
        </w:rPr>
        <w:t xml:space="preserve">Firstly, </w:t>
      </w:r>
      <w:r w:rsidRPr="001B4BA7">
        <w:rPr>
          <w:rFonts w:ascii="Times New Roman" w:hAnsi="Times New Roman" w:cs="Times New Roman"/>
          <w:lang w:val="en-IE"/>
        </w:rPr>
        <w:t xml:space="preserve">Article 18(1) of the SSMR, together with Article 124(1)(a) of the SSM Framework Regulation, grants the ECB direct supervisory power to impose administrative pecuniary penalties on ‘credit institutions, financial holding companies, or mixed financial holding companies,’ but excludes individuals from this scope. Consequently, infringements committed by natural persons are subject to the discretion of the NCAs rather than the ECB. However, the CRD VI amendments to Articles 65 and 66 address this gap by establishing maximum administrative penalties of EUR 5,000,000 and maximum periodic penalty payments of EUR 50,000 for individuals, particularly for members of the management body, senior management, key function holders, and other staff whose professional activities significantly impact the institution's risk profile as defined in Article 92(3) of the CRD. This legislative development reflects a broader trend towards increasing individual accountability within the EU </w:t>
      </w:r>
      <w:r>
        <w:rPr>
          <w:rFonts w:ascii="Times New Roman" w:hAnsi="Times New Roman" w:cs="Times New Roman"/>
          <w:lang w:val="en-IE"/>
        </w:rPr>
        <w:t xml:space="preserve">and its MSs </w:t>
      </w:r>
      <w:r w:rsidRPr="001B4BA7">
        <w:rPr>
          <w:rFonts w:ascii="Times New Roman" w:hAnsi="Times New Roman" w:cs="Times New Roman"/>
          <w:lang w:val="en-IE"/>
        </w:rPr>
        <w:t>regulatory framework. An illustrative example of this trend is the introduction of the Senior Executive Accountability Regime and amendments to the Administrative Sanctions Procedure of the Central Bank of Ireland within the Individual Accountability Framework.</w:t>
      </w:r>
      <w:r>
        <w:rPr>
          <w:rFonts w:ascii="Times New Roman" w:hAnsi="Times New Roman" w:cs="Times New Roman"/>
          <w:lang w:val="en-IE"/>
        </w:rPr>
        <w:t xml:space="preserve"> </w:t>
      </w:r>
    </w:p>
    <w:p w14:paraId="2C90629F" w14:textId="77777777" w:rsidR="0096081C" w:rsidRDefault="0096081C" w:rsidP="0096081C">
      <w:pPr>
        <w:spacing w:line="360" w:lineRule="auto"/>
        <w:jc w:val="both"/>
        <w:rPr>
          <w:rFonts w:ascii="Times New Roman" w:hAnsi="Times New Roman" w:cs="Times New Roman"/>
          <w:lang w:val="en-IE"/>
        </w:rPr>
      </w:pPr>
      <w:r w:rsidRPr="000108C3">
        <w:rPr>
          <w:rFonts w:ascii="Times New Roman" w:hAnsi="Times New Roman" w:cs="Times New Roman"/>
          <w:lang w:val="en-IE"/>
        </w:rPr>
        <w:t xml:space="preserve">The ECB's 2021 guide on the methodology for setting administrative pecuniary penalties, in accordance with Article 18(1) and (7) of the SSMR, provides a </w:t>
      </w:r>
      <w:r>
        <w:rPr>
          <w:rFonts w:ascii="Times New Roman" w:hAnsi="Times New Roman" w:cs="Times New Roman"/>
          <w:lang w:val="en-IE"/>
        </w:rPr>
        <w:t>more detailed</w:t>
      </w:r>
      <w:r w:rsidRPr="000108C3">
        <w:rPr>
          <w:rFonts w:ascii="Times New Roman" w:hAnsi="Times New Roman" w:cs="Times New Roman"/>
          <w:lang w:val="en-IE"/>
        </w:rPr>
        <w:t xml:space="preserve"> framework. This methodology employs a two-step approach: first, determining the base amount of the penalty, and second, adjusting this base amount based on specific circumstances. In the initial step, the assessment factors include (</w:t>
      </w:r>
      <w:proofErr w:type="spellStart"/>
      <w:r w:rsidRPr="000108C3">
        <w:rPr>
          <w:rFonts w:ascii="Times New Roman" w:hAnsi="Times New Roman" w:cs="Times New Roman"/>
          <w:lang w:val="en-IE"/>
        </w:rPr>
        <w:t>i</w:t>
      </w:r>
      <w:proofErr w:type="spellEnd"/>
      <w:r w:rsidRPr="000108C3">
        <w:rPr>
          <w:rFonts w:ascii="Times New Roman" w:hAnsi="Times New Roman" w:cs="Times New Roman"/>
          <w:lang w:val="en-IE"/>
        </w:rPr>
        <w:t>) the impact of the breach and the degree of misconduct, categorized as 'low', 'medium', or 'high', and (ii) the profits gained or losses avoided from such misconduct. In the subsequent stage, the base amount of the penalty may be adjusted considering factors such as cooperation with supervisory authorities, repetition of the offense, and the impact of the sanction on the financial capacity of the entity being penalized. The ECB is mandated to ensure that the penalties are effective, proportionate, and dissuasive.</w:t>
      </w:r>
      <w:r>
        <w:rPr>
          <w:rFonts w:ascii="Times New Roman" w:hAnsi="Times New Roman" w:cs="Times New Roman"/>
          <w:lang w:val="en-IE"/>
        </w:rPr>
        <w:t xml:space="preserve"> </w:t>
      </w:r>
    </w:p>
    <w:p w14:paraId="3A243D1D" w14:textId="77777777" w:rsidR="0096081C" w:rsidRDefault="0096081C" w:rsidP="0096081C">
      <w:pPr>
        <w:spacing w:line="360" w:lineRule="auto"/>
        <w:jc w:val="both"/>
        <w:rPr>
          <w:rFonts w:ascii="Times New Roman" w:hAnsi="Times New Roman" w:cs="Times New Roman"/>
          <w:lang w:val="en-IE"/>
        </w:rPr>
      </w:pPr>
      <w:r>
        <w:rPr>
          <w:rFonts w:ascii="Times New Roman" w:hAnsi="Times New Roman" w:cs="Times New Roman"/>
          <w:lang w:val="en-IE"/>
        </w:rPr>
        <w:t>However, it is difficult to say this guideline provides a comprehensive approach. Firstly, it lacks the suggestion of an automatic classification into one category of factors to the severity of penalties.</w:t>
      </w:r>
      <w:r>
        <w:rPr>
          <w:rStyle w:val="FootnoteReference"/>
          <w:rFonts w:ascii="Times New Roman" w:hAnsi="Times New Roman" w:cs="Times New Roman"/>
          <w:lang w:val="en-IE"/>
        </w:rPr>
        <w:footnoteReference w:id="43"/>
      </w:r>
      <w:r>
        <w:rPr>
          <w:rFonts w:ascii="Times New Roman" w:hAnsi="Times New Roman" w:cs="Times New Roman"/>
          <w:lang w:val="en-IE"/>
        </w:rPr>
        <w:t xml:space="preserve"> </w:t>
      </w:r>
      <w:r w:rsidRPr="00E66451">
        <w:rPr>
          <w:rFonts w:ascii="Times New Roman" w:hAnsi="Times New Roman" w:cs="Times New Roman"/>
          <w:lang w:val="en-IE"/>
        </w:rPr>
        <w:t>This is evident from the language indicating that a breach 'may' be considered as belonging to one category or another, thereby implying that classification is neither automatic nor fully predetermined</w:t>
      </w:r>
      <w:r>
        <w:rPr>
          <w:rFonts w:ascii="Times New Roman" w:hAnsi="Times New Roman" w:cs="Times New Roman"/>
          <w:lang w:val="en-IE"/>
        </w:rPr>
        <w:t>. Moreover, t</w:t>
      </w:r>
      <w:r w:rsidRPr="00E66451">
        <w:rPr>
          <w:rFonts w:ascii="Times New Roman" w:hAnsi="Times New Roman" w:cs="Times New Roman"/>
          <w:lang w:val="en-IE"/>
        </w:rPr>
        <w:t>he proposed system anticipates only some of the possible scenarios, leaving the final classification undetermined for other potential configurations.</w:t>
      </w:r>
      <w:r>
        <w:rPr>
          <w:rFonts w:ascii="Times New Roman" w:hAnsi="Times New Roman" w:cs="Times New Roman"/>
          <w:lang w:val="en-IE"/>
        </w:rPr>
        <w:t xml:space="preserve"> Secondly</w:t>
      </w:r>
      <w:r w:rsidRPr="0026167D">
        <w:rPr>
          <w:rFonts w:ascii="Times New Roman" w:hAnsi="Times New Roman" w:cs="Times New Roman"/>
          <w:lang w:val="en-IE"/>
        </w:rPr>
        <w:t xml:space="preserve">, the methodology outlined in the 2021 ECB guideline does not account for infringements by natural persons. This omission is understandable, as the guideline was published prior to the enactment of CRD VI. </w:t>
      </w:r>
    </w:p>
    <w:p w14:paraId="1B4942BA" w14:textId="77777777" w:rsidR="0096081C" w:rsidRDefault="0096081C" w:rsidP="0096081C">
      <w:pPr>
        <w:spacing w:line="360" w:lineRule="auto"/>
        <w:jc w:val="both"/>
        <w:rPr>
          <w:rFonts w:ascii="Times New Roman" w:hAnsi="Times New Roman" w:cs="Times New Roman"/>
          <w:lang w:val="en-IE"/>
        </w:rPr>
      </w:pPr>
      <w:r w:rsidRPr="00681340">
        <w:rPr>
          <w:rFonts w:ascii="Times New Roman" w:hAnsi="Times New Roman" w:cs="Times New Roman"/>
          <w:lang w:val="en-IE"/>
        </w:rPr>
        <w:t>CRD VI has amended Article 66 to introduce periodic penalty payments and broaden the scope of penalties. This expansion covers not only issues related to authorization and acquisition of qualifying holdings, but also includes material transfers of assets and liabilities, mergers, divisions, and unauthorized activities. These changes aim to tailor penalties to specific types of misconduct, distinguishing between minor infractions and major violations. Moreover, CRD VI clarifies that periodic penalty payments do not exclude the imposition of administrative penalties or other measures for the same breach.</w:t>
      </w:r>
      <w:r>
        <w:rPr>
          <w:rStyle w:val="FootnoteReference"/>
          <w:rFonts w:ascii="Times New Roman" w:hAnsi="Times New Roman" w:cs="Times New Roman"/>
          <w:lang w:val="en-IE"/>
        </w:rPr>
        <w:footnoteReference w:id="44"/>
      </w:r>
      <w:r w:rsidRPr="00681340">
        <w:rPr>
          <w:rFonts w:ascii="Times New Roman" w:hAnsi="Times New Roman" w:cs="Times New Roman"/>
          <w:lang w:val="en-IE"/>
        </w:rPr>
        <w:t xml:space="preserve"> </w:t>
      </w:r>
    </w:p>
    <w:p w14:paraId="64918E18" w14:textId="77777777" w:rsidR="0096081C" w:rsidRDefault="0096081C" w:rsidP="0096081C">
      <w:pPr>
        <w:spacing w:line="360" w:lineRule="auto"/>
        <w:jc w:val="both"/>
        <w:rPr>
          <w:rFonts w:ascii="Times New Roman" w:hAnsi="Times New Roman" w:cs="Times New Roman"/>
          <w:lang w:val="en-IE"/>
        </w:rPr>
      </w:pPr>
      <w:r>
        <w:rPr>
          <w:rFonts w:ascii="Times New Roman" w:hAnsi="Times New Roman" w:cs="Times New Roman"/>
          <w:lang w:val="en-IE"/>
        </w:rPr>
        <w:t>On the one hand, t</w:t>
      </w:r>
      <w:r w:rsidRPr="00681340">
        <w:rPr>
          <w:rFonts w:ascii="Times New Roman" w:hAnsi="Times New Roman" w:cs="Times New Roman"/>
          <w:lang w:val="en-IE"/>
        </w:rPr>
        <w:t>his provision enhances regulatory flexibility by allowing different types of penalties to be applied concurrently.</w:t>
      </w:r>
      <w:r>
        <w:rPr>
          <w:rFonts w:ascii="Times New Roman" w:hAnsi="Times New Roman" w:cs="Times New Roman"/>
          <w:lang w:val="en-IE"/>
        </w:rPr>
        <w:t xml:space="preserve"> On the other hand, </w:t>
      </w:r>
      <w:r w:rsidRPr="00681340">
        <w:rPr>
          <w:rFonts w:ascii="Times New Roman" w:hAnsi="Times New Roman" w:cs="Times New Roman"/>
          <w:lang w:val="en-IE"/>
        </w:rPr>
        <w:t xml:space="preserve">the broadening of scope and the potential simultaneous implementation of periodic penalty payments indicate an enhanced significance of the compliance function within banks, thereby fostering increased regulatory enforcement activities. This supports </w:t>
      </w:r>
      <w:proofErr w:type="spellStart"/>
      <w:r w:rsidRPr="00681340">
        <w:rPr>
          <w:rFonts w:ascii="Times New Roman" w:hAnsi="Times New Roman" w:cs="Times New Roman"/>
          <w:lang w:val="en-IE"/>
        </w:rPr>
        <w:t>Chaikovska</w:t>
      </w:r>
      <w:r>
        <w:rPr>
          <w:rFonts w:ascii="Times New Roman" w:hAnsi="Times New Roman" w:cs="Times New Roman"/>
          <w:lang w:val="en-IE"/>
        </w:rPr>
        <w:t>’s</w:t>
      </w:r>
      <w:proofErr w:type="spellEnd"/>
      <w:r w:rsidRPr="00681340">
        <w:rPr>
          <w:rFonts w:ascii="Times New Roman" w:hAnsi="Times New Roman" w:cs="Times New Roman"/>
          <w:lang w:val="en-IE"/>
        </w:rPr>
        <w:t xml:space="preserve"> proposition that as regulatory authorities in banking intensify their enforcement efforts, the role and importance of regulatory compliance within banks will correspondingly expand.</w:t>
      </w:r>
      <w:r>
        <w:rPr>
          <w:rStyle w:val="FootnoteReference"/>
          <w:rFonts w:ascii="Times New Roman" w:hAnsi="Times New Roman" w:cs="Times New Roman"/>
          <w:lang w:val="en-IE"/>
        </w:rPr>
        <w:footnoteReference w:id="45"/>
      </w:r>
    </w:p>
    <w:p w14:paraId="3F051539" w14:textId="77777777" w:rsidR="0096081C" w:rsidRPr="001F7A48" w:rsidRDefault="0096081C" w:rsidP="0096081C">
      <w:pPr>
        <w:spacing w:line="360" w:lineRule="auto"/>
        <w:jc w:val="both"/>
        <w:rPr>
          <w:rFonts w:ascii="Times New Roman" w:hAnsi="Times New Roman" w:cs="Times New Roman"/>
          <w:lang w:val="en-IE"/>
        </w:rPr>
      </w:pPr>
      <w:r>
        <w:rPr>
          <w:rFonts w:ascii="Times New Roman" w:hAnsi="Times New Roman" w:cs="Times New Roman"/>
          <w:lang w:val="en-IE"/>
        </w:rPr>
        <w:t xml:space="preserve">In particular, </w:t>
      </w:r>
      <w:r w:rsidRPr="00681340">
        <w:rPr>
          <w:rFonts w:ascii="Times New Roman" w:hAnsi="Times New Roman" w:cs="Times New Roman"/>
          <w:lang w:val="en-IE"/>
        </w:rPr>
        <w:t xml:space="preserve">financial institutions are likely to encounter several significant challenges. Firstly, there will be an escalation in compliance costs as institutions strive to adhere to the expanded scope of regulations and avoid penalties. This will necessitate substantial resource allocation towards compliance departments, legal counsel, and external consultants. Additionally, the implementation and maintenance of systems to monitor and report compliance may elevate operational expenses. Secondly, smaller financial institutions may face a disproportionate burden compared to larger counterparts due to their limited resources. This could potentially place them at a competitive disadvantage, as </w:t>
      </w:r>
      <w:r>
        <w:rPr>
          <w:rFonts w:ascii="Times New Roman" w:hAnsi="Times New Roman" w:cs="Times New Roman"/>
          <w:lang w:val="en-IE"/>
        </w:rPr>
        <w:t>SIs</w:t>
      </w:r>
      <w:r w:rsidRPr="00681340">
        <w:rPr>
          <w:rFonts w:ascii="Times New Roman" w:hAnsi="Times New Roman" w:cs="Times New Roman"/>
          <w:lang w:val="en-IE"/>
        </w:rPr>
        <w:t xml:space="preserve"> with greater resources are better equipped to manage the regulatory demands. Moreover, the increased regulatory burdens may prompt market consolidation within the industry, as </w:t>
      </w:r>
      <w:r>
        <w:rPr>
          <w:rFonts w:ascii="Times New Roman" w:hAnsi="Times New Roman" w:cs="Times New Roman"/>
          <w:lang w:val="en-IE"/>
        </w:rPr>
        <w:t>LSIs</w:t>
      </w:r>
      <w:r w:rsidRPr="00681340">
        <w:rPr>
          <w:rFonts w:ascii="Times New Roman" w:hAnsi="Times New Roman" w:cs="Times New Roman"/>
          <w:lang w:val="en-IE"/>
        </w:rPr>
        <w:t xml:space="preserve"> could consider merging or being acquired as a strategy to cope with the escalating costs of compliance. </w:t>
      </w:r>
      <w:r>
        <w:rPr>
          <w:rFonts w:ascii="Times New Roman" w:hAnsi="Times New Roman" w:cs="Times New Roman"/>
          <w:lang w:val="en-IE"/>
        </w:rPr>
        <w:t>Simply put, t</w:t>
      </w:r>
      <w:r w:rsidRPr="001C5209">
        <w:rPr>
          <w:rFonts w:ascii="Times New Roman" w:hAnsi="Times New Roman" w:cs="Times New Roman"/>
          <w:lang w:val="en-IE"/>
        </w:rPr>
        <w:t>o some degree, the revision of Article 66 in CRD VI amplifies the consequences of the proportionality principle not aligning sufficiently with its intended purpose and legislative expectations.</w:t>
      </w:r>
    </w:p>
    <w:p w14:paraId="410BF1C4" w14:textId="77777777" w:rsidR="0096081C" w:rsidRPr="009D2C1D" w:rsidRDefault="0096081C" w:rsidP="0096081C">
      <w:pPr>
        <w:spacing w:line="360" w:lineRule="auto"/>
        <w:jc w:val="both"/>
        <w:rPr>
          <w:rFonts w:ascii="Times New Roman" w:hAnsi="Times New Roman" w:cs="Times New Roman"/>
          <w:lang w:val="en-IE"/>
        </w:rPr>
      </w:pPr>
      <w:r>
        <w:rPr>
          <w:rFonts w:ascii="Times New Roman" w:hAnsi="Times New Roman" w:cs="Times New Roman"/>
          <w:lang w:val="en-IE"/>
        </w:rPr>
        <w:t xml:space="preserve">Secondly, ECB has </w:t>
      </w:r>
      <w:r w:rsidRPr="009D2C1D">
        <w:rPr>
          <w:rFonts w:ascii="Times New Roman" w:hAnsi="Times New Roman" w:cs="Times New Roman"/>
          <w:lang w:val="en-IE"/>
        </w:rPr>
        <w:t>indirect sanctioning power</w:t>
      </w:r>
      <w:r>
        <w:rPr>
          <w:rFonts w:ascii="Times New Roman" w:hAnsi="Times New Roman" w:cs="Times New Roman"/>
          <w:lang w:val="en-IE"/>
        </w:rPr>
        <w:t xml:space="preserve"> as stated in </w:t>
      </w:r>
      <w:r w:rsidRPr="009D2C1D">
        <w:rPr>
          <w:rFonts w:ascii="Times New Roman" w:hAnsi="Times New Roman" w:cs="Times New Roman"/>
          <w:lang w:val="en-IE"/>
        </w:rPr>
        <w:t>Article 18 (5) SSMR</w:t>
      </w:r>
      <w:r>
        <w:rPr>
          <w:rFonts w:ascii="Times New Roman" w:hAnsi="Times New Roman" w:cs="Times New Roman"/>
          <w:lang w:val="en-IE"/>
        </w:rPr>
        <w:t>:</w:t>
      </w:r>
    </w:p>
    <w:p w14:paraId="0246BFAD" w14:textId="77777777" w:rsidR="0096081C" w:rsidRPr="006B0CDD" w:rsidRDefault="0096081C" w:rsidP="0096081C">
      <w:pPr>
        <w:spacing w:line="360" w:lineRule="auto"/>
        <w:ind w:left="709" w:firstLine="11"/>
        <w:jc w:val="both"/>
        <w:rPr>
          <w:rFonts w:ascii="Times New Roman" w:hAnsi="Times New Roman" w:cs="Times New Roman"/>
          <w:color w:val="333333"/>
          <w:sz w:val="22"/>
          <w:szCs w:val="22"/>
          <w:shd w:val="clear" w:color="auto" w:fill="FFFFFF"/>
        </w:rPr>
      </w:pPr>
      <w:r w:rsidRPr="006B0CDD">
        <w:rPr>
          <w:rFonts w:ascii="Times New Roman" w:hAnsi="Times New Roman" w:cs="Times New Roman"/>
          <w:color w:val="333333"/>
          <w:sz w:val="22"/>
          <w:szCs w:val="22"/>
          <w:shd w:val="clear" w:color="auto" w:fill="FFFFFF"/>
        </w:rPr>
        <w:t>‘the ECB may require national competent authorities to open proceedings  […] appropriate penalties […] any relevant national legislation which confers specific powers which are currently not required by Union law. The penalties applied by national competent authorities shall be effective, proportionate and dissuasive.’</w:t>
      </w:r>
    </w:p>
    <w:p w14:paraId="6F3410A8" w14:textId="77777777" w:rsidR="0096081C" w:rsidRPr="009D2C1D" w:rsidRDefault="0096081C" w:rsidP="0096081C">
      <w:pPr>
        <w:spacing w:line="360" w:lineRule="auto"/>
        <w:jc w:val="both"/>
        <w:rPr>
          <w:rFonts w:ascii="Times New Roman" w:hAnsi="Times New Roman" w:cs="Times New Roman"/>
          <w:lang w:val="en-IE"/>
        </w:rPr>
      </w:pPr>
      <w:r w:rsidRPr="009D2C1D">
        <w:rPr>
          <w:rFonts w:ascii="Times New Roman" w:hAnsi="Times New Roman" w:cs="Times New Roman"/>
          <w:lang w:val="en-IE"/>
        </w:rPr>
        <w:t xml:space="preserve">This means that the NCAs hold the discretion to decide on the existence and, a </w:t>
      </w:r>
      <w:r w:rsidRPr="00903C1E">
        <w:rPr>
          <w:rFonts w:ascii="Times New Roman" w:hAnsi="Times New Roman" w:cs="Times New Roman"/>
          <w:i/>
          <w:iCs/>
          <w:lang w:val="en-IE"/>
        </w:rPr>
        <w:t>fortiori</w:t>
      </w:r>
      <w:r w:rsidRPr="009D2C1D">
        <w:rPr>
          <w:rFonts w:ascii="Times New Roman" w:hAnsi="Times New Roman" w:cs="Times New Roman"/>
          <w:lang w:val="en-IE"/>
        </w:rPr>
        <w:t>, the type and level of the sanction. In other words, the imposition of penalties is governed by national procedures, influenced by two factors: the relevant national legislation and the commitment of the NCAs in prosecuting the case.</w:t>
      </w:r>
    </w:p>
    <w:p w14:paraId="3B7001CF" w14:textId="77777777" w:rsidR="0096081C" w:rsidRPr="009D2C1D" w:rsidRDefault="0096081C" w:rsidP="0096081C">
      <w:pPr>
        <w:spacing w:line="360" w:lineRule="auto"/>
        <w:jc w:val="both"/>
        <w:rPr>
          <w:rFonts w:ascii="Times New Roman" w:hAnsi="Times New Roman" w:cs="Times New Roman"/>
        </w:rPr>
      </w:pPr>
      <w:r w:rsidRPr="009D2C1D">
        <w:rPr>
          <w:rFonts w:ascii="Times New Roman" w:hAnsi="Times New Roman" w:cs="Times New Roman"/>
        </w:rPr>
        <w:t>Fromage raises significant concerns regarding the discretionary power vested in NCAs. A notable discrepancy exists between the ECB’s responsibilities for supervising SIs and its capacity to sanction them when they fail to meet their obligations. This discrepancy is further exacerbated by the divergent rules, practices, and regulatory cultures across different MS</w:t>
      </w:r>
      <w:r>
        <w:rPr>
          <w:rFonts w:ascii="Times New Roman" w:hAnsi="Times New Roman" w:cs="Times New Roman"/>
        </w:rPr>
        <w:t>.</w:t>
      </w:r>
      <w:r>
        <w:rPr>
          <w:rStyle w:val="FootnoteReference"/>
          <w:rFonts w:ascii="Times New Roman" w:hAnsi="Times New Roman" w:cs="Times New Roman"/>
        </w:rPr>
        <w:footnoteReference w:id="46"/>
      </w:r>
      <w:r w:rsidRPr="009D2C1D">
        <w:rPr>
          <w:rFonts w:ascii="Times New Roman" w:hAnsi="Times New Roman" w:cs="Times New Roman"/>
        </w:rPr>
        <w:t xml:space="preserve"> Such a fragmented regulatory environment facilitates legal arbitrage and </w:t>
      </w:r>
      <w:r w:rsidRPr="00B76C0F">
        <w:rPr>
          <w:rFonts w:ascii="Times New Roman" w:hAnsi="Times New Roman" w:cs="Times New Roman"/>
          <w:i/>
          <w:iCs/>
        </w:rPr>
        <w:t>forum shopping</w:t>
      </w:r>
      <w:r w:rsidRPr="009D2C1D">
        <w:rPr>
          <w:rFonts w:ascii="Times New Roman" w:hAnsi="Times New Roman" w:cs="Times New Roman"/>
        </w:rPr>
        <w:t xml:space="preserve">, allowing entities to exploit differences between national regulations and supervisory practices to reduce their regulatory burden. Moreover, the potential for legal arbitrage introduces inconsistencies in enforcement and supervision, as NCAs may interpret and apply directives variably based on national contexts. These interpretive discrepancies result in an uneven regulatory landscape, subjecting SIs to varying degrees of scrutiny and potential sanctions depending on their geographic location. Howell aptly describes this situation as a ‘struggle to have any deterrent </w:t>
      </w:r>
      <w:r>
        <w:rPr>
          <w:rFonts w:ascii="Times New Roman" w:hAnsi="Times New Roman" w:cs="Times New Roman"/>
        </w:rPr>
        <w:t>impact</w:t>
      </w:r>
      <w:r w:rsidRPr="009D2C1D">
        <w:rPr>
          <w:rFonts w:ascii="Times New Roman" w:hAnsi="Times New Roman" w:cs="Times New Roman"/>
        </w:rPr>
        <w:t>,’ highlighting the fundamental weaknesses in the current supervisory framework that undermine its efficacy and uniformity.</w:t>
      </w:r>
      <w:r>
        <w:rPr>
          <w:rStyle w:val="FootnoteReference"/>
          <w:rFonts w:ascii="Times New Roman" w:hAnsi="Times New Roman" w:cs="Times New Roman"/>
        </w:rPr>
        <w:footnoteReference w:id="47"/>
      </w:r>
    </w:p>
    <w:p w14:paraId="530227A8" w14:textId="77777777" w:rsidR="0096081C" w:rsidRDefault="0096081C" w:rsidP="0096081C">
      <w:pPr>
        <w:spacing w:line="360" w:lineRule="auto"/>
        <w:jc w:val="both"/>
        <w:rPr>
          <w:rFonts w:ascii="Times New Roman" w:hAnsi="Times New Roman" w:cs="Times New Roman"/>
        </w:rPr>
      </w:pPr>
      <w:proofErr w:type="spellStart"/>
      <w:r w:rsidRPr="009D2C1D">
        <w:rPr>
          <w:rFonts w:ascii="Times New Roman" w:hAnsi="Times New Roman" w:cs="Times New Roman"/>
        </w:rPr>
        <w:t>Allegrezza</w:t>
      </w:r>
      <w:proofErr w:type="spellEnd"/>
      <w:r w:rsidRPr="009D2C1D">
        <w:rPr>
          <w:rFonts w:ascii="Times New Roman" w:hAnsi="Times New Roman" w:cs="Times New Roman"/>
        </w:rPr>
        <w:t xml:space="preserve"> and </w:t>
      </w:r>
      <w:proofErr w:type="spellStart"/>
      <w:r w:rsidRPr="009D2C1D">
        <w:rPr>
          <w:rFonts w:ascii="Times New Roman" w:hAnsi="Times New Roman" w:cs="Times New Roman"/>
        </w:rPr>
        <w:t>Lasagni</w:t>
      </w:r>
      <w:proofErr w:type="spellEnd"/>
      <w:r w:rsidRPr="009D2C1D">
        <w:rPr>
          <w:rFonts w:ascii="Times New Roman" w:hAnsi="Times New Roman" w:cs="Times New Roman"/>
        </w:rPr>
        <w:t xml:space="preserve"> contend</w:t>
      </w:r>
      <w:r>
        <w:rPr>
          <w:rFonts w:ascii="Times New Roman" w:hAnsi="Times New Roman" w:cs="Times New Roman"/>
        </w:rPr>
        <w:t>ed</w:t>
      </w:r>
      <w:r w:rsidRPr="009D2C1D">
        <w:rPr>
          <w:rFonts w:ascii="Times New Roman" w:hAnsi="Times New Roman" w:cs="Times New Roman"/>
        </w:rPr>
        <w:t xml:space="preserve"> that the principle of proportionality is inadequate without the foreseeability of illicit conducts and their respective severity.</w:t>
      </w:r>
      <w:r>
        <w:rPr>
          <w:rStyle w:val="FootnoteReference"/>
          <w:rFonts w:ascii="Times New Roman" w:hAnsi="Times New Roman" w:cs="Times New Roman"/>
        </w:rPr>
        <w:footnoteReference w:id="48"/>
      </w:r>
      <w:r w:rsidRPr="009D2C1D">
        <w:rPr>
          <w:rFonts w:ascii="Times New Roman" w:hAnsi="Times New Roman" w:cs="Times New Roman"/>
        </w:rPr>
        <w:t xml:space="preserve"> Despite the SSMR's provision of a detailed procedure for fine calculation and the combination of various factors, the regulation fails to address this issue due to the absence of a clear taxonomy of infringements.</w:t>
      </w:r>
      <w:r>
        <w:rPr>
          <w:rStyle w:val="FootnoteReference"/>
          <w:rFonts w:ascii="Times New Roman" w:hAnsi="Times New Roman" w:cs="Times New Roman"/>
        </w:rPr>
        <w:footnoteReference w:id="49"/>
      </w:r>
      <w:r w:rsidRPr="009D2C1D">
        <w:rPr>
          <w:rFonts w:ascii="Times New Roman" w:hAnsi="Times New Roman" w:cs="Times New Roman"/>
        </w:rPr>
        <w:t xml:space="preserve"> This omission prevents potential infringers from anticipating which behaviors constitute infringements and the potential severity of penalties. </w:t>
      </w:r>
    </w:p>
    <w:p w14:paraId="14B8407C" w14:textId="77777777" w:rsidR="0096081C" w:rsidRDefault="0096081C" w:rsidP="0096081C">
      <w:pPr>
        <w:spacing w:line="360" w:lineRule="auto"/>
        <w:jc w:val="both"/>
        <w:rPr>
          <w:rFonts w:ascii="Times New Roman" w:hAnsi="Times New Roman" w:cs="Times New Roman"/>
        </w:rPr>
      </w:pPr>
      <w:r w:rsidRPr="009D2C1D">
        <w:rPr>
          <w:rFonts w:ascii="Times New Roman" w:hAnsi="Times New Roman" w:cs="Times New Roman"/>
        </w:rPr>
        <w:t>To address t</w:t>
      </w:r>
      <w:r>
        <w:rPr>
          <w:rFonts w:ascii="Times New Roman" w:hAnsi="Times New Roman" w:cs="Times New Roman"/>
        </w:rPr>
        <w:t>he above</w:t>
      </w:r>
      <w:r w:rsidRPr="009D2C1D">
        <w:rPr>
          <w:rFonts w:ascii="Times New Roman" w:hAnsi="Times New Roman" w:cs="Times New Roman"/>
        </w:rPr>
        <w:t xml:space="preserve"> deficiency, the authors suggest looking to the ESMA and Commission guidelines in the competition sector as models.</w:t>
      </w:r>
      <w:r>
        <w:rPr>
          <w:rStyle w:val="FootnoteReference"/>
          <w:rFonts w:ascii="Times New Roman" w:hAnsi="Times New Roman" w:cs="Times New Roman"/>
        </w:rPr>
        <w:footnoteReference w:id="50"/>
      </w:r>
      <w:r w:rsidRPr="009D2C1D">
        <w:rPr>
          <w:rFonts w:ascii="Times New Roman" w:hAnsi="Times New Roman" w:cs="Times New Roman"/>
        </w:rPr>
        <w:t xml:space="preserve"> For instance, the Commission Guideline in competition law includes a list of behaviors deemed 'most harmful restrictions of competition' that are subject to 'heavy fines.'</w:t>
      </w:r>
      <w:r>
        <w:rPr>
          <w:rStyle w:val="FootnoteReference"/>
          <w:rFonts w:ascii="Times New Roman" w:hAnsi="Times New Roman" w:cs="Times New Roman"/>
        </w:rPr>
        <w:footnoteReference w:id="51"/>
      </w:r>
      <w:r w:rsidRPr="009D2C1D">
        <w:rPr>
          <w:rFonts w:ascii="Times New Roman" w:hAnsi="Times New Roman" w:cs="Times New Roman"/>
        </w:rPr>
        <w:t xml:space="preserve"> Similarly, ESMA provides an even more detailed framework, specifying not only the minimum and maximum penalties but also clearly defining and listing mitigating and aggravating circumstances along with their coefficients in the calculation method.</w:t>
      </w:r>
      <w:r>
        <w:rPr>
          <w:rStyle w:val="FootnoteReference"/>
          <w:rFonts w:ascii="Times New Roman" w:hAnsi="Times New Roman" w:cs="Times New Roman"/>
        </w:rPr>
        <w:footnoteReference w:id="52"/>
      </w:r>
    </w:p>
    <w:p w14:paraId="7B8E9076" w14:textId="77777777" w:rsidR="0096081C" w:rsidRDefault="0096081C" w:rsidP="0096081C">
      <w:pPr>
        <w:spacing w:line="360" w:lineRule="auto"/>
        <w:jc w:val="both"/>
        <w:rPr>
          <w:rFonts w:ascii="Times New Roman" w:hAnsi="Times New Roman" w:cs="Times New Roman"/>
        </w:rPr>
      </w:pPr>
      <w:r>
        <w:rPr>
          <w:rFonts w:ascii="Times New Roman" w:hAnsi="Times New Roman" w:cs="Times New Roman"/>
        </w:rPr>
        <w:t xml:space="preserve">Besides measures listed in the Article 18 SSMR, </w:t>
      </w:r>
      <w:proofErr w:type="spellStart"/>
      <w:r w:rsidRPr="003E6BAC">
        <w:rPr>
          <w:rFonts w:ascii="Times New Roman" w:hAnsi="Times New Roman" w:cs="Times New Roman"/>
        </w:rPr>
        <w:t>Allegrezza</w:t>
      </w:r>
      <w:proofErr w:type="spellEnd"/>
      <w:r w:rsidRPr="003E6BAC">
        <w:rPr>
          <w:rFonts w:ascii="Times New Roman" w:hAnsi="Times New Roman" w:cs="Times New Roman"/>
        </w:rPr>
        <w:t xml:space="preserve"> and </w:t>
      </w:r>
      <w:proofErr w:type="spellStart"/>
      <w:r w:rsidRPr="003E6BAC">
        <w:rPr>
          <w:rFonts w:ascii="Times New Roman" w:hAnsi="Times New Roman" w:cs="Times New Roman"/>
        </w:rPr>
        <w:t>Voordeckers</w:t>
      </w:r>
      <w:proofErr w:type="spellEnd"/>
      <w:r w:rsidRPr="003E6BAC">
        <w:rPr>
          <w:rFonts w:ascii="Times New Roman" w:hAnsi="Times New Roman" w:cs="Times New Roman"/>
        </w:rPr>
        <w:t xml:space="preserve"> contend</w:t>
      </w:r>
      <w:r>
        <w:rPr>
          <w:rFonts w:ascii="Times New Roman" w:hAnsi="Times New Roman" w:cs="Times New Roman"/>
        </w:rPr>
        <w:t>ed</w:t>
      </w:r>
      <w:r w:rsidRPr="003E6BAC">
        <w:rPr>
          <w:rFonts w:ascii="Times New Roman" w:hAnsi="Times New Roman" w:cs="Times New Roman"/>
        </w:rPr>
        <w:t xml:space="preserve"> that the publication of decisions regarding administrative sanctions, including those under appeal, </w:t>
      </w:r>
      <w:r>
        <w:rPr>
          <w:rFonts w:ascii="Times New Roman" w:hAnsi="Times New Roman" w:cs="Times New Roman"/>
        </w:rPr>
        <w:t xml:space="preserve">as ‘an additional form of punishment’, </w:t>
      </w:r>
      <w:r w:rsidRPr="003E6BAC">
        <w:rPr>
          <w:rFonts w:ascii="Times New Roman" w:hAnsi="Times New Roman" w:cs="Times New Roman"/>
        </w:rPr>
        <w:t>should be considered in light of the presumption of innocence under Article 6(2) ECHR to ensure proportionality.</w:t>
      </w:r>
      <w:r>
        <w:rPr>
          <w:rStyle w:val="FootnoteReference"/>
          <w:rFonts w:ascii="Times New Roman" w:hAnsi="Times New Roman" w:cs="Times New Roman"/>
        </w:rPr>
        <w:footnoteReference w:id="53"/>
      </w:r>
      <w:r w:rsidRPr="003E6BAC">
        <w:rPr>
          <w:rFonts w:ascii="Times New Roman" w:hAnsi="Times New Roman" w:cs="Times New Roman"/>
        </w:rPr>
        <w:t xml:space="preserve"> Early publication may expose entities to reputational risks that could lead to insolvency or severe financial distress.</w:t>
      </w:r>
      <w:r>
        <w:rPr>
          <w:rStyle w:val="FootnoteReference"/>
          <w:rFonts w:ascii="Times New Roman" w:hAnsi="Times New Roman" w:cs="Times New Roman"/>
        </w:rPr>
        <w:footnoteReference w:id="54"/>
      </w:r>
      <w:r w:rsidRPr="003E6BAC">
        <w:rPr>
          <w:rFonts w:ascii="Times New Roman" w:hAnsi="Times New Roman" w:cs="Times New Roman"/>
        </w:rPr>
        <w:t xml:space="preserve"> However, Recital 11 of Directive 2016/343 </w:t>
      </w:r>
      <w:r>
        <w:rPr>
          <w:rFonts w:ascii="Times New Roman" w:hAnsi="Times New Roman" w:cs="Times New Roman"/>
        </w:rPr>
        <w:t xml:space="preserve">explicitly states </w:t>
      </w:r>
      <w:r w:rsidRPr="003E6BAC">
        <w:rPr>
          <w:rFonts w:ascii="Times New Roman" w:hAnsi="Times New Roman" w:cs="Times New Roman"/>
        </w:rPr>
        <w:t>that the presumption of innocence does not apply to administrative proceedings in financial services. Furthermore, Hayden argue</w:t>
      </w:r>
      <w:r>
        <w:rPr>
          <w:rFonts w:ascii="Times New Roman" w:hAnsi="Times New Roman" w:cs="Times New Roman"/>
        </w:rPr>
        <w:t>d</w:t>
      </w:r>
      <w:r w:rsidRPr="003E6BAC">
        <w:rPr>
          <w:rFonts w:ascii="Times New Roman" w:hAnsi="Times New Roman" w:cs="Times New Roman"/>
        </w:rPr>
        <w:t xml:space="preserve"> that ECB sanctions do not qualify as 'civil rights and obligations' under Article 6 ECHR, as they do not fit into the ECHR’s established case groups.</w:t>
      </w:r>
      <w:r>
        <w:rPr>
          <w:rStyle w:val="FootnoteReference"/>
          <w:rFonts w:ascii="Times New Roman" w:hAnsi="Times New Roman" w:cs="Times New Roman"/>
        </w:rPr>
        <w:footnoteReference w:id="55"/>
      </w:r>
      <w:r>
        <w:rPr>
          <w:rFonts w:ascii="Times New Roman" w:hAnsi="Times New Roman" w:cs="Times New Roman"/>
        </w:rPr>
        <w:t xml:space="preserve"> ECB sanctions </w:t>
      </w:r>
      <w:r w:rsidRPr="003E6BAC">
        <w:rPr>
          <w:rFonts w:ascii="Times New Roman" w:hAnsi="Times New Roman" w:cs="Times New Roman"/>
        </w:rPr>
        <w:t>have a criminal nature due to their punitive aspect but lack the severe societal condemnation typical of 'core criminal law' violations. Despite potential negative publicity, these sanctions are not considered part of the 'hard core' of criminal law and are thus seen as peripheral.</w:t>
      </w:r>
      <w:r>
        <w:rPr>
          <w:rStyle w:val="FootnoteReference"/>
          <w:rFonts w:ascii="Times New Roman" w:hAnsi="Times New Roman" w:cs="Times New Roman"/>
        </w:rPr>
        <w:footnoteReference w:id="56"/>
      </w:r>
    </w:p>
    <w:p w14:paraId="274900A5" w14:textId="77777777" w:rsidR="0096081C" w:rsidRPr="000A7DB7" w:rsidRDefault="0096081C" w:rsidP="0096081C">
      <w:pPr>
        <w:spacing w:line="360" w:lineRule="auto"/>
        <w:jc w:val="both"/>
        <w:rPr>
          <w:rFonts w:ascii="Times New Roman" w:hAnsi="Times New Roman" w:cs="Times New Roman"/>
        </w:rPr>
      </w:pPr>
      <w:r>
        <w:rPr>
          <w:rFonts w:ascii="Times New Roman" w:hAnsi="Times New Roman" w:cs="Times New Roman"/>
        </w:rPr>
        <w:t xml:space="preserve">Furthermore, after analyzing the CJEU’s decision in VQ case, </w:t>
      </w:r>
      <w:proofErr w:type="spellStart"/>
      <w:r w:rsidRPr="000A7DB7">
        <w:rPr>
          <w:rFonts w:ascii="Times New Roman" w:hAnsi="Times New Roman" w:cs="Times New Roman"/>
        </w:rPr>
        <w:t>Lasagni</w:t>
      </w:r>
      <w:proofErr w:type="spellEnd"/>
      <w:r w:rsidRPr="000A7DB7">
        <w:rPr>
          <w:rFonts w:ascii="Times New Roman" w:hAnsi="Times New Roman" w:cs="Times New Roman"/>
        </w:rPr>
        <w:t xml:space="preserve"> </w:t>
      </w:r>
      <w:proofErr w:type="spellStart"/>
      <w:r w:rsidRPr="000A7DB7">
        <w:rPr>
          <w:rFonts w:ascii="Times New Roman" w:hAnsi="Times New Roman" w:cs="Times New Roman"/>
        </w:rPr>
        <w:t>contend</w:t>
      </w:r>
      <w:r>
        <w:rPr>
          <w:rFonts w:ascii="Times New Roman" w:hAnsi="Times New Roman" w:cs="Times New Roman"/>
        </w:rPr>
        <w:t>eded</w:t>
      </w:r>
      <w:proofErr w:type="spellEnd"/>
      <w:r w:rsidRPr="000A7DB7">
        <w:rPr>
          <w:rFonts w:ascii="Times New Roman" w:hAnsi="Times New Roman" w:cs="Times New Roman"/>
        </w:rPr>
        <w:t xml:space="preserve"> that establishing the imperative of anonymization to mitigate disproportionate harm during the publication of sanctions poses considerable difficulty, underscoring persistent ambiguities in harmonizing regulatory measures with the principle of proportionality.</w:t>
      </w:r>
      <w:r>
        <w:rPr>
          <w:rStyle w:val="FootnoteReference"/>
          <w:rFonts w:ascii="Times New Roman" w:hAnsi="Times New Roman" w:cs="Times New Roman"/>
        </w:rPr>
        <w:footnoteReference w:id="57"/>
      </w:r>
      <w:r w:rsidRPr="000A7DB7">
        <w:rPr>
          <w:rFonts w:ascii="Times New Roman" w:hAnsi="Times New Roman" w:cs="Times New Roman"/>
        </w:rPr>
        <w:t xml:space="preserve"> According to Article 132(1) SSMR, non-anonymization is permissible only when there is a risk to financial market stability or ongoing criminal investigations, or when it might disproportionately harm the supervised entity. In practice, the CJEU places the onus on the credit institution to provide evidence that anonymization is necessary to avoid disproportionate harm, yet the criteria for ECB assessment lack clarity.</w:t>
      </w:r>
    </w:p>
    <w:p w14:paraId="36AA847F" w14:textId="5475AFD0" w:rsidR="007A578B" w:rsidRDefault="0096081C" w:rsidP="0096081C">
      <w:pPr>
        <w:spacing w:line="360" w:lineRule="auto"/>
        <w:jc w:val="both"/>
        <w:rPr>
          <w:rFonts w:ascii="Times New Roman" w:hAnsi="Times New Roman" w:cs="Times New Roman"/>
          <w:lang w:val="en-IE"/>
        </w:rPr>
      </w:pPr>
      <w:commentRangeStart w:id="22"/>
      <w:r w:rsidRPr="004006CB">
        <w:rPr>
          <w:rFonts w:ascii="Times New Roman" w:hAnsi="Times New Roman" w:cs="Times New Roman"/>
          <w:lang w:val="en-IE"/>
        </w:rPr>
        <w:t xml:space="preserve">Direct sanctioning power allows the ECB to directly impose administrative pecuniary penalties on legal entities, while indirect sanctioning power involves requesting </w:t>
      </w:r>
      <w:r>
        <w:rPr>
          <w:rFonts w:ascii="Times New Roman" w:hAnsi="Times New Roman" w:cs="Times New Roman"/>
          <w:lang w:val="en-IE"/>
        </w:rPr>
        <w:t xml:space="preserve">NCAs </w:t>
      </w:r>
      <w:r w:rsidRPr="004006CB">
        <w:rPr>
          <w:rFonts w:ascii="Times New Roman" w:hAnsi="Times New Roman" w:cs="Times New Roman"/>
          <w:lang w:val="en-IE"/>
        </w:rPr>
        <w:t>to impose penalties on natural persons and other cases outside the ECB’s immediate jurisdiction. This dual mechanism ensures a comprehensive enforcement framework that upholds the integrity of the supervisory system and enhances compliance across the Eurozone.</w:t>
      </w:r>
      <w:commentRangeEnd w:id="22"/>
      <w:r>
        <w:rPr>
          <w:rStyle w:val="CommentReference"/>
        </w:rPr>
        <w:commentReference w:id="22"/>
      </w:r>
    </w:p>
    <w:p w14:paraId="41E697E1" w14:textId="77777777" w:rsidR="007A578B" w:rsidRDefault="007A578B">
      <w:pPr>
        <w:rPr>
          <w:rFonts w:ascii="Times New Roman" w:hAnsi="Times New Roman" w:cs="Times New Roman"/>
          <w:lang w:val="en-IE"/>
        </w:rPr>
      </w:pPr>
      <w:r>
        <w:rPr>
          <w:rFonts w:ascii="Times New Roman" w:hAnsi="Times New Roman" w:cs="Times New Roman"/>
          <w:lang w:val="en-IE"/>
        </w:rPr>
        <w:br w:type="page"/>
      </w:r>
    </w:p>
    <w:p w14:paraId="53D55677" w14:textId="43343EA1" w:rsidR="00D27914" w:rsidRPr="00D27914" w:rsidRDefault="00D27914" w:rsidP="00D27914">
      <w:pPr>
        <w:jc w:val="center"/>
        <w:rPr>
          <w:rFonts w:ascii="Times New Roman" w:hAnsi="Times New Roman" w:cs="Times New Roman"/>
          <w:b/>
          <w:bCs/>
          <w:sz w:val="26"/>
          <w:szCs w:val="26"/>
          <w:lang w:val="en-IE"/>
        </w:rPr>
      </w:pPr>
      <w:r w:rsidRPr="00D27914">
        <w:rPr>
          <w:rFonts w:ascii="Times New Roman" w:hAnsi="Times New Roman" w:cs="Times New Roman"/>
          <w:b/>
          <w:bCs/>
          <w:sz w:val="26"/>
          <w:szCs w:val="26"/>
          <w:lang w:val="en-IE"/>
        </w:rPr>
        <w:t>ASSESSING THE SIGNIFICANCE</w:t>
      </w:r>
    </w:p>
    <w:p w14:paraId="33C3085A" w14:textId="7A0CB053"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 xml:space="preserve">The principle of proportionality is upheld in the classification of CIs through a structured assessment process, where Joint Supervisory Teams (JSTs) evaluate Significant Institutions (SIs) based on their </w:t>
      </w:r>
      <w:proofErr w:type="spellStart"/>
      <w:r>
        <w:rPr>
          <w:rFonts w:ascii="Times New Roman" w:hAnsi="Times New Roman" w:cs="Times New Roman"/>
          <w:sz w:val="26"/>
          <w:szCs w:val="26"/>
          <w:lang w:val="en-IE"/>
        </w:rPr>
        <w:t>fulfillment</w:t>
      </w:r>
      <w:proofErr w:type="spellEnd"/>
      <w:r>
        <w:rPr>
          <w:rFonts w:ascii="Times New Roman" w:hAnsi="Times New Roman" w:cs="Times New Roman"/>
          <w:sz w:val="26"/>
          <w:szCs w:val="26"/>
          <w:lang w:val="en-IE"/>
        </w:rPr>
        <w:t xml:space="preserve"> of established significance criteria, while NCAs assess Less Significant Institutions (LSIs) based on specific criteria, including size, economic importance, cross-border activity, public financial assistance, and ranking among the top three credit institutions in an MS.</w:t>
      </w:r>
      <w:r>
        <w:rPr>
          <w:rStyle w:val="FootnoteReference"/>
          <w:rFonts w:ascii="Times New Roman" w:hAnsi="Times New Roman" w:cs="Times New Roman"/>
          <w:sz w:val="26"/>
          <w:szCs w:val="26"/>
          <w:lang w:val="en-IE"/>
        </w:rPr>
        <w:footnoteReference w:id="58"/>
      </w:r>
      <w:r>
        <w:rPr>
          <w:rFonts w:ascii="Times New Roman" w:hAnsi="Times New Roman" w:cs="Times New Roman"/>
          <w:sz w:val="26"/>
          <w:szCs w:val="26"/>
          <w:lang w:val="en-IE"/>
        </w:rPr>
        <w:t xml:space="preserve"> </w:t>
      </w:r>
    </w:p>
    <w:p w14:paraId="5C244547"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A CI is designated as a SI if it meets any of the following conditions outlined in Article 6(4) of the SSM: (</w:t>
      </w:r>
      <w:proofErr w:type="spellStart"/>
      <w:r>
        <w:rPr>
          <w:rFonts w:ascii="Times New Roman" w:hAnsi="Times New Roman" w:cs="Times New Roman"/>
          <w:sz w:val="26"/>
          <w:szCs w:val="26"/>
          <w:lang w:val="en-IE"/>
        </w:rPr>
        <w:t>i</w:t>
      </w:r>
      <w:proofErr w:type="spellEnd"/>
      <w:r>
        <w:rPr>
          <w:rFonts w:ascii="Times New Roman" w:hAnsi="Times New Roman" w:cs="Times New Roman"/>
          <w:sz w:val="26"/>
          <w:szCs w:val="26"/>
          <w:lang w:val="en-IE"/>
        </w:rPr>
        <w:t>) possessing total assets exceeding €30 billion; (ii) holding substantial economic importance for the EU or a participating MS; (iii) having total assets over €5 billion with cross-border assets/liabilities in more than one MS exceeding 20% of total assets/liabilities; (iv) either requesting or receiving funding from the ESM or EFSF. Furthermore, a CI can be classified as significant if it is among the three most significant banks in a particular MS.</w:t>
      </w:r>
    </w:p>
    <w:p w14:paraId="768293CD" w14:textId="77777777" w:rsidR="00D27914" w:rsidRDefault="00D27914" w:rsidP="00D27914">
      <w:pPr>
        <w:jc w:val="both"/>
        <w:rPr>
          <w:rFonts w:ascii="Times New Roman" w:hAnsi="Times New Roman" w:cs="Times New Roman"/>
          <w:b/>
          <w:bCs/>
          <w:i/>
          <w:iCs/>
          <w:sz w:val="26"/>
          <w:szCs w:val="26"/>
          <w:lang w:val="en-IE"/>
        </w:rPr>
      </w:pPr>
      <w:r>
        <w:rPr>
          <w:rFonts w:ascii="Times New Roman" w:hAnsi="Times New Roman" w:cs="Times New Roman"/>
          <w:b/>
          <w:bCs/>
          <w:i/>
          <w:iCs/>
          <w:sz w:val="26"/>
          <w:szCs w:val="26"/>
          <w:lang w:val="en-IE"/>
        </w:rPr>
        <w:t>High-risk and high-impact LSIs</w:t>
      </w:r>
    </w:p>
    <w:p w14:paraId="0A6D059B"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The ECB's revised methodology of classifying LSIs exemplifies the application of the proportionality principle by tailoring regulatory scrutiny based on an institution's risk and impact.</w:t>
      </w:r>
      <w:r>
        <w:rPr>
          <w:rStyle w:val="FootnoteReference"/>
          <w:rFonts w:ascii="Times New Roman" w:hAnsi="Times New Roman" w:cs="Times New Roman"/>
          <w:sz w:val="26"/>
          <w:szCs w:val="26"/>
          <w:lang w:val="en-IE"/>
        </w:rPr>
        <w:footnoteReference w:id="59"/>
      </w:r>
      <w:r>
        <w:rPr>
          <w:rFonts w:ascii="Times New Roman" w:hAnsi="Times New Roman" w:cs="Times New Roman"/>
          <w:sz w:val="26"/>
          <w:szCs w:val="26"/>
          <w:lang w:val="en-IE"/>
        </w:rPr>
        <w:t xml:space="preserve"> Previously, the ECB categorized LSIs into low, medium, and high priority based on size, intrinsic risk, economic impact, and interconnectedness with the financial system. However, since 2022, the ECB, as part of its guidelines in compliance with EBA Guidelines for SREP,</w:t>
      </w:r>
      <w:r>
        <w:rPr>
          <w:rStyle w:val="FootnoteReference"/>
          <w:rFonts w:ascii="Times New Roman" w:hAnsi="Times New Roman" w:cs="Times New Roman"/>
          <w:sz w:val="26"/>
          <w:szCs w:val="26"/>
          <w:lang w:val="en-IE"/>
        </w:rPr>
        <w:footnoteReference w:id="60"/>
      </w:r>
      <w:r>
        <w:rPr>
          <w:rFonts w:ascii="Times New Roman" w:hAnsi="Times New Roman" w:cs="Times New Roman"/>
          <w:sz w:val="26"/>
          <w:szCs w:val="26"/>
          <w:lang w:val="en-IE"/>
        </w:rPr>
        <w:t xml:space="preserve"> has refined this approach by distinguishing LSIs into high-risk and high-impact categories. </w:t>
      </w:r>
    </w:p>
    <w:p w14:paraId="137CAE9A"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The impact is annually evaluated based on criteria including size, economic importance, cross-border activities, and business model and publicly disclosed.</w:t>
      </w:r>
      <w:r>
        <w:rPr>
          <w:rStyle w:val="FootnoteReference"/>
          <w:rFonts w:ascii="Times New Roman" w:hAnsi="Times New Roman" w:cs="Times New Roman"/>
          <w:sz w:val="26"/>
          <w:szCs w:val="26"/>
          <w:lang w:val="en-IE"/>
        </w:rPr>
        <w:footnoteReference w:id="61"/>
      </w:r>
      <w:r>
        <w:rPr>
          <w:rFonts w:ascii="Times New Roman" w:hAnsi="Times New Roman" w:cs="Times New Roman"/>
          <w:sz w:val="26"/>
          <w:szCs w:val="26"/>
          <w:lang w:val="en-IE"/>
        </w:rPr>
        <w:t xml:space="preserve"> In 2022-2023, a LSI is classified as high-impact if it meets any of the following criteria: </w:t>
      </w:r>
    </w:p>
    <w:p w14:paraId="314312A1" w14:textId="77777777" w:rsidR="00D27914" w:rsidRDefault="00D27914" w:rsidP="00D27914">
      <w:pPr>
        <w:pStyle w:val="ListParagraph"/>
        <w:numPr>
          <w:ilvl w:val="0"/>
          <w:numId w:val="4"/>
        </w:numPr>
        <w:spacing w:line="278" w:lineRule="auto"/>
        <w:jc w:val="both"/>
        <w:rPr>
          <w:rFonts w:ascii="Times New Roman" w:hAnsi="Times New Roman" w:cs="Times New Roman"/>
          <w:sz w:val="26"/>
          <w:szCs w:val="26"/>
          <w:lang w:val="en-IE"/>
        </w:rPr>
      </w:pPr>
      <w:r>
        <w:rPr>
          <w:rFonts w:ascii="Times New Roman" w:hAnsi="Times New Roman" w:cs="Times New Roman"/>
          <w:sz w:val="26"/>
          <w:szCs w:val="26"/>
          <w:lang w:val="en-IE"/>
        </w:rPr>
        <w:t xml:space="preserve">its total assets exceed €15 billion; </w:t>
      </w:r>
    </w:p>
    <w:p w14:paraId="752E654E" w14:textId="77777777" w:rsidR="00D27914" w:rsidRDefault="00D27914" w:rsidP="00D27914">
      <w:pPr>
        <w:pStyle w:val="ListParagraph"/>
        <w:numPr>
          <w:ilvl w:val="0"/>
          <w:numId w:val="4"/>
        </w:numPr>
        <w:spacing w:line="278" w:lineRule="auto"/>
        <w:jc w:val="both"/>
        <w:rPr>
          <w:rFonts w:ascii="Times New Roman" w:hAnsi="Times New Roman" w:cs="Times New Roman"/>
          <w:sz w:val="26"/>
          <w:szCs w:val="26"/>
          <w:lang w:val="en-IE"/>
        </w:rPr>
      </w:pPr>
      <w:r>
        <w:rPr>
          <w:rFonts w:ascii="Times New Roman" w:hAnsi="Times New Roman" w:cs="Times New Roman"/>
          <w:sz w:val="26"/>
          <w:szCs w:val="26"/>
          <w:lang w:val="en-IE"/>
        </w:rPr>
        <w:t xml:space="preserve">its total assets constitute more than 15% of the country’s GDP, or it qualifies as an "other systemically important institution" (O-SII) under the CRD; </w:t>
      </w:r>
    </w:p>
    <w:p w14:paraId="0FF151BB" w14:textId="77777777" w:rsidR="00D27914" w:rsidRDefault="00D27914" w:rsidP="00D27914">
      <w:pPr>
        <w:pStyle w:val="ListParagraph"/>
        <w:numPr>
          <w:ilvl w:val="0"/>
          <w:numId w:val="4"/>
        </w:numPr>
        <w:spacing w:line="278" w:lineRule="auto"/>
        <w:jc w:val="both"/>
        <w:rPr>
          <w:rFonts w:ascii="Times New Roman" w:hAnsi="Times New Roman" w:cs="Times New Roman"/>
          <w:sz w:val="26"/>
          <w:szCs w:val="26"/>
          <w:lang w:val="en-IE"/>
        </w:rPr>
      </w:pPr>
      <w:r>
        <w:rPr>
          <w:rFonts w:ascii="Times New Roman" w:hAnsi="Times New Roman" w:cs="Times New Roman"/>
          <w:sz w:val="26"/>
          <w:szCs w:val="26"/>
          <w:lang w:val="en-IE"/>
        </w:rPr>
        <w:t xml:space="preserve">it is categorized as a "large institution" according to CRR II; </w:t>
      </w:r>
    </w:p>
    <w:p w14:paraId="37D93818" w14:textId="77777777" w:rsidR="00D27914" w:rsidRDefault="00D27914" w:rsidP="00D27914">
      <w:pPr>
        <w:pStyle w:val="ListParagraph"/>
        <w:numPr>
          <w:ilvl w:val="0"/>
          <w:numId w:val="4"/>
        </w:numPr>
        <w:spacing w:line="278" w:lineRule="auto"/>
        <w:jc w:val="both"/>
        <w:rPr>
          <w:rFonts w:ascii="Times New Roman" w:hAnsi="Times New Roman" w:cs="Times New Roman"/>
          <w:sz w:val="26"/>
          <w:szCs w:val="26"/>
          <w:lang w:val="en-IE"/>
        </w:rPr>
      </w:pPr>
      <w:r>
        <w:rPr>
          <w:rFonts w:ascii="Times New Roman" w:hAnsi="Times New Roman" w:cs="Times New Roman"/>
          <w:sz w:val="26"/>
          <w:szCs w:val="26"/>
          <w:lang w:val="en-IE"/>
        </w:rPr>
        <w:t xml:space="preserve">it owns one or more credit institutions in other participating countries; or it functions as a financial market infrastructure with a banking license, central savings bank, central cooperative bank, or as the central institution of an institutional protection scheme. </w:t>
      </w:r>
    </w:p>
    <w:p w14:paraId="2349BD4C" w14:textId="77777777" w:rsidR="00D27914" w:rsidRDefault="00D27914" w:rsidP="00D27914">
      <w:pPr>
        <w:pStyle w:val="ListParagraph"/>
        <w:numPr>
          <w:ilvl w:val="0"/>
          <w:numId w:val="4"/>
        </w:numPr>
        <w:spacing w:line="278" w:lineRule="auto"/>
        <w:jc w:val="both"/>
        <w:rPr>
          <w:rFonts w:ascii="Times New Roman" w:hAnsi="Times New Roman" w:cs="Times New Roman"/>
          <w:sz w:val="26"/>
          <w:szCs w:val="26"/>
          <w:lang w:val="en-IE"/>
        </w:rPr>
      </w:pPr>
      <w:r>
        <w:rPr>
          <w:rFonts w:ascii="Times New Roman" w:hAnsi="Times New Roman" w:cs="Times New Roman"/>
          <w:sz w:val="26"/>
          <w:szCs w:val="26"/>
          <w:lang w:val="en-IE"/>
        </w:rPr>
        <w:t>If fewer than three high-impact LSIs are identified using these criteria, the minimum coverage rule is invoked, requiring additional LSIs to be selected based on size until at least three high-impact LSIs are identified within the jurisdiction.</w:t>
      </w:r>
    </w:p>
    <w:p w14:paraId="5EEFD883"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In contrast, the risk is quarterly assessed through evaluations conducted by the relevant NCA and their adherence to capital and leverage requirements. The risk assessment remains confidential to ensure financial stability and maintain confidentiality.</w:t>
      </w:r>
      <w:r>
        <w:rPr>
          <w:rStyle w:val="FootnoteReference"/>
          <w:rFonts w:ascii="Times New Roman" w:hAnsi="Times New Roman" w:cs="Times New Roman"/>
          <w:sz w:val="26"/>
          <w:szCs w:val="26"/>
          <w:lang w:val="en-IE"/>
        </w:rPr>
        <w:footnoteReference w:id="62"/>
      </w:r>
    </w:p>
    <w:p w14:paraId="3251F381" w14:textId="77777777" w:rsidR="00D27914" w:rsidRDefault="00D27914" w:rsidP="00D27914">
      <w:pPr>
        <w:jc w:val="both"/>
        <w:rPr>
          <w:rFonts w:ascii="Times New Roman" w:hAnsi="Times New Roman" w:cs="Times New Roman"/>
          <w:sz w:val="26"/>
          <w:szCs w:val="26"/>
          <w:lang w:val="en-IE"/>
        </w:rPr>
      </w:pPr>
      <w:commentRangeStart w:id="23"/>
      <w:r>
        <w:rPr>
          <w:rFonts w:ascii="Times New Roman" w:hAnsi="Times New Roman" w:cs="Times New Roman"/>
          <w:sz w:val="26"/>
          <w:szCs w:val="26"/>
          <w:lang w:val="en-IE"/>
        </w:rPr>
        <w:t>The designation of an LSI as high-impact and high-risk is a critical consideration for NCAs in determining the scope and frequency of supervisory activities, such as the SREP and on-site inspections. This classification also mandates that NCAs notify the ECB of significant supervisory actions or decisions they plan to undertake regarding these institutions, as outlined in Articles 97 and 98 of the SSMFR. By implementing distinct risk and impact assessments, the ECB ensures that regulatory efforts are tailored to the individual characteristics of each institution, promoting proportionate supervision that enhances financial stability.</w:t>
      </w:r>
      <w:commentRangeEnd w:id="23"/>
      <w:r>
        <w:rPr>
          <w:rStyle w:val="CommentReference"/>
        </w:rPr>
        <w:commentReference w:id="23"/>
      </w:r>
    </w:p>
    <w:p w14:paraId="0CF77482" w14:textId="77777777" w:rsidR="00D27914" w:rsidRDefault="00D27914" w:rsidP="00D27914">
      <w:pPr>
        <w:jc w:val="both"/>
        <w:rPr>
          <w:rFonts w:ascii="Times New Roman" w:hAnsi="Times New Roman" w:cs="Times New Roman"/>
          <w:b/>
          <w:bCs/>
          <w:i/>
          <w:iCs/>
          <w:sz w:val="26"/>
          <w:szCs w:val="26"/>
          <w:lang w:val="en-IE"/>
        </w:rPr>
      </w:pPr>
      <w:r>
        <w:rPr>
          <w:rFonts w:ascii="Times New Roman" w:hAnsi="Times New Roman" w:cs="Times New Roman"/>
          <w:b/>
          <w:bCs/>
          <w:i/>
          <w:iCs/>
          <w:sz w:val="26"/>
          <w:szCs w:val="26"/>
          <w:lang w:val="en-IE"/>
        </w:rPr>
        <w:t>Small and non-complex institution</w:t>
      </w:r>
    </w:p>
    <w:p w14:paraId="0C3D4E23"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Besides high-impact and high-risk LSI, Article 2(145) of the CRR II introduces the definition of a small and non-complex institution (SNCI). A SNCI has the discretion to choose</w:t>
      </w:r>
      <w:r>
        <w:rPr>
          <w:rFonts w:ascii="Times New Roman" w:eastAsia="Times New Roman" w:hAnsi="Times New Roman" w:cs="Times New Roman"/>
          <w:color w:val="333333"/>
          <w:sz w:val="26"/>
          <w:szCs w:val="26"/>
          <w:lang w:val="en-IE" w:eastAsia="en-IE"/>
        </w:rPr>
        <w:t xml:space="preserve"> a simplified version of the NSFR requirement.</w:t>
      </w:r>
      <w:r>
        <w:rPr>
          <w:rStyle w:val="FootnoteReference"/>
          <w:rFonts w:ascii="Times New Roman" w:eastAsia="Times New Roman" w:hAnsi="Times New Roman" w:cs="Times New Roman"/>
          <w:color w:val="333333"/>
          <w:sz w:val="26"/>
          <w:szCs w:val="26"/>
          <w:lang w:val="en-IE" w:eastAsia="en-IE"/>
        </w:rPr>
        <w:footnoteReference w:id="63"/>
      </w:r>
      <w:r>
        <w:rPr>
          <w:rFonts w:ascii="Times New Roman" w:eastAsia="Times New Roman" w:hAnsi="Times New Roman" w:cs="Times New Roman"/>
          <w:color w:val="333333"/>
          <w:sz w:val="26"/>
          <w:szCs w:val="26"/>
          <w:lang w:val="en-IE" w:eastAsia="en-IE"/>
        </w:rPr>
        <w:t xml:space="preserve"> </w:t>
      </w:r>
      <w:r>
        <w:rPr>
          <w:rFonts w:ascii="Times New Roman" w:hAnsi="Times New Roman" w:cs="Times New Roman"/>
          <w:sz w:val="26"/>
          <w:szCs w:val="26"/>
          <w:lang w:val="en-IE"/>
        </w:rPr>
        <w:t>Accordingly, a SNCI must satisfy certain criteria, including not being classified as a large institution under Article 2(146), adhering to specific asset thresholds, limitations on the size of the trading book and derivative positions, constraints on geographic activity, and compliance with simplified regulatory requirements.</w:t>
      </w:r>
    </w:p>
    <w:p w14:paraId="26EB3CF4"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Nevertheless, these criteria appear insufficient to align with the high level of proportionality</w:t>
      </w:r>
      <w:r>
        <w:t xml:space="preserve"> </w:t>
      </w:r>
      <w:r>
        <w:rPr>
          <w:rFonts w:ascii="Times New Roman" w:hAnsi="Times New Roman" w:cs="Times New Roman"/>
          <w:sz w:val="26"/>
          <w:szCs w:val="26"/>
          <w:lang w:val="en-IE"/>
        </w:rPr>
        <w:t>envisioned by BCBS in Basel III Reform 2017. In particular, the criteria fail to encompass all exposures to all financial products and would benefit from utilizing a volume threshold rather than an exposure threshold.</w:t>
      </w:r>
    </w:p>
    <w:p w14:paraId="298E24E0"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Firstly, the current definition of SNCI inadequately captures the full spectrum of financial products that can introduce significant risks. Instruments such as stocks, securitizations, and derivatives each have distinct risk profiles, encompassing market risk, liquidity risk, and counterparty risk. The principle of proportionality, as stipulated in Article 2(145)(</w:t>
      </w:r>
      <w:proofErr w:type="spellStart"/>
      <w:r>
        <w:rPr>
          <w:rFonts w:ascii="Times New Roman" w:hAnsi="Times New Roman" w:cs="Times New Roman"/>
          <w:sz w:val="26"/>
          <w:szCs w:val="26"/>
          <w:lang w:val="en-IE"/>
        </w:rPr>
        <w:t>i</w:t>
      </w:r>
      <w:proofErr w:type="spellEnd"/>
      <w:r>
        <w:rPr>
          <w:rFonts w:ascii="Times New Roman" w:hAnsi="Times New Roman" w:cs="Times New Roman"/>
          <w:sz w:val="26"/>
          <w:szCs w:val="26"/>
          <w:lang w:val="en-IE"/>
        </w:rPr>
        <w:t>), mandates that regulatory requirements should be commensurate with an institution’s size, complexity, and risk profile. Focusing solely on derivatives exposure, without incorporating specific thresholds for stocks and securitizations, may lead to an incomplete assessment of an institution's risk exposure. Basel III Reform’s call for a broader risk segmentation framework, encompassing securitizations and stocks alongside derivatives, acknowledges the diverse risk profiles of different instruments. Implementing specific thresholds for these products would enable regulators to establish a more comprehensive and nuanced framework for risk measurement within the SNCI category.</w:t>
      </w:r>
    </w:p>
    <w:p w14:paraId="4D295CBF" w14:textId="77777777" w:rsidR="00D27914"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 xml:space="preserve">Secondly, </w:t>
      </w:r>
      <w:proofErr w:type="spellStart"/>
      <w:r>
        <w:rPr>
          <w:rFonts w:ascii="Times New Roman" w:hAnsi="Times New Roman" w:cs="Times New Roman"/>
          <w:sz w:val="26"/>
          <w:szCs w:val="26"/>
          <w:lang w:val="en-IE"/>
        </w:rPr>
        <w:t>Joosen</w:t>
      </w:r>
      <w:proofErr w:type="spellEnd"/>
      <w:r>
        <w:rPr>
          <w:rFonts w:ascii="Times New Roman" w:hAnsi="Times New Roman" w:cs="Times New Roman"/>
          <w:sz w:val="26"/>
          <w:szCs w:val="26"/>
          <w:lang w:val="en-IE"/>
        </w:rPr>
        <w:t xml:space="preserve"> and Lehmann argued that volume thresholds offer a more nuanced approach to proportionality for SNCIs in derivatives regulation compared to exposure thresholds.</w:t>
      </w:r>
      <w:r>
        <w:rPr>
          <w:rStyle w:val="FootnoteReference"/>
          <w:rFonts w:ascii="Times New Roman" w:hAnsi="Times New Roman" w:cs="Times New Roman"/>
          <w:sz w:val="26"/>
          <w:szCs w:val="26"/>
          <w:lang w:val="en-IE"/>
        </w:rPr>
        <w:footnoteReference w:id="64"/>
      </w:r>
      <w:r>
        <w:rPr>
          <w:rFonts w:ascii="Times New Roman" w:hAnsi="Times New Roman" w:cs="Times New Roman"/>
          <w:sz w:val="26"/>
          <w:szCs w:val="26"/>
          <w:lang w:val="en-IE"/>
        </w:rPr>
        <w:t xml:space="preserve"> The current exposure thresholds, while simpler to measure, may underestimate the complexity and operational risks associated with high-volume trading. In contrast, volume thresholds capture the intensity and operational complexities of derivatives trading, providing a more precise picture of market engagement and risk exposure. This ensures regulatory oversight aligns with actual trading activities, avoiding the potential obfuscation of risks inherent in solely considering net exposure. By reflecting the true scale and frequency of market activities, volume thresholds facilitate a more accurate assessment of an institution's risk profile.  This targeted approach ensures that regulatory burdens are commensurate with the institution's level of activity and complexity.  </w:t>
      </w:r>
    </w:p>
    <w:p w14:paraId="46D7EE24" w14:textId="37957978" w:rsidR="00B86B4A" w:rsidRDefault="00D27914" w:rsidP="00D27914">
      <w:pPr>
        <w:jc w:val="both"/>
        <w:rPr>
          <w:rFonts w:ascii="Times New Roman" w:hAnsi="Times New Roman" w:cs="Times New Roman"/>
          <w:sz w:val="26"/>
          <w:szCs w:val="26"/>
          <w:lang w:val="en-IE"/>
        </w:rPr>
      </w:pPr>
      <w:r>
        <w:rPr>
          <w:rFonts w:ascii="Times New Roman" w:hAnsi="Times New Roman" w:cs="Times New Roman"/>
          <w:sz w:val="26"/>
          <w:szCs w:val="26"/>
          <w:lang w:val="en-IE"/>
        </w:rPr>
        <w:t>Both aforementioned approaches strengthen risk management precision and effectiveness while upholding proportionality. They ensure regulatory fairness by tailoring oversight and requirements to an institution's actual risk profile. This targeted approach fosters a more robust financial system by comprehensively addressing diverse risks in a nuanced manner.</w:t>
      </w:r>
    </w:p>
    <w:p w14:paraId="7C61C7E2" w14:textId="77777777" w:rsidR="00B86B4A" w:rsidRDefault="00B86B4A">
      <w:pPr>
        <w:rPr>
          <w:rFonts w:ascii="Times New Roman" w:hAnsi="Times New Roman" w:cs="Times New Roman"/>
          <w:sz w:val="26"/>
          <w:szCs w:val="26"/>
          <w:lang w:val="en-IE"/>
        </w:rPr>
      </w:pPr>
      <w:r>
        <w:rPr>
          <w:rFonts w:ascii="Times New Roman" w:hAnsi="Times New Roman" w:cs="Times New Roman"/>
          <w:sz w:val="26"/>
          <w:szCs w:val="26"/>
          <w:lang w:val="en-IE"/>
        </w:rPr>
        <w:br w:type="page"/>
      </w:r>
    </w:p>
    <w:p w14:paraId="3E6A618D" w14:textId="77777777" w:rsidR="00B86B4A" w:rsidRDefault="00B86B4A" w:rsidP="00B86B4A">
      <w:pPr>
        <w:jc w:val="center"/>
        <w:rPr>
          <w:rFonts w:ascii="Times New Roman" w:hAnsi="Times New Roman" w:cs="Times New Roman"/>
          <w:b/>
          <w:bCs/>
          <w:color w:val="FF0000"/>
          <w:lang w:val="en-IE"/>
        </w:rPr>
      </w:pPr>
      <w:r>
        <w:rPr>
          <w:rFonts w:ascii="Times New Roman" w:hAnsi="Times New Roman" w:cs="Times New Roman"/>
          <w:b/>
          <w:bCs/>
          <w:color w:val="FF0000"/>
          <w:lang w:val="en-IE"/>
        </w:rPr>
        <w:t>NPL</w:t>
      </w:r>
    </w:p>
    <w:p w14:paraId="122D3511" w14:textId="77777777" w:rsidR="00B86B4A" w:rsidRDefault="00B86B4A" w:rsidP="00B86B4A">
      <w:pPr>
        <w:jc w:val="both"/>
        <w:rPr>
          <w:rFonts w:ascii="Times New Roman" w:hAnsi="Times New Roman" w:cs="Times New Roman"/>
          <w:lang w:val="en-IE"/>
        </w:rPr>
      </w:pPr>
      <w:r>
        <w:rPr>
          <w:rFonts w:ascii="Times New Roman" w:hAnsi="Times New Roman" w:cs="Times New Roman"/>
          <w:lang w:val="en-IE"/>
        </w:rPr>
        <w:t>The ECB's Guidance to banks on Non-Performing Loans (NPLs) pertains primarily to SIs and banks characterized by elevated NPL ratios exceeding the EU average and varying coverage levels, as indicated in the quarterly published EBA risk dashboard. These CIs are instructed to allocate an appropriate and proportionate degree of managerial focus and resources towards the resolution of NPLs and the enhancement of related internal controls.</w:t>
      </w:r>
      <w:r>
        <w:rPr>
          <w:rStyle w:val="FootnoteReference"/>
          <w:rFonts w:ascii="Times New Roman" w:hAnsi="Times New Roman" w:cs="Times New Roman"/>
          <w:lang w:val="en-IE"/>
        </w:rPr>
        <w:footnoteReference w:id="65"/>
      </w:r>
      <w:r>
        <w:rPr>
          <w:rFonts w:ascii="Times New Roman" w:hAnsi="Times New Roman" w:cs="Times New Roman"/>
          <w:lang w:val="en-IE"/>
        </w:rPr>
        <w:t xml:space="preserve"> The guidance emphasizes the implementation of internal targets and rigorous JSTs’ oversight, aimed at ensuring sustained advancements in NPL resolution.</w:t>
      </w:r>
      <w:r>
        <w:rPr>
          <w:rStyle w:val="FootnoteReference"/>
          <w:rFonts w:ascii="Times New Roman" w:hAnsi="Times New Roman" w:cs="Times New Roman"/>
          <w:lang w:val="en-IE"/>
        </w:rPr>
        <w:footnoteReference w:id="66"/>
      </w:r>
    </w:p>
    <w:p w14:paraId="6B5994A8" w14:textId="77777777" w:rsidR="00B86B4A" w:rsidRDefault="00B86B4A" w:rsidP="00B86B4A">
      <w:pPr>
        <w:jc w:val="both"/>
        <w:rPr>
          <w:rFonts w:ascii="Times New Roman" w:hAnsi="Times New Roman" w:cs="Times New Roman"/>
          <w:lang w:val="en-IE"/>
        </w:rPr>
      </w:pPr>
      <w:r>
        <w:rPr>
          <w:rFonts w:ascii="Times New Roman" w:hAnsi="Times New Roman" w:cs="Times New Roman"/>
          <w:lang w:val="en-IE"/>
        </w:rPr>
        <w:t>In terms of internal targets, the ECB guidelines predominantly incorporate qualitative criteria aligned with the proportionality principle. This principle ensures that banking protocols and responses are suitably calibrated relative to the intricacies, scale, and complexity inherent in each scenario. Notably, customized procedures tailored to distinct arrear stages (pre-arrears, early arrears, and late arrears) and diverse debt recovery options (such as voluntary asset sale, foreclosure, and debt collection) exemplify the customized approach to varying severity levels and complexities. Secondly, explicit approval thresholds and authority levels governing write-offs and forbearance solutions are established to match the magnitude and risk profile of exposures, thereby moderating impacts on capital while ensuring commensurate oversight. Thirdly, the allocation of human and technological resources, alongside the involvement of specialized professionals (including credit officers, legal experts, and real estate specialists), is calibrated according to the complexities and scale of NPL portfolios. This ensures that resources are commensurate with the demands of each case. Fourthly, decision-making processes are grounded in comprehensive assessments encompassing collateral assessments, legal documentation, borrower profiles, market conditions, and historical recovery rates, thereby ensuring actions are contextually appropriate and proportionate to specific circumstances and potential outcomes. Lastly, regular adjustments in risk management and provisioning practices are underscored through regular back-testing of financial loss, annual methodological reviews, and meticulous monitoring and reporting obligations. These practices collectively underscore how the ECB's guidelines on NPL management integrate the principle of proportionality, thereby tailoring interventions to the distinctive attributes of each situation.</w:t>
      </w:r>
    </w:p>
    <w:p w14:paraId="66A8D5CF" w14:textId="77777777" w:rsidR="00B86B4A" w:rsidRDefault="00B86B4A" w:rsidP="00B86B4A">
      <w:pPr>
        <w:jc w:val="both"/>
        <w:rPr>
          <w:rFonts w:ascii="Times New Roman" w:hAnsi="Times New Roman" w:cs="Times New Roman"/>
          <w:lang w:val="en-IE"/>
        </w:rPr>
      </w:pPr>
      <w:r>
        <w:rPr>
          <w:rFonts w:ascii="Times New Roman" w:hAnsi="Times New Roman" w:cs="Times New Roman"/>
          <w:lang w:val="en-IE"/>
        </w:rPr>
        <w:t>Regarding oversight through JSTs, ongoing engagements reveal</w:t>
      </w:r>
      <w:commentRangeStart w:id="24"/>
      <w:commentRangeStart w:id="25"/>
      <w:r>
        <w:rPr>
          <w:rFonts w:ascii="Times New Roman" w:hAnsi="Times New Roman" w:cs="Times New Roman"/>
          <w:lang w:val="en-IE"/>
        </w:rPr>
        <w:t xml:space="preserve"> </w:t>
      </w:r>
      <w:commentRangeEnd w:id="24"/>
      <w:r>
        <w:rPr>
          <w:rStyle w:val="CommentReference"/>
        </w:rPr>
        <w:commentReference w:id="24"/>
      </w:r>
      <w:commentRangeEnd w:id="25"/>
      <w:r>
        <w:rPr>
          <w:rStyle w:val="CommentReference"/>
        </w:rPr>
        <w:commentReference w:id="25"/>
      </w:r>
      <w:r>
        <w:rPr>
          <w:rFonts w:ascii="Times New Roman" w:hAnsi="Times New Roman" w:cs="Times New Roman"/>
          <w:lang w:val="en-IE"/>
        </w:rPr>
        <w:t>divergent approaches among banks concerning the identification, measurement, management, and write-off procedures for NPLs.</w:t>
      </w:r>
      <w:r>
        <w:rPr>
          <w:rStyle w:val="FootnoteReference"/>
          <w:rFonts w:ascii="Times New Roman" w:hAnsi="Times New Roman" w:cs="Times New Roman"/>
          <w:lang w:val="en-IE"/>
        </w:rPr>
        <w:footnoteReference w:id="67"/>
      </w:r>
      <w:r>
        <w:rPr>
          <w:rFonts w:ascii="Times New Roman" w:hAnsi="Times New Roman" w:cs="Times New Roman"/>
          <w:lang w:val="en-IE"/>
        </w:rPr>
        <w:t xml:space="preserve"> Indeed, a high-level group on non-performing loans was commissioned by the ECB's Supervisory Board in July 2015, comprising staff from the ECB and NCAs, tasked with developing a unified supervisory approach to NPLs.</w:t>
      </w:r>
      <w:r>
        <w:rPr>
          <w:rStyle w:val="FootnoteReference"/>
          <w:rFonts w:ascii="Times New Roman" w:hAnsi="Times New Roman" w:cs="Times New Roman"/>
          <w:lang w:val="en-IE"/>
        </w:rPr>
        <w:footnoteReference w:id="68"/>
      </w:r>
      <w:r>
        <w:rPr>
          <w:rFonts w:ascii="Times New Roman" w:hAnsi="Times New Roman" w:cs="Times New Roman"/>
          <w:lang w:val="en-IE"/>
        </w:rPr>
        <w:t xml:space="preserve"> High NPL banks are mandated to furnish their NPL strategies, including operational plans, to their JSTs annually by each year first quarter.</w:t>
      </w:r>
      <w:r>
        <w:rPr>
          <w:rStyle w:val="FootnoteReference"/>
          <w:rFonts w:ascii="Times New Roman" w:hAnsi="Times New Roman" w:cs="Times New Roman"/>
          <w:lang w:val="en-IE"/>
        </w:rPr>
        <w:footnoteReference w:id="69"/>
      </w:r>
    </w:p>
    <w:p w14:paraId="761F4BE0" w14:textId="77777777" w:rsidR="00B86B4A" w:rsidRDefault="00B86B4A" w:rsidP="00B86B4A">
      <w:pPr>
        <w:jc w:val="both"/>
        <w:rPr>
          <w:rFonts w:ascii="Times New Roman" w:hAnsi="Times New Roman" w:cs="Times New Roman"/>
          <w:lang w:val="en-IE"/>
        </w:rPr>
      </w:pPr>
      <w:r>
        <w:rPr>
          <w:rFonts w:ascii="Times New Roman" w:hAnsi="Times New Roman" w:cs="Times New Roman"/>
          <w:lang w:val="en-IE"/>
        </w:rPr>
        <w:t>Besides the Guidance on NPLs, the ECB utilizes primarily moral persuasion to prompt banks to adopt cautious provisioning practices related to credit risk, encompassing NPLs.</w:t>
      </w:r>
      <w:r>
        <w:rPr>
          <w:rStyle w:val="FootnoteReference"/>
          <w:rFonts w:ascii="Times New Roman" w:hAnsi="Times New Roman" w:cs="Times New Roman"/>
          <w:lang w:val="en-IE"/>
        </w:rPr>
        <w:footnoteReference w:id="70"/>
      </w:r>
      <w:r>
        <w:rPr>
          <w:rFonts w:ascii="Times New Roman" w:hAnsi="Times New Roman" w:cs="Times New Roman"/>
          <w:lang w:val="en-IE"/>
        </w:rPr>
        <w:t xml:space="preserve"> The ECB articulates supervisory expectations as a means to convey the intended objectives. For instance, amid the onset of the COVID-19 pandemic, the ECB sent letters to CEOs of SIs, providing supplementary guidance and outlining supervisory anticipations pertaining to the management of credit risk.</w:t>
      </w:r>
      <w:r>
        <w:rPr>
          <w:rStyle w:val="FootnoteReference"/>
          <w:rFonts w:ascii="Times New Roman" w:hAnsi="Times New Roman" w:cs="Times New Roman"/>
          <w:lang w:val="en-IE"/>
        </w:rPr>
        <w:footnoteReference w:id="71"/>
      </w:r>
    </w:p>
    <w:p w14:paraId="29AEBCDF" w14:textId="77777777" w:rsidR="00B86B4A" w:rsidRDefault="00B86B4A" w:rsidP="00B86B4A">
      <w:pPr>
        <w:jc w:val="both"/>
        <w:rPr>
          <w:rFonts w:ascii="Times New Roman" w:hAnsi="Times New Roman" w:cs="Times New Roman"/>
          <w:lang w:val="en-IE"/>
        </w:rPr>
      </w:pPr>
      <w:r>
        <w:rPr>
          <w:rFonts w:ascii="Times New Roman" w:hAnsi="Times New Roman" w:cs="Times New Roman"/>
          <w:lang w:val="en-IE"/>
        </w:rPr>
        <w:t xml:space="preserve">The necessity for the ECB to consider carefully the proportional reduction of NPLs to manage credit risk effectively without adversely impacting smaller banks is crucial. While EU financial regulations allow some discretion for NCAs in supervising NPLs of LSIs, the ECB's increasing inclination towards direct supervision of LSIs suggests that future guidance on NPLs may need to include specific provisions to protect these smaller entities. </w:t>
      </w:r>
    </w:p>
    <w:p w14:paraId="2F909174" w14:textId="77777777" w:rsidR="00B86B4A" w:rsidRDefault="00B86B4A" w:rsidP="00B86B4A">
      <w:pPr>
        <w:jc w:val="both"/>
        <w:rPr>
          <w:rFonts w:ascii="Times New Roman" w:hAnsi="Times New Roman" w:cs="Times New Roman"/>
          <w:lang w:val="en-IE"/>
        </w:rPr>
      </w:pPr>
      <w:r>
        <w:rPr>
          <w:rFonts w:ascii="Times New Roman" w:hAnsi="Times New Roman" w:cs="Times New Roman"/>
          <w:lang w:val="en-IE"/>
        </w:rPr>
        <w:t>A case in point is the Bank of Italy's 2018 guidelines for Italian LSIs, which emphasize the expectation of realistic and well-supported NPL disposal strategies, such as direct selling of NPL portfolios and securitization. However, these approaches pose significant challenges for smaller banks due to investor preference for larger portfolios and the high fixed costs of securitization.</w:t>
      </w:r>
      <w:r>
        <w:rPr>
          <w:rStyle w:val="FootnoteReference"/>
          <w:rFonts w:ascii="Times New Roman" w:hAnsi="Times New Roman" w:cs="Times New Roman"/>
          <w:lang w:val="en-IE"/>
        </w:rPr>
        <w:footnoteReference w:id="72"/>
      </w:r>
      <w:r>
        <w:rPr>
          <w:rFonts w:ascii="Times New Roman" w:hAnsi="Times New Roman" w:cs="Times New Roman"/>
          <w:lang w:val="en-IE"/>
        </w:rPr>
        <w:t xml:space="preserve"> Furthermore, the inherent time pressures associated with aforementioned strategies can create tension with the requisite timeframe for identifying qualified counterparties, performing comprehensive portfolio evaluations, and </w:t>
      </w:r>
      <w:proofErr w:type="spellStart"/>
      <w:r>
        <w:rPr>
          <w:rFonts w:ascii="Times New Roman" w:hAnsi="Times New Roman" w:cs="Times New Roman"/>
          <w:lang w:val="en-IE"/>
        </w:rPr>
        <w:t>honoring</w:t>
      </w:r>
      <w:proofErr w:type="spellEnd"/>
      <w:r>
        <w:rPr>
          <w:rFonts w:ascii="Times New Roman" w:hAnsi="Times New Roman" w:cs="Times New Roman"/>
          <w:lang w:val="en-IE"/>
        </w:rPr>
        <w:t xml:space="preserve"> exclusivity agreements commonly demanded by investors.</w:t>
      </w:r>
      <w:r>
        <w:rPr>
          <w:rStyle w:val="FootnoteReference"/>
          <w:rFonts w:ascii="Times New Roman" w:hAnsi="Times New Roman" w:cs="Times New Roman"/>
          <w:lang w:val="en-IE"/>
        </w:rPr>
        <w:footnoteReference w:id="73"/>
      </w:r>
      <w:r>
        <w:rPr>
          <w:rFonts w:ascii="Times New Roman" w:hAnsi="Times New Roman" w:cs="Times New Roman"/>
          <w:lang w:val="en-IE"/>
        </w:rPr>
        <w:t xml:space="preserve"> In contrast, Ireland's more measured approach, acknowledging the protracted nature of NPL resolution even during economic growth, has yielded positive results. This strategy, which aligns with accepting NPL resolution as a long-term </w:t>
      </w:r>
      <w:proofErr w:type="spellStart"/>
      <w:r>
        <w:rPr>
          <w:rFonts w:ascii="Times New Roman" w:hAnsi="Times New Roman" w:cs="Times New Roman"/>
          <w:lang w:val="en-IE"/>
        </w:rPr>
        <w:t>endeavor</w:t>
      </w:r>
      <w:proofErr w:type="spellEnd"/>
      <w:r>
        <w:rPr>
          <w:rFonts w:ascii="Times New Roman" w:hAnsi="Times New Roman" w:cs="Times New Roman"/>
          <w:lang w:val="en-IE"/>
        </w:rPr>
        <w:t>, led to a substantial reduction of NPLs by €50 billion, or 58% from peak levels in its crisis, over fourteen consecutive quarters.</w:t>
      </w:r>
      <w:r>
        <w:rPr>
          <w:rStyle w:val="FootnoteReference"/>
          <w:rFonts w:ascii="Times New Roman" w:hAnsi="Times New Roman" w:cs="Times New Roman"/>
          <w:lang w:val="en-IE"/>
        </w:rPr>
        <w:footnoteReference w:id="74"/>
      </w:r>
      <w:r>
        <w:rPr>
          <w:rFonts w:ascii="Times New Roman" w:hAnsi="Times New Roman" w:cs="Times New Roman"/>
          <w:lang w:val="en-IE"/>
        </w:rPr>
        <w:t xml:space="preserve"> </w:t>
      </w:r>
    </w:p>
    <w:p w14:paraId="5828CBD5" w14:textId="77777777" w:rsidR="00B86B4A" w:rsidRDefault="00B86B4A" w:rsidP="00B86B4A">
      <w:pPr>
        <w:jc w:val="both"/>
        <w:rPr>
          <w:rFonts w:ascii="Times New Roman" w:hAnsi="Times New Roman" w:cs="Times New Roman"/>
          <w:lang w:val="en-IE"/>
        </w:rPr>
      </w:pPr>
      <w:r>
        <w:rPr>
          <w:rFonts w:ascii="Times New Roman" w:hAnsi="Times New Roman" w:cs="Times New Roman"/>
          <w:lang w:val="en-IE"/>
        </w:rPr>
        <w:t>Therefore, future ECB NPL management guidelines should strike a balance between the urgency of NPL reduction and the operational realities of smaller banks. This ensures that NPL management practices do not disproportionately disadvantage these institutions.</w:t>
      </w:r>
    </w:p>
    <w:p w14:paraId="6A431C91" w14:textId="77777777" w:rsidR="00A16AF2" w:rsidRPr="005E72F9" w:rsidRDefault="00A16AF2" w:rsidP="00841D66">
      <w:pPr>
        <w:jc w:val="both"/>
        <w:rPr>
          <w:rFonts w:ascii="Times New Roman" w:hAnsi="Times New Roman" w:cs="Times New Roman"/>
        </w:rPr>
      </w:pPr>
    </w:p>
    <w:sectPr w:rsidR="00A16AF2" w:rsidRPr="005E72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u Linh Luong" w:date="2024-06-11T14:18:00Z" w:initials="DLL">
    <w:p w14:paraId="30042E05" w14:textId="77777777" w:rsidR="007F5A9B" w:rsidRDefault="007F5A9B" w:rsidP="00387B7E">
      <w:pPr>
        <w:pStyle w:val="CommentText"/>
      </w:pPr>
      <w:r>
        <w:rPr>
          <w:rStyle w:val="CommentReference"/>
        </w:rPr>
        <w:annotationRef/>
      </w:r>
      <w:r>
        <w:rPr>
          <w:color w:val="08122C"/>
          <w:highlight w:val="white"/>
        </w:rPr>
        <w:t>Another problem is that the EU uses a 'one size fits all approach' to supervision by imposing the same rules on systematically important banks and other lenders. This approach raises serious concerns regarding its compatibility with the proportionality principle and leads to enormous costs for small banks, which crack under the regulatory burden. It also spurs a run for size in order to cope with the costs, turns away regulatory and supervisory resources from important risks, and thereby paradoxically increases the danger of financial instability.</w:t>
      </w:r>
      <w:r>
        <w:t xml:space="preserve"> </w:t>
      </w:r>
    </w:p>
  </w:comment>
  <w:comment w:id="1" w:author="Dieu Linh Luong" w:date="2024-06-11T14:18:00Z" w:initials="DLL">
    <w:p w14:paraId="31019342" w14:textId="77777777" w:rsidR="002B2066" w:rsidRDefault="002B2066" w:rsidP="00EE0B2D">
      <w:pPr>
        <w:pStyle w:val="CommentText"/>
      </w:pPr>
      <w:r>
        <w:rPr>
          <w:rStyle w:val="CommentReference"/>
        </w:rPr>
        <w:annotationRef/>
      </w:r>
      <w:hyperlink r:id="rId1" w:history="1">
        <w:r w:rsidRPr="00EE0B2D">
          <w:rPr>
            <w:rStyle w:val="Hyperlink"/>
          </w:rPr>
          <w:t>https://blogs.law.ox.ac.uk/business-law-blog/blog/2017/04/proposals-reforming-ssm-european-banking-act-and-%E2%80%98crr-light%E2%80%99</w:t>
        </w:r>
      </w:hyperlink>
    </w:p>
  </w:comment>
  <w:comment w:id="2" w:author="Dieu Linh Luong" w:date="2024-06-12T03:29:00Z" w:initials="DLL">
    <w:p w14:paraId="42155DAE" w14:textId="77777777" w:rsidR="00366FB5" w:rsidRDefault="00366FB5" w:rsidP="005722B7">
      <w:pPr>
        <w:pStyle w:val="CommentText"/>
      </w:pPr>
      <w:r>
        <w:rPr>
          <w:rStyle w:val="CommentReference"/>
        </w:rPr>
        <w:annotationRef/>
      </w:r>
      <w:hyperlink r:id="rId2" w:history="1">
        <w:r w:rsidRPr="005722B7">
          <w:rPr>
            <w:rStyle w:val="Hyperlink"/>
          </w:rPr>
          <w:t>https://www.bankingsupervision.europa.eu/press/speeches/date/2019/html/ssm.sp190509~7b20eedbe7.en.html</w:t>
        </w:r>
      </w:hyperlink>
    </w:p>
  </w:comment>
  <w:comment w:id="3" w:author="Dieu Linh Luong" w:date="2024-06-13T23:23:00Z" w:initials="DLL">
    <w:p w14:paraId="1FE56356" w14:textId="77777777" w:rsidR="0036590A" w:rsidRDefault="0036590A" w:rsidP="0085062A">
      <w:pPr>
        <w:pStyle w:val="CommentText"/>
      </w:pPr>
      <w:r>
        <w:rPr>
          <w:rStyle w:val="CommentReference"/>
        </w:rPr>
        <w:annotationRef/>
      </w:r>
      <w:r>
        <w:rPr>
          <w:color w:val="222222"/>
          <w:highlight w:val="white"/>
        </w:rPr>
        <w:t> As noted by Tridimas, it is an umbrella principle encompassing diverse levels of scrutiny, contingent upon various factors such as the area of intervention, the nature of the rights invoked, the gravity of the interference, and the objective pursued by the measure</w:t>
      </w:r>
      <w:r>
        <w:t xml:space="preserve"> </w:t>
      </w:r>
    </w:p>
  </w:comment>
  <w:comment w:id="4" w:author="Dieu Linh Luong" w:date="2024-06-13T23:23:00Z" w:initials="DLL">
    <w:p w14:paraId="2E1D0C45" w14:textId="77777777" w:rsidR="0036590A" w:rsidRDefault="0036590A" w:rsidP="004E1136">
      <w:pPr>
        <w:pStyle w:val="CommentText"/>
      </w:pPr>
      <w:r>
        <w:rPr>
          <w:rStyle w:val="CommentReference"/>
        </w:rPr>
        <w:annotationRef/>
      </w:r>
      <w:hyperlink r:id="rId3" w:anchor="Sec6" w:history="1">
        <w:r w:rsidRPr="004E1136">
          <w:rPr>
            <w:rStyle w:val="Hyperlink"/>
          </w:rPr>
          <w:t>https://link.springer.com/article/10.1007/s40802-024-00258-4#Sec6</w:t>
        </w:r>
      </w:hyperlink>
    </w:p>
  </w:comment>
  <w:comment w:id="5" w:author="Dieu Linh Luong" w:date="2024-06-10T13:53:00Z" w:initials="DLL">
    <w:p w14:paraId="0DF66150" w14:textId="487835EF" w:rsidR="00B609CC" w:rsidRDefault="00B609CC" w:rsidP="00A47B7B">
      <w:pPr>
        <w:pStyle w:val="CommentText"/>
      </w:pPr>
      <w:r>
        <w:rPr>
          <w:rStyle w:val="CommentReference"/>
        </w:rPr>
        <w:annotationRef/>
      </w:r>
      <w:hyperlink r:id="rId4" w:history="1">
        <w:r w:rsidRPr="00A47B7B">
          <w:rPr>
            <w:rStyle w:val="Hyperlink"/>
          </w:rPr>
          <w:t>https://www.bis.org/speeches/sp230913.htm</w:t>
        </w:r>
      </w:hyperlink>
    </w:p>
  </w:comment>
  <w:comment w:id="6" w:author="Dieu Linh Luong" w:date="2024-06-10T17:58:00Z" w:initials="DLL">
    <w:p w14:paraId="7BC32D4A" w14:textId="77777777" w:rsidR="007D6F84" w:rsidRDefault="007D6F84" w:rsidP="006250FD">
      <w:pPr>
        <w:pStyle w:val="CommentText"/>
      </w:pPr>
      <w:r>
        <w:rPr>
          <w:rStyle w:val="CommentReference"/>
        </w:rPr>
        <w:annotationRef/>
      </w:r>
      <w:hyperlink r:id="rId5" w:history="1">
        <w:r w:rsidRPr="006250FD">
          <w:rPr>
            <w:rStyle w:val="Hyperlink"/>
          </w:rPr>
          <w:t>https://www.bis.org/bcbs/events/icbs24/icbs24_workshop6.pdf</w:t>
        </w:r>
      </w:hyperlink>
    </w:p>
  </w:comment>
  <w:comment w:id="7" w:author="Dieu Linh Luong" w:date="2024-06-10T13:35:00Z" w:initials="DLL">
    <w:p w14:paraId="31C8E1C2" w14:textId="4E9BE9ED" w:rsidR="0014521C" w:rsidRDefault="0014521C" w:rsidP="00220C08">
      <w:pPr>
        <w:pStyle w:val="CommentText"/>
      </w:pPr>
      <w:r>
        <w:rPr>
          <w:rStyle w:val="CommentReference"/>
        </w:rPr>
        <w:annotationRef/>
      </w:r>
      <w:hyperlink r:id="rId6" w:history="1">
        <w:r w:rsidRPr="00220C08">
          <w:rPr>
            <w:rStyle w:val="Hyperlink"/>
          </w:rPr>
          <w:t>https://www.bis.org/speeches/sp221107.pdf</w:t>
        </w:r>
      </w:hyperlink>
    </w:p>
  </w:comment>
  <w:comment w:id="8" w:author="Dieu Linh Luong" w:date="2024-06-10T13:46:00Z" w:initials="DLL">
    <w:p w14:paraId="117CD4D2" w14:textId="77777777" w:rsidR="00FF1A45" w:rsidRDefault="00FF1A45" w:rsidP="007D0482">
      <w:pPr>
        <w:pStyle w:val="CommentText"/>
      </w:pPr>
      <w:r>
        <w:rPr>
          <w:rStyle w:val="CommentReference"/>
        </w:rPr>
        <w:annotationRef/>
      </w:r>
      <w:hyperlink r:id="rId7" w:history="1">
        <w:r w:rsidRPr="007D0482">
          <w:rPr>
            <w:rStyle w:val="Hyperlink"/>
          </w:rPr>
          <w:t>https://www.bis.org/review/r180126b.htm</w:t>
        </w:r>
      </w:hyperlink>
    </w:p>
  </w:comment>
  <w:comment w:id="9" w:author="Dieu Linh Luong" w:date="2024-06-13T23:31:00Z" w:initials="DLL">
    <w:p w14:paraId="7FB12443" w14:textId="77777777" w:rsidR="00B31306" w:rsidRDefault="00B31306" w:rsidP="00E80241">
      <w:pPr>
        <w:pStyle w:val="CommentText"/>
      </w:pPr>
      <w:r>
        <w:rPr>
          <w:rStyle w:val="CommentReference"/>
        </w:rPr>
        <w:annotationRef/>
      </w:r>
      <w:hyperlink r:id="rId8" w:anchor="Sec6" w:history="1">
        <w:r w:rsidRPr="00E80241">
          <w:rPr>
            <w:rStyle w:val="Hyperlink"/>
          </w:rPr>
          <w:t>https://link.springer.com/article/10.1007/s40802-024-00258-4#Sec6</w:t>
        </w:r>
      </w:hyperlink>
    </w:p>
  </w:comment>
  <w:comment w:id="10" w:author="Dieu Linh Luong" w:date="2024-06-13T23:33:00Z" w:initials="DLL">
    <w:p w14:paraId="7330BDCC" w14:textId="77777777" w:rsidR="000F71EC" w:rsidRDefault="000F71EC" w:rsidP="00D21F29">
      <w:pPr>
        <w:pStyle w:val="CommentText"/>
      </w:pPr>
      <w:r>
        <w:rPr>
          <w:rStyle w:val="CommentReference"/>
        </w:rPr>
        <w:annotationRef/>
      </w:r>
      <w:hyperlink r:id="rId9" w:anchor="Sec6" w:history="1">
        <w:r w:rsidRPr="00D21F29">
          <w:rPr>
            <w:rStyle w:val="Hyperlink"/>
          </w:rPr>
          <w:t>https://link.springer.com/article/10.1007/s40802-024-00258-4#Sec6</w:t>
        </w:r>
      </w:hyperlink>
    </w:p>
  </w:comment>
  <w:comment w:id="11" w:author="Dieu Linh Luong" w:date="2024-06-12T14:04:00Z" w:initials="DLL">
    <w:p w14:paraId="5723AAD4" w14:textId="1FFAA98B" w:rsidR="006E724F" w:rsidRDefault="006E724F" w:rsidP="006E724F">
      <w:pPr>
        <w:pStyle w:val="CommentText"/>
      </w:pPr>
      <w:r>
        <w:rPr>
          <w:rStyle w:val="CommentReference"/>
        </w:rPr>
        <w:annotationRef/>
      </w:r>
      <w:hyperlink r:id="rId10" w:history="1">
        <w:r w:rsidRPr="00A203AF">
          <w:rPr>
            <w:rStyle w:val="Hyperlink"/>
          </w:rPr>
          <w:t>https://www.astrid-online.it/static/upload/2304/230418-single-supervisory-mechanism-report_en.pdf</w:t>
        </w:r>
      </w:hyperlink>
    </w:p>
  </w:comment>
  <w:comment w:id="12" w:author="Dieu Linh Luong" w:date="2024-06-10T17:57:00Z" w:initials="DLL">
    <w:p w14:paraId="6A5EBC14" w14:textId="1571C148" w:rsidR="00C3170D" w:rsidRDefault="00C3170D" w:rsidP="001F7E5E">
      <w:pPr>
        <w:pStyle w:val="CommentText"/>
      </w:pPr>
      <w:r>
        <w:rPr>
          <w:rStyle w:val="CommentReference"/>
        </w:rPr>
        <w:annotationRef/>
      </w:r>
      <w:hyperlink r:id="rId11" w:history="1">
        <w:r w:rsidRPr="001F7E5E">
          <w:rPr>
            <w:rStyle w:val="Hyperlink"/>
          </w:rPr>
          <w:t>https://www.bis.org/speeches/sp230914.htm</w:t>
        </w:r>
      </w:hyperlink>
    </w:p>
  </w:comment>
  <w:comment w:id="13" w:author="Dieu Linh Luong" w:date="2024-06-12T03:15:00Z" w:initials="DLL">
    <w:p w14:paraId="37961839" w14:textId="77777777" w:rsidR="00077935" w:rsidRDefault="00077935" w:rsidP="001D35B4">
      <w:pPr>
        <w:pStyle w:val="CommentText"/>
      </w:pPr>
      <w:r>
        <w:rPr>
          <w:rStyle w:val="CommentReference"/>
        </w:rPr>
        <w:annotationRef/>
      </w:r>
      <w:hyperlink r:id="rId12" w:history="1">
        <w:r w:rsidRPr="001D35B4">
          <w:rPr>
            <w:rStyle w:val="Hyperlink"/>
          </w:rPr>
          <w:t>https://www.bankingsupervision.europa.eu/press/speeches/date/2019/html/ssm.sp191121_1~a65cdec01d.en.html</w:t>
        </w:r>
      </w:hyperlink>
    </w:p>
  </w:comment>
  <w:comment w:id="14" w:author="Dieu Linh Luong" w:date="2024-06-12T03:11:00Z" w:initials="DLL">
    <w:p w14:paraId="471EE4B7" w14:textId="11EF8D18" w:rsidR="006B4AC0" w:rsidRDefault="006B4AC0" w:rsidP="00C5422A">
      <w:pPr>
        <w:pStyle w:val="CommentText"/>
      </w:pPr>
      <w:r>
        <w:rPr>
          <w:rStyle w:val="CommentReference"/>
        </w:rPr>
        <w:annotationRef/>
      </w:r>
      <w:hyperlink r:id="rId13" w:history="1">
        <w:r w:rsidRPr="00C5422A">
          <w:rPr>
            <w:rStyle w:val="Hyperlink"/>
          </w:rPr>
          <w:t>https://www.bankingsupervision.europa.eu/press/speeches/date/2019/html/ssm.sp191121_1~a65cdec01d.en.html</w:t>
        </w:r>
      </w:hyperlink>
    </w:p>
  </w:comment>
  <w:comment w:id="15" w:author="Dieu Linh Luong" w:date="2024-06-21T03:27:00Z" w:initials="DLL">
    <w:p w14:paraId="4B804DDF" w14:textId="77777777" w:rsidR="008D49B4" w:rsidRDefault="008D49B4" w:rsidP="00FD6120">
      <w:pPr>
        <w:pStyle w:val="CommentText"/>
      </w:pPr>
      <w:r>
        <w:rPr>
          <w:rStyle w:val="CommentReference"/>
        </w:rPr>
        <w:annotationRef/>
      </w:r>
      <w:hyperlink r:id="rId14" w:history="1">
        <w:r w:rsidRPr="00FD6120">
          <w:rPr>
            <w:rStyle w:val="Hyperlink"/>
          </w:rPr>
          <w:t>file:///C:/Users/luong/Downloads/13JBusEntrepreneurshipL18.pdf</w:t>
        </w:r>
      </w:hyperlink>
    </w:p>
  </w:comment>
  <w:comment w:id="16" w:author="Dieu Linh Luong" w:date="2024-05-30T04:02:00Z" w:initials="DLL">
    <w:p w14:paraId="7C5D5BE3" w14:textId="489CEBDB" w:rsidR="00DD22D4" w:rsidRDefault="00DD22D4">
      <w:pPr>
        <w:pStyle w:val="CommentText"/>
      </w:pPr>
      <w:r>
        <w:rPr>
          <w:rStyle w:val="CommentReference"/>
        </w:rPr>
        <w:annotationRef/>
      </w:r>
      <w:r>
        <w:t>Comment</w:t>
      </w:r>
    </w:p>
    <w:p w14:paraId="249B1132" w14:textId="77777777" w:rsidR="00DD22D4" w:rsidRDefault="00DD22D4">
      <w:pPr>
        <w:pStyle w:val="CommentText"/>
      </w:pPr>
      <w:r>
        <w:t>Proportionality</w:t>
      </w:r>
    </w:p>
    <w:p w14:paraId="6BEF7D35" w14:textId="77777777" w:rsidR="00DD22D4" w:rsidRDefault="00DD22D4">
      <w:pPr>
        <w:pStyle w:val="CommentText"/>
      </w:pPr>
      <w:r>
        <w:t>However, to be honest, it was inevitable that the question of the division of competences under the SSM be set forward, since it is directly linked to the alleged failure by the ECB to apply the principles of proportionality and subsidiarity. In addition, if the ECB’s "weight" with regard to supervision on non-significant banks is diminished, the space left to NCAs under the SSM increases, and also the chances of changing the classification of an otherwise significant bank, that, as a consequence, might fall back to the alley of its "natural" national supervision.</w:t>
      </w:r>
    </w:p>
    <w:p w14:paraId="5DA3567C" w14:textId="77777777" w:rsidR="00DD22D4" w:rsidRDefault="00DD22D4">
      <w:pPr>
        <w:pStyle w:val="CommentText"/>
      </w:pPr>
    </w:p>
    <w:p w14:paraId="5E39B32E" w14:textId="77777777" w:rsidR="00DD22D4" w:rsidRDefault="00DD22D4">
      <w:pPr>
        <w:pStyle w:val="CommentText"/>
      </w:pPr>
      <w:r>
        <w:t>Accountability</w:t>
      </w:r>
    </w:p>
    <w:p w14:paraId="451E21CE" w14:textId="77777777" w:rsidR="00DD22D4" w:rsidRDefault="00DD22D4" w:rsidP="0086656A">
      <w:pPr>
        <w:pStyle w:val="CommentText"/>
      </w:pPr>
      <w:r>
        <w:t>The reference, shown in par. 37 of the decision, to a “decentralized implementation” of the powers of the ECB by the NCAs is not sufficient to accurately identify the nature of the relationship between the former and the latter: in fact, what does that expression actually mean?</w:t>
      </w:r>
    </w:p>
  </w:comment>
  <w:comment w:id="17" w:author="Dieu Linh Luong" w:date="2024-05-30T15:55:00Z" w:initials="DLL">
    <w:p w14:paraId="648E437E" w14:textId="77777777" w:rsidR="00073153" w:rsidRDefault="00073153" w:rsidP="00A8545B">
      <w:pPr>
        <w:pStyle w:val="CommentText"/>
      </w:pPr>
      <w:r>
        <w:rPr>
          <w:rStyle w:val="CommentReference"/>
        </w:rPr>
        <w:annotationRef/>
      </w:r>
      <w:hyperlink r:id="rId15" w:anchor="Sec8" w:history="1">
        <w:r w:rsidRPr="00A8545B">
          <w:rPr>
            <w:rStyle w:val="Hyperlink"/>
          </w:rPr>
          <w:t>https://link.springer.com/article/10.1007/s40804-019-00170-y#Sec8</w:t>
        </w:r>
      </w:hyperlink>
    </w:p>
  </w:comment>
  <w:comment w:id="18" w:author="Dieu Linh Luong" w:date="2024-05-31T18:09:00Z" w:initials="DLL">
    <w:p w14:paraId="4C3B3342" w14:textId="77777777" w:rsidR="00306516" w:rsidRDefault="00306516" w:rsidP="003E023F">
      <w:pPr>
        <w:pStyle w:val="CommentText"/>
      </w:pPr>
      <w:r>
        <w:rPr>
          <w:rStyle w:val="CommentReference"/>
        </w:rPr>
        <w:annotationRef/>
      </w:r>
      <w:hyperlink r:id="rId16" w:history="1">
        <w:r w:rsidRPr="003E023F">
          <w:rPr>
            <w:rStyle w:val="Hyperlink"/>
          </w:rPr>
          <w:t>*53IntlLaw291.pdf</w:t>
        </w:r>
      </w:hyperlink>
      <w:r>
        <w:t xml:space="preserve"> </w:t>
      </w:r>
    </w:p>
  </w:comment>
  <w:comment w:id="19" w:author="Dieu Linh Luong" w:date="2024-06-08T02:37:00Z" w:initials="DLL">
    <w:p w14:paraId="4B6F562D" w14:textId="77777777" w:rsidR="000E2792" w:rsidRDefault="000E2792" w:rsidP="00170A60">
      <w:pPr>
        <w:pStyle w:val="CommentText"/>
      </w:pPr>
      <w:r>
        <w:rPr>
          <w:rStyle w:val="CommentReference"/>
        </w:rPr>
        <w:annotationRef/>
      </w:r>
      <w:r>
        <w:t xml:space="preserve">Once a decision or measure has to be taken simply because it follows from the clear legal rule in question, it would be arbitrary for the competent authority to be able to decide, in other words have a margin of appreciation, not to apply that legal rule because the consequences would be too far-reaching. On that front, the competent authority would deliberately act in violation of the law if an authority would decide not to apply the relevant rule in an individual case, while in other similar cases that rule would be applied. This is because the authority believes that the consequences of applying that rule in that exceptional case would lead to disproportionate effects. The door for arbitrary decisions would then be left open. For example, under a statutory provision, violation of a rule carries an administrative sanction, such as a fine. Then it would not be within the power of the relevant authority to refrain from imposing that fine when the violation has been established, because the consequences would be too detrimental to the institution concerned </w:t>
      </w:r>
    </w:p>
  </w:comment>
  <w:comment w:id="20" w:author="Dieu Linh Luong" w:date="2024-06-08T02:37:00Z" w:initials="DLL">
    <w:p w14:paraId="5DF3D579" w14:textId="77777777" w:rsidR="00B01D4E" w:rsidRDefault="00B01D4E" w:rsidP="006D1513">
      <w:pPr>
        <w:pStyle w:val="CommentText"/>
      </w:pPr>
      <w:r>
        <w:rPr>
          <w:rStyle w:val="CommentReference"/>
        </w:rPr>
        <w:annotationRef/>
      </w:r>
      <w:hyperlink r:id="rId17" w:history="1">
        <w:r w:rsidRPr="006D1513">
          <w:rPr>
            <w:rStyle w:val="Hyperlink"/>
          </w:rPr>
          <w:t>*1887_3728221-JoosenEBI2023 (1).pdf</w:t>
        </w:r>
      </w:hyperlink>
      <w:r>
        <w:t xml:space="preserve"> </w:t>
      </w:r>
    </w:p>
  </w:comment>
  <w:comment w:id="21" w:author="Dieu Linh Luong" w:date="2024-06-18T04:37:00Z" w:initials="DLL">
    <w:p w14:paraId="7C13E346" w14:textId="77777777" w:rsidR="00DF1530" w:rsidRDefault="00DF1530" w:rsidP="00C82222">
      <w:pPr>
        <w:pStyle w:val="CommentText"/>
      </w:pPr>
      <w:r>
        <w:rPr>
          <w:rStyle w:val="CommentReference"/>
        </w:rPr>
        <w:annotationRef/>
      </w:r>
      <w:hyperlink r:id="rId18" w:history="1">
        <w:r w:rsidRPr="00C82222">
          <w:rPr>
            <w:rStyle w:val="Hyperlink"/>
          </w:rPr>
          <w:t>https://www.bankingsupervision.europa.eu/press/publications/sanctioning-report/html/ssm.sr2024~fa110879af.en.html</w:t>
        </w:r>
      </w:hyperlink>
    </w:p>
  </w:comment>
  <w:comment w:id="22" w:author="Dieu Linh Luong" w:date="2024-06-16T04:26:00Z" w:initials="DLL">
    <w:p w14:paraId="46A9CBB6" w14:textId="4FAC3B13" w:rsidR="0096081C" w:rsidRDefault="0096081C" w:rsidP="0096081C">
      <w:pPr>
        <w:pStyle w:val="CommentText"/>
      </w:pPr>
      <w:r>
        <w:rPr>
          <w:rStyle w:val="CommentReference"/>
        </w:rPr>
        <w:annotationRef/>
      </w:r>
      <w:r>
        <w:rPr>
          <w:lang w:val="en-IE"/>
        </w:rPr>
        <w:t>Viết kết luận</w:t>
      </w:r>
    </w:p>
  </w:comment>
  <w:comment w:id="23" w:author="Dieu Linh Luong" w:date="2024-06-23T01:39:00Z" w:initials="DLL">
    <w:p w14:paraId="44949267" w14:textId="77777777" w:rsidR="00D27914" w:rsidRDefault="00D27914" w:rsidP="00D27914">
      <w:pPr>
        <w:pStyle w:val="CommentText"/>
      </w:pPr>
      <w:r>
        <w:rPr>
          <w:rStyle w:val="CommentReference"/>
        </w:rPr>
        <w:annotationRef/>
      </w:r>
      <w:r>
        <w:rPr>
          <w:lang w:val="en-IE"/>
        </w:rPr>
        <w:t>Y tuong: viec taach ra high risk va high impact thuc day proportionality hon</w:t>
      </w:r>
    </w:p>
  </w:comment>
  <w:comment w:id="24" w:author="Dieu Linh Luong" w:date="2024-06-23T01:05:00Z" w:initials="DLL">
    <w:p w14:paraId="3020892A" w14:textId="77777777" w:rsidR="00B86B4A" w:rsidRDefault="00B86B4A" w:rsidP="00B86B4A">
      <w:pPr>
        <w:pStyle w:val="CommentText"/>
      </w:pPr>
      <w:r>
        <w:rPr>
          <w:rStyle w:val="CommentReference"/>
        </w:rPr>
        <w:annotationRef/>
      </w:r>
      <w:r>
        <w:rPr>
          <w:lang w:val="en-IE"/>
        </w:rPr>
        <w:t>Use past tense</w:t>
      </w:r>
    </w:p>
  </w:comment>
  <w:comment w:id="25" w:author="Dieu Linh Luong" w:date="2024-06-23T01:28:00Z" w:initials="DLL">
    <w:p w14:paraId="6B3AE17A" w14:textId="77777777" w:rsidR="00B86B4A" w:rsidRDefault="00B86B4A" w:rsidP="00B86B4A">
      <w:pPr>
        <w:pStyle w:val="CommentText"/>
      </w:pPr>
      <w:r>
        <w:rPr>
          <w:rStyle w:val="CommentReference"/>
        </w:rPr>
        <w:annotationRef/>
      </w:r>
      <w:r>
        <w:rPr>
          <w:lang w:val="en-IE"/>
        </w:rPr>
        <w:t>Va viet doan nay ro hon. Khong thay ro la proprotionaility  dau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042E05" w15:done="0"/>
  <w15:commentEx w15:paraId="31019342" w15:paraIdParent="30042E05" w15:done="0"/>
  <w15:commentEx w15:paraId="42155DAE" w15:done="0"/>
  <w15:commentEx w15:paraId="1FE56356" w15:done="0"/>
  <w15:commentEx w15:paraId="2E1D0C45" w15:paraIdParent="1FE56356" w15:done="0"/>
  <w15:commentEx w15:paraId="0DF66150" w15:done="0"/>
  <w15:commentEx w15:paraId="7BC32D4A" w15:done="0"/>
  <w15:commentEx w15:paraId="31C8E1C2" w15:done="0"/>
  <w15:commentEx w15:paraId="117CD4D2" w15:done="0"/>
  <w15:commentEx w15:paraId="7FB12443" w15:done="0"/>
  <w15:commentEx w15:paraId="7330BDCC" w15:done="0"/>
  <w15:commentEx w15:paraId="5723AAD4" w15:done="0"/>
  <w15:commentEx w15:paraId="6A5EBC14" w15:done="0"/>
  <w15:commentEx w15:paraId="37961839" w15:done="0"/>
  <w15:commentEx w15:paraId="471EE4B7" w15:done="0"/>
  <w15:commentEx w15:paraId="4B804DDF" w15:done="0"/>
  <w15:commentEx w15:paraId="451E21CE" w15:done="0"/>
  <w15:commentEx w15:paraId="648E437E" w15:paraIdParent="451E21CE" w15:done="0"/>
  <w15:commentEx w15:paraId="4C3B3342" w15:done="0"/>
  <w15:commentEx w15:paraId="4B6F562D" w15:done="0"/>
  <w15:commentEx w15:paraId="5DF3D579" w15:paraIdParent="4B6F562D" w15:done="0"/>
  <w15:commentEx w15:paraId="7C13E346" w15:done="0"/>
  <w15:commentEx w15:paraId="46A9CBB6" w15:done="0"/>
  <w15:commentEx w15:paraId="44949267" w15:done="0"/>
  <w15:commentEx w15:paraId="3020892A" w15:done="0"/>
  <w15:commentEx w15:paraId="6B3AE17A" w15:paraIdParent="302089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2DB3B" w16cex:dateUtc="2024-06-11T13:18:00Z"/>
  <w16cex:commentExtensible w16cex:durableId="2A12DB43" w16cex:dateUtc="2024-06-11T13:18:00Z"/>
  <w16cex:commentExtensible w16cex:durableId="2A1394AD" w16cex:dateUtc="2024-06-12T02:29:00Z"/>
  <w16cex:commentExtensible w16cex:durableId="2A15FE0C" w16cex:dateUtc="2024-06-13T22:23:00Z"/>
  <w16cex:commentExtensible w16cex:durableId="2A15FE0F" w16cex:dateUtc="2024-06-13T22:23:00Z"/>
  <w16cex:commentExtensible w16cex:durableId="2A1183F1" w16cex:dateUtc="2024-06-10T12:53:00Z"/>
  <w16cex:commentExtensible w16cex:durableId="2A11BD5F" w16cex:dateUtc="2024-06-10T16:58:00Z"/>
  <w16cex:commentExtensible w16cex:durableId="2A117F8E" w16cex:dateUtc="2024-06-10T12:35:00Z"/>
  <w16cex:commentExtensible w16cex:durableId="2A118243" w16cex:dateUtc="2024-06-10T12:46:00Z"/>
  <w16cex:commentExtensible w16cex:durableId="2A15FFC0" w16cex:dateUtc="2024-06-13T22:31:00Z"/>
  <w16cex:commentExtensible w16cex:durableId="2A16005F" w16cex:dateUtc="2024-06-13T22:33:00Z"/>
  <w16cex:commentExtensible w16cex:durableId="2A14296A" w16cex:dateUtc="2024-06-12T13:04:00Z"/>
  <w16cex:commentExtensible w16cex:durableId="2A11BD02" w16cex:dateUtc="2024-06-10T16:57:00Z"/>
  <w16cex:commentExtensible w16cex:durableId="2A139143" w16cex:dateUtc="2024-06-12T02:15:00Z"/>
  <w16cex:commentExtensible w16cex:durableId="2A13906B" w16cex:dateUtc="2024-06-12T02:11:00Z"/>
  <w16cex:commentExtensible w16cex:durableId="2A1F7188" w16cex:dateUtc="2024-06-21T02:27:00Z"/>
  <w16cex:commentExtensible w16cex:durableId="2A0278E8" w16cex:dateUtc="2024-05-30T03:02:00Z"/>
  <w16cex:commentExtensible w16cex:durableId="2A031FF7" w16cex:dateUtc="2024-05-30T14:55:00Z"/>
  <w16cex:commentExtensible w16cex:durableId="2A0490CE" w16cex:dateUtc="2024-05-31T17:09:00Z"/>
  <w16cex:commentExtensible w16cex:durableId="2A0E425E" w16cex:dateUtc="2024-06-08T01:37:00Z"/>
  <w16cex:commentExtensible w16cex:durableId="2A0E4266" w16cex:dateUtc="2024-06-08T01:37:00Z"/>
  <w16cex:commentExtensible w16cex:durableId="2A1B8D87" w16cex:dateUtc="2024-06-18T03:37:00Z"/>
  <w16cex:commentExtensible w16cex:durableId="2A18E812" w16cex:dateUtc="2024-06-16T03:26:00Z"/>
  <w16cex:commentExtensible w16cex:durableId="2A267DE8" w16cex:dateUtc="2024-06-26T10:45:00Z"/>
  <w16cex:commentExtensible w16cex:durableId="2A267E2D" w16cex:dateUtc="2024-06-26T10:46:00Z"/>
  <w16cex:commentExtensible w16cex:durableId="2A267E2E" w16cex:dateUtc="2024-06-26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042E05" w16cid:durableId="2A12DB3B"/>
  <w16cid:commentId w16cid:paraId="31019342" w16cid:durableId="2A12DB43"/>
  <w16cid:commentId w16cid:paraId="42155DAE" w16cid:durableId="2A1394AD"/>
  <w16cid:commentId w16cid:paraId="1FE56356" w16cid:durableId="2A15FE0C"/>
  <w16cid:commentId w16cid:paraId="2E1D0C45" w16cid:durableId="2A15FE0F"/>
  <w16cid:commentId w16cid:paraId="0DF66150" w16cid:durableId="2A1183F1"/>
  <w16cid:commentId w16cid:paraId="7BC32D4A" w16cid:durableId="2A11BD5F"/>
  <w16cid:commentId w16cid:paraId="31C8E1C2" w16cid:durableId="2A117F8E"/>
  <w16cid:commentId w16cid:paraId="117CD4D2" w16cid:durableId="2A118243"/>
  <w16cid:commentId w16cid:paraId="7FB12443" w16cid:durableId="2A15FFC0"/>
  <w16cid:commentId w16cid:paraId="7330BDCC" w16cid:durableId="2A16005F"/>
  <w16cid:commentId w16cid:paraId="5723AAD4" w16cid:durableId="2A14296A"/>
  <w16cid:commentId w16cid:paraId="6A5EBC14" w16cid:durableId="2A11BD02"/>
  <w16cid:commentId w16cid:paraId="37961839" w16cid:durableId="2A139143"/>
  <w16cid:commentId w16cid:paraId="471EE4B7" w16cid:durableId="2A13906B"/>
  <w16cid:commentId w16cid:paraId="4B804DDF" w16cid:durableId="2A1F7188"/>
  <w16cid:commentId w16cid:paraId="451E21CE" w16cid:durableId="2A0278E8"/>
  <w16cid:commentId w16cid:paraId="648E437E" w16cid:durableId="2A031FF7"/>
  <w16cid:commentId w16cid:paraId="4C3B3342" w16cid:durableId="2A0490CE"/>
  <w16cid:commentId w16cid:paraId="4B6F562D" w16cid:durableId="2A0E425E"/>
  <w16cid:commentId w16cid:paraId="5DF3D579" w16cid:durableId="2A0E4266"/>
  <w16cid:commentId w16cid:paraId="7C13E346" w16cid:durableId="2A1B8D87"/>
  <w16cid:commentId w16cid:paraId="46A9CBB6" w16cid:durableId="2A18E812"/>
  <w16cid:commentId w16cid:paraId="44949267" w16cid:durableId="2A267DE8"/>
  <w16cid:commentId w16cid:paraId="3020892A" w16cid:durableId="2A267E2D"/>
  <w16cid:commentId w16cid:paraId="6B3AE17A" w16cid:durableId="2A267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B951" w14:textId="77777777" w:rsidR="00FE029D" w:rsidRDefault="00FE029D" w:rsidP="00901CFD">
      <w:pPr>
        <w:spacing w:after="0" w:line="240" w:lineRule="auto"/>
      </w:pPr>
      <w:r>
        <w:separator/>
      </w:r>
    </w:p>
  </w:endnote>
  <w:endnote w:type="continuationSeparator" w:id="0">
    <w:p w14:paraId="09FD4018" w14:textId="77777777" w:rsidR="00FE029D" w:rsidRDefault="00FE029D" w:rsidP="00901CFD">
      <w:pPr>
        <w:spacing w:after="0" w:line="240" w:lineRule="auto"/>
      </w:pPr>
      <w:r>
        <w:continuationSeparator/>
      </w:r>
    </w:p>
  </w:endnote>
  <w:endnote w:type="continuationNotice" w:id="1">
    <w:p w14:paraId="77897977" w14:textId="77777777" w:rsidR="0042419E" w:rsidRDefault="004241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1CE2" w14:textId="77777777" w:rsidR="00FE029D" w:rsidRDefault="00FE029D" w:rsidP="00901CFD">
      <w:pPr>
        <w:spacing w:after="0" w:line="240" w:lineRule="auto"/>
      </w:pPr>
      <w:r>
        <w:separator/>
      </w:r>
    </w:p>
  </w:footnote>
  <w:footnote w:type="continuationSeparator" w:id="0">
    <w:p w14:paraId="7CB47101" w14:textId="77777777" w:rsidR="00FE029D" w:rsidRDefault="00FE029D" w:rsidP="00901CFD">
      <w:pPr>
        <w:spacing w:after="0" w:line="240" w:lineRule="auto"/>
      </w:pPr>
      <w:r>
        <w:continuationSeparator/>
      </w:r>
    </w:p>
  </w:footnote>
  <w:footnote w:type="continuationNotice" w:id="1">
    <w:p w14:paraId="1F651B8F" w14:textId="77777777" w:rsidR="0042419E" w:rsidRDefault="0042419E">
      <w:pPr>
        <w:spacing w:after="0" w:line="240" w:lineRule="auto"/>
      </w:pPr>
    </w:p>
  </w:footnote>
  <w:footnote w:id="2">
    <w:p w14:paraId="30D1B7CB" w14:textId="552365CF" w:rsidR="0041734A" w:rsidRPr="009065A4" w:rsidRDefault="0041734A"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00132C09" w:rsidRPr="009065A4">
        <w:rPr>
          <w:rFonts w:ascii="Times New Roman" w:hAnsi="Times New Roman" w:cs="Times New Roman"/>
          <w:lang w:val="en-IE"/>
        </w:rPr>
        <w:t xml:space="preserve">Case C-450/17 P </w:t>
      </w:r>
      <w:r w:rsidR="00132C09" w:rsidRPr="009065A4">
        <w:rPr>
          <w:rFonts w:ascii="Times New Roman" w:hAnsi="Times New Roman" w:cs="Times New Roman"/>
          <w:i/>
          <w:iCs/>
          <w:lang w:val="en-IE"/>
        </w:rPr>
        <w:t>Landeskreditbank Baden-Württemberg v ECB</w:t>
      </w:r>
      <w:r w:rsidR="00132C09" w:rsidRPr="009065A4">
        <w:rPr>
          <w:rFonts w:ascii="Times New Roman" w:hAnsi="Times New Roman" w:cs="Times New Roman"/>
          <w:lang w:val="en-IE"/>
        </w:rPr>
        <w:t xml:space="preserve"> [2019] </w:t>
      </w:r>
      <w:r w:rsidR="00CD6337" w:rsidRPr="009065A4">
        <w:rPr>
          <w:rFonts w:ascii="Times New Roman" w:hAnsi="Times New Roman" w:cs="Times New Roman"/>
          <w:lang w:val="en-IE"/>
        </w:rPr>
        <w:t xml:space="preserve">ECLI:EU:C:2019:372, para. </w:t>
      </w:r>
    </w:p>
  </w:footnote>
  <w:footnote w:id="3">
    <w:p w14:paraId="6DC5B922" w14:textId="324C3E3D" w:rsidR="008F2133" w:rsidRPr="009065A4" w:rsidRDefault="008F2133"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para.36.</w:t>
      </w:r>
    </w:p>
  </w:footnote>
  <w:footnote w:id="4">
    <w:p w14:paraId="032F42F6" w14:textId="7B5DFBF8" w:rsidR="005E573F" w:rsidRPr="009065A4" w:rsidRDefault="005E573F"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w:t>
      </w:r>
      <w:r w:rsidR="007A53EA" w:rsidRPr="009065A4">
        <w:rPr>
          <w:rFonts w:ascii="Times New Roman" w:hAnsi="Times New Roman" w:cs="Times New Roman"/>
          <w:lang w:val="en-IE"/>
        </w:rPr>
        <w:t>35.</w:t>
      </w:r>
    </w:p>
  </w:footnote>
  <w:footnote w:id="5">
    <w:p w14:paraId="56500132" w14:textId="2F726B46" w:rsidR="006644F6" w:rsidRPr="009065A4" w:rsidRDefault="006644F6"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para.59.</w:t>
      </w:r>
    </w:p>
  </w:footnote>
  <w:footnote w:id="6">
    <w:p w14:paraId="7F73D466" w14:textId="259B0E49" w:rsidR="00180DE0" w:rsidRPr="009065A4" w:rsidRDefault="00180DE0"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para.76.</w:t>
      </w:r>
    </w:p>
  </w:footnote>
  <w:footnote w:id="7">
    <w:p w14:paraId="4FFD4968" w14:textId="4E7A9150" w:rsidR="00900B41" w:rsidRPr="009065A4" w:rsidRDefault="00900B41"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w:t>
      </w:r>
      <w:r w:rsidR="00DD22D4" w:rsidRPr="009065A4">
        <w:rPr>
          <w:rFonts w:ascii="Times New Roman" w:hAnsi="Times New Roman" w:cs="Times New Roman"/>
          <w:lang w:val="en-IE"/>
        </w:rPr>
        <w:t>s</w:t>
      </w:r>
      <w:r w:rsidRPr="009065A4">
        <w:rPr>
          <w:rFonts w:ascii="Times New Roman" w:hAnsi="Times New Roman" w:cs="Times New Roman"/>
          <w:lang w:val="en-IE"/>
        </w:rPr>
        <w:t>.</w:t>
      </w:r>
      <w:r w:rsidR="00DD22D4" w:rsidRPr="009065A4">
        <w:rPr>
          <w:rFonts w:ascii="Times New Roman" w:hAnsi="Times New Roman" w:cs="Times New Roman"/>
          <w:lang w:val="en-IE"/>
        </w:rPr>
        <w:t>80-</w:t>
      </w:r>
      <w:r w:rsidRPr="009065A4">
        <w:rPr>
          <w:rFonts w:ascii="Times New Roman" w:hAnsi="Times New Roman" w:cs="Times New Roman"/>
          <w:lang w:val="en-IE"/>
        </w:rPr>
        <w:t>81.</w:t>
      </w:r>
    </w:p>
  </w:footnote>
  <w:footnote w:id="8">
    <w:p w14:paraId="1DDF91D3" w14:textId="77777777" w:rsidR="00DC77C5" w:rsidRPr="009065A4" w:rsidRDefault="00DC77C5"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Ibid, Opinion of AG Hogan, paras 57, 61 and 62.</w:t>
      </w:r>
    </w:p>
  </w:footnote>
  <w:footnote w:id="9">
    <w:p w14:paraId="5C17C846" w14:textId="27C3B2C1" w:rsidR="00C64738" w:rsidRPr="009065A4" w:rsidRDefault="00C64738">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paras. 135-137.</w:t>
      </w:r>
    </w:p>
  </w:footnote>
  <w:footnote w:id="10">
    <w:p w14:paraId="2BE689BF" w14:textId="05CC511B" w:rsidR="00C64738" w:rsidRPr="009065A4" w:rsidRDefault="00C64738">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w:t>
      </w:r>
      <w:r w:rsidR="00A01D42" w:rsidRPr="009065A4">
        <w:rPr>
          <w:rFonts w:ascii="Times New Roman" w:hAnsi="Times New Roman" w:cs="Times New Roman"/>
          <w:lang w:val="en-IE"/>
        </w:rPr>
        <w:t>. 196.</w:t>
      </w:r>
    </w:p>
  </w:footnote>
  <w:footnote w:id="11">
    <w:p w14:paraId="30E4364F" w14:textId="61E35FEF" w:rsidR="00057490" w:rsidRPr="009065A4" w:rsidRDefault="00057490">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 xml:space="preserve">Ibid, para. </w:t>
      </w:r>
      <w:r w:rsidR="00DD54D8" w:rsidRPr="009065A4">
        <w:rPr>
          <w:rFonts w:ascii="Times New Roman" w:hAnsi="Times New Roman" w:cs="Times New Roman"/>
          <w:lang w:val="en-IE"/>
        </w:rPr>
        <w:t>203.</w:t>
      </w:r>
    </w:p>
  </w:footnote>
  <w:footnote w:id="12">
    <w:p w14:paraId="713B359D" w14:textId="19AA722B" w:rsidR="006F35E1" w:rsidRPr="009065A4" w:rsidRDefault="006F35E1">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0081370B" w:rsidRPr="009065A4">
        <w:rPr>
          <w:rFonts w:ascii="Times New Roman" w:hAnsi="Times New Roman" w:cs="Times New Roman"/>
          <w:lang w:val="en-IE"/>
        </w:rPr>
        <w:t xml:space="preserve">Case T-186/22 </w:t>
      </w:r>
      <w:r w:rsidR="0081370B" w:rsidRPr="009065A4">
        <w:rPr>
          <w:rFonts w:ascii="Times New Roman" w:hAnsi="Times New Roman" w:cs="Times New Roman"/>
          <w:i/>
          <w:iCs/>
          <w:lang w:val="en-IE"/>
        </w:rPr>
        <w:t>BNP Paribas v ECB</w:t>
      </w:r>
      <w:r w:rsidR="0081370B" w:rsidRPr="009065A4">
        <w:rPr>
          <w:rFonts w:ascii="Times New Roman" w:hAnsi="Times New Roman" w:cs="Times New Roman"/>
          <w:lang w:val="en-IE"/>
        </w:rPr>
        <w:t xml:space="preserve"> [2024]</w:t>
      </w:r>
      <w:r w:rsidR="009065A4" w:rsidRPr="009065A4">
        <w:rPr>
          <w:rFonts w:ascii="Times New Roman" w:hAnsi="Times New Roman" w:cs="Times New Roman"/>
          <w:lang w:val="en-IE"/>
        </w:rPr>
        <w:t xml:space="preserve"> ECLI:EU:T:2024:353</w:t>
      </w:r>
      <w:r w:rsidR="009E0A4F">
        <w:rPr>
          <w:rFonts w:ascii="Times New Roman" w:hAnsi="Times New Roman" w:cs="Times New Roman"/>
          <w:lang w:val="en-IE"/>
        </w:rPr>
        <w:t>.</w:t>
      </w:r>
    </w:p>
  </w:footnote>
  <w:footnote w:id="13">
    <w:p w14:paraId="14799B83" w14:textId="15BE55E2" w:rsidR="006F35E1" w:rsidRPr="009065A4" w:rsidRDefault="006F35E1">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107.</w:t>
      </w:r>
    </w:p>
  </w:footnote>
  <w:footnote w:id="14">
    <w:p w14:paraId="68B3D331" w14:textId="42CD9299" w:rsidR="006F35E1" w:rsidRPr="009065A4" w:rsidRDefault="006F35E1">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108.</w:t>
      </w:r>
    </w:p>
  </w:footnote>
  <w:footnote w:id="15">
    <w:p w14:paraId="6A6DE9B6" w14:textId="3FA8CB2F" w:rsidR="006F35E1" w:rsidRPr="009065A4" w:rsidRDefault="006F35E1">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109.</w:t>
      </w:r>
    </w:p>
  </w:footnote>
  <w:footnote w:id="16">
    <w:p w14:paraId="5F06D6D4" w14:textId="52658D80" w:rsidR="0013329F" w:rsidRPr="009065A4" w:rsidRDefault="0013329F">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 xml:space="preserve">Ibid, paras. </w:t>
      </w:r>
      <w:r w:rsidR="006F35E1" w:rsidRPr="009065A4">
        <w:rPr>
          <w:rFonts w:ascii="Times New Roman" w:hAnsi="Times New Roman" w:cs="Times New Roman"/>
          <w:lang w:val="en-IE"/>
        </w:rPr>
        <w:t>115, 119.</w:t>
      </w:r>
    </w:p>
  </w:footnote>
  <w:footnote w:id="17">
    <w:p w14:paraId="796E4654" w14:textId="17CEFF49" w:rsidR="00EA2F57" w:rsidRPr="009065A4" w:rsidRDefault="00EA2F57">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 xml:space="preserve">Ibid, para. </w:t>
      </w:r>
      <w:r w:rsidR="0013329F" w:rsidRPr="009065A4">
        <w:rPr>
          <w:rFonts w:ascii="Times New Roman" w:hAnsi="Times New Roman" w:cs="Times New Roman"/>
          <w:lang w:val="en-IE"/>
        </w:rPr>
        <w:t>117.</w:t>
      </w:r>
    </w:p>
  </w:footnote>
  <w:footnote w:id="18">
    <w:p w14:paraId="3D9E69F3" w14:textId="37C64FAD" w:rsidR="0013329F" w:rsidRPr="009065A4" w:rsidRDefault="0013329F">
      <w:pPr>
        <w:pStyle w:val="FootnoteText"/>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121.</w:t>
      </w:r>
    </w:p>
  </w:footnote>
  <w:footnote w:id="19">
    <w:p w14:paraId="253B6A6E" w14:textId="1DA9E45C" w:rsidR="00A24B65" w:rsidRPr="009E0A4F" w:rsidRDefault="00A24B65">
      <w:pPr>
        <w:pStyle w:val="FootnoteText"/>
        <w:rPr>
          <w:rFonts w:ascii="Times New Roman" w:hAnsi="Times New Roman" w:cs="Times New Roman"/>
          <w:lang w:val="en-IE"/>
        </w:rPr>
      </w:pPr>
      <w:r w:rsidRPr="009E0A4F">
        <w:rPr>
          <w:rStyle w:val="FootnoteReference"/>
          <w:rFonts w:ascii="Times New Roman" w:hAnsi="Times New Roman" w:cs="Times New Roman"/>
        </w:rPr>
        <w:footnoteRef/>
      </w:r>
      <w:r w:rsidRPr="009E0A4F">
        <w:rPr>
          <w:rFonts w:ascii="Times New Roman" w:hAnsi="Times New Roman" w:cs="Times New Roman"/>
        </w:rPr>
        <w:t xml:space="preserve"> </w:t>
      </w:r>
      <w:r w:rsidR="0068779E" w:rsidRPr="009E0A4F">
        <w:rPr>
          <w:rFonts w:ascii="Times New Roman" w:hAnsi="Times New Roman" w:cs="Times New Roman"/>
          <w:color w:val="000000"/>
          <w:sz w:val="18"/>
          <w:szCs w:val="18"/>
        </w:rPr>
        <w:t>Cases T</w:t>
      </w:r>
      <w:r w:rsidR="0068779E" w:rsidRPr="009E0A4F">
        <w:rPr>
          <w:rFonts w:ascii="Times New Roman" w:hAnsi="Times New Roman" w:cs="Times New Roman"/>
          <w:color w:val="000000"/>
          <w:sz w:val="18"/>
          <w:szCs w:val="18"/>
        </w:rPr>
        <w:noBreakHyphen/>
        <w:t>150/18 and T</w:t>
      </w:r>
      <w:r w:rsidR="0068779E" w:rsidRPr="009E0A4F">
        <w:rPr>
          <w:rFonts w:ascii="Times New Roman" w:hAnsi="Times New Roman" w:cs="Times New Roman"/>
          <w:color w:val="000000"/>
          <w:sz w:val="18"/>
          <w:szCs w:val="18"/>
        </w:rPr>
        <w:noBreakHyphen/>
        <w:t xml:space="preserve">345/18 </w:t>
      </w:r>
      <w:r w:rsidR="00F95EC8" w:rsidRPr="009E0A4F">
        <w:rPr>
          <w:rFonts w:ascii="Times New Roman" w:hAnsi="Times New Roman" w:cs="Times New Roman"/>
          <w:i/>
          <w:iCs/>
          <w:color w:val="000000"/>
          <w:sz w:val="18"/>
          <w:szCs w:val="18"/>
        </w:rPr>
        <w:t>BNP Paribas v ECB</w:t>
      </w:r>
      <w:r w:rsidR="00F95EC8" w:rsidRPr="009E0A4F">
        <w:rPr>
          <w:rFonts w:ascii="Times New Roman" w:hAnsi="Times New Roman" w:cs="Times New Roman"/>
          <w:color w:val="000000"/>
          <w:sz w:val="18"/>
          <w:szCs w:val="18"/>
        </w:rPr>
        <w:t xml:space="preserve"> [2022] </w:t>
      </w:r>
      <w:r w:rsidR="009E0A4F" w:rsidRPr="009E0A4F">
        <w:rPr>
          <w:rFonts w:ascii="Times New Roman" w:hAnsi="Times New Roman" w:cs="Times New Roman"/>
          <w:color w:val="000000"/>
          <w:sz w:val="18"/>
          <w:szCs w:val="18"/>
        </w:rPr>
        <w:t>ECLI:EU:T:2020:394, paras. 81-82.</w:t>
      </w:r>
    </w:p>
  </w:footnote>
  <w:footnote w:id="20">
    <w:p w14:paraId="4A28EFA5" w14:textId="77777777" w:rsidR="00DB6F90" w:rsidRPr="009065A4" w:rsidRDefault="00DB6F90"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 xml:space="preserve">Case T-351/18 </w:t>
      </w:r>
      <w:r w:rsidRPr="009065A4">
        <w:rPr>
          <w:rFonts w:ascii="Times New Roman" w:hAnsi="Times New Roman" w:cs="Times New Roman"/>
          <w:i/>
          <w:iCs/>
          <w:lang w:val="en-IE"/>
        </w:rPr>
        <w:t>Ukrselhosprom PCF and Versobank v ECB</w:t>
      </w:r>
      <w:r w:rsidRPr="009065A4">
        <w:rPr>
          <w:rFonts w:ascii="Times New Roman" w:hAnsi="Times New Roman" w:cs="Times New Roman"/>
          <w:lang w:val="en-IE"/>
        </w:rPr>
        <w:t xml:space="preserve"> [2021] ECLI:EU:T:2021:669, paras. 307-308.</w:t>
      </w:r>
    </w:p>
  </w:footnote>
  <w:footnote w:id="21">
    <w:p w14:paraId="4007A352" w14:textId="54FC6AD8" w:rsidR="006A6C6A" w:rsidRPr="009065A4" w:rsidRDefault="006A6C6A"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319.</w:t>
      </w:r>
    </w:p>
  </w:footnote>
  <w:footnote w:id="22">
    <w:p w14:paraId="5DEABBFA" w14:textId="52DA9920" w:rsidR="006A6C6A" w:rsidRPr="009065A4" w:rsidRDefault="006A6C6A"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paras. 317-321.</w:t>
      </w:r>
    </w:p>
  </w:footnote>
  <w:footnote w:id="23">
    <w:p w14:paraId="55817391" w14:textId="7D7071FC" w:rsidR="001858B1" w:rsidRPr="009065A4" w:rsidRDefault="001858B1"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007F6870" w:rsidRPr="009065A4">
        <w:rPr>
          <w:rFonts w:ascii="Times New Roman" w:hAnsi="Times New Roman" w:cs="Times New Roman"/>
          <w:lang w:val="en-IE"/>
        </w:rPr>
        <w:t>Ibid, para. 323.</w:t>
      </w:r>
    </w:p>
  </w:footnote>
  <w:footnote w:id="24">
    <w:p w14:paraId="62A25283" w14:textId="51F8EC42" w:rsidR="0007218F" w:rsidRPr="009065A4" w:rsidRDefault="0007218F"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324.</w:t>
      </w:r>
    </w:p>
  </w:footnote>
  <w:footnote w:id="25">
    <w:p w14:paraId="353545A3" w14:textId="56F64CE7" w:rsidR="00A91BFD" w:rsidRPr="009065A4" w:rsidRDefault="00A91BFD"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311.</w:t>
      </w:r>
    </w:p>
  </w:footnote>
  <w:footnote w:id="26">
    <w:p w14:paraId="258A2307" w14:textId="52BE4477" w:rsidR="00A91BFD" w:rsidRPr="009065A4" w:rsidRDefault="00A91BFD"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w:t>
      </w:r>
      <w:r w:rsidR="007F6870" w:rsidRPr="009065A4">
        <w:rPr>
          <w:rFonts w:ascii="Times New Roman" w:hAnsi="Times New Roman" w:cs="Times New Roman"/>
          <w:lang w:val="en-IE"/>
        </w:rPr>
        <w:t>.</w:t>
      </w:r>
    </w:p>
  </w:footnote>
  <w:footnote w:id="27">
    <w:p w14:paraId="2EF63ED8" w14:textId="1AB8A98F" w:rsidR="00323EC5" w:rsidRPr="009065A4" w:rsidRDefault="00323EC5"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323.</w:t>
      </w:r>
    </w:p>
  </w:footnote>
  <w:footnote w:id="28">
    <w:p w14:paraId="21D99B2E" w14:textId="77777777" w:rsidR="008C48FB" w:rsidRPr="009065A4" w:rsidRDefault="008C48FB"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327.</w:t>
      </w:r>
    </w:p>
  </w:footnote>
  <w:footnote w:id="29">
    <w:p w14:paraId="342301F0" w14:textId="77777777" w:rsidR="008C48FB" w:rsidRPr="009065A4" w:rsidRDefault="008C48FB"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311.</w:t>
      </w:r>
    </w:p>
  </w:footnote>
  <w:footnote w:id="30">
    <w:p w14:paraId="3E0E1FF1" w14:textId="77777777" w:rsidR="008C48FB" w:rsidRPr="009065A4" w:rsidRDefault="008C48FB"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334.</w:t>
      </w:r>
    </w:p>
  </w:footnote>
  <w:footnote w:id="31">
    <w:p w14:paraId="548E35E2" w14:textId="08B8C180" w:rsidR="00CF23FC" w:rsidRPr="009065A4" w:rsidRDefault="00CF23FC"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 xml:space="preserve">Ibid, para. </w:t>
      </w:r>
      <w:r w:rsidR="00E90C59" w:rsidRPr="009065A4">
        <w:rPr>
          <w:rFonts w:ascii="Times New Roman" w:hAnsi="Times New Roman" w:cs="Times New Roman"/>
          <w:lang w:val="en-IE"/>
        </w:rPr>
        <w:t>328.</w:t>
      </w:r>
    </w:p>
  </w:footnote>
  <w:footnote w:id="32">
    <w:p w14:paraId="74A44790" w14:textId="795BD1D5" w:rsidR="00081DEE" w:rsidRPr="009065A4" w:rsidRDefault="00081DEE"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328.</w:t>
      </w:r>
    </w:p>
  </w:footnote>
  <w:footnote w:id="33">
    <w:p w14:paraId="17E21628" w14:textId="1EC18A2E" w:rsidR="009B30C9" w:rsidRPr="009065A4" w:rsidRDefault="009B30C9"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Ibid, para. 327.</w:t>
      </w:r>
    </w:p>
  </w:footnote>
  <w:footnote w:id="34">
    <w:p w14:paraId="41D41287" w14:textId="1C35310A" w:rsidR="009870C6" w:rsidRPr="009065A4" w:rsidRDefault="009870C6"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Pr="009065A4">
        <w:rPr>
          <w:rFonts w:ascii="Times New Roman" w:hAnsi="Times New Roman" w:cs="Times New Roman"/>
          <w:lang w:val="en-IE"/>
        </w:rPr>
        <w:t xml:space="preserve">Case T‑667/21 </w:t>
      </w:r>
      <w:r w:rsidRPr="009065A4">
        <w:rPr>
          <w:rFonts w:ascii="Times New Roman" w:hAnsi="Times New Roman" w:cs="Times New Roman"/>
          <w:i/>
          <w:iCs/>
          <w:lang w:val="en-IE"/>
        </w:rPr>
        <w:t>BAWAG PSK v ECB</w:t>
      </w:r>
      <w:r w:rsidRPr="009065A4">
        <w:rPr>
          <w:rFonts w:ascii="Times New Roman" w:hAnsi="Times New Roman" w:cs="Times New Roman"/>
          <w:lang w:val="en-IE"/>
        </w:rPr>
        <w:t xml:space="preserve"> [2024] ECLI:EU:T:2024:131, para. 68.</w:t>
      </w:r>
    </w:p>
  </w:footnote>
  <w:footnote w:id="35">
    <w:p w14:paraId="157BF7A6" w14:textId="754E76EF" w:rsidR="00901CFD" w:rsidRPr="009065A4" w:rsidRDefault="00901CFD"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w:t>
      </w:r>
      <w:r w:rsidR="009870C6" w:rsidRPr="009065A4">
        <w:rPr>
          <w:rFonts w:ascii="Times New Roman" w:hAnsi="Times New Roman" w:cs="Times New Roman"/>
        </w:rPr>
        <w:t xml:space="preserve">Ibid, </w:t>
      </w:r>
      <w:r w:rsidR="00525E5D" w:rsidRPr="009065A4">
        <w:rPr>
          <w:rFonts w:ascii="Times New Roman" w:hAnsi="Times New Roman" w:cs="Times New Roman"/>
          <w:lang w:val="en-IE"/>
        </w:rPr>
        <w:t>para.</w:t>
      </w:r>
      <w:r w:rsidR="003339C9" w:rsidRPr="009065A4">
        <w:rPr>
          <w:rFonts w:ascii="Times New Roman" w:hAnsi="Times New Roman" w:cs="Times New Roman"/>
          <w:lang w:val="en-IE"/>
        </w:rPr>
        <w:t>6</w:t>
      </w:r>
      <w:r w:rsidR="00256883" w:rsidRPr="009065A4">
        <w:rPr>
          <w:rFonts w:ascii="Times New Roman" w:hAnsi="Times New Roman" w:cs="Times New Roman"/>
          <w:lang w:val="en-IE"/>
        </w:rPr>
        <w:t>7.</w:t>
      </w:r>
    </w:p>
  </w:footnote>
  <w:footnote w:id="36">
    <w:p w14:paraId="23BDFFCF" w14:textId="14D4B729" w:rsidR="000127CA" w:rsidRPr="009065A4" w:rsidRDefault="000127CA"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Ibid, paras.72-73.</w:t>
      </w:r>
    </w:p>
  </w:footnote>
  <w:footnote w:id="37">
    <w:p w14:paraId="00602332" w14:textId="7E532ACB" w:rsidR="003652AF" w:rsidRPr="009065A4" w:rsidRDefault="003652AF"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Ibid, </w:t>
      </w:r>
      <w:r w:rsidRPr="009065A4">
        <w:rPr>
          <w:rFonts w:ascii="Times New Roman" w:hAnsi="Times New Roman" w:cs="Times New Roman"/>
          <w:lang w:val="en-IE"/>
        </w:rPr>
        <w:t>para.74.</w:t>
      </w:r>
    </w:p>
  </w:footnote>
  <w:footnote w:id="38">
    <w:p w14:paraId="575D86BB" w14:textId="2FE25835" w:rsidR="00506EB5" w:rsidRPr="009065A4" w:rsidRDefault="009919E9"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00877E78" w:rsidRPr="009065A4">
        <w:rPr>
          <w:rFonts w:ascii="Times New Roman" w:hAnsi="Times New Roman" w:cs="Times New Roman"/>
        </w:rPr>
        <w:t xml:space="preserve"> </w:t>
      </w:r>
      <w:r w:rsidR="00506EB5" w:rsidRPr="009065A4">
        <w:rPr>
          <w:rFonts w:ascii="Times New Roman" w:hAnsi="Times New Roman" w:cs="Times New Roman"/>
        </w:rPr>
        <w:t>Ibid, para.</w:t>
      </w:r>
      <w:r w:rsidRPr="009065A4">
        <w:rPr>
          <w:rFonts w:ascii="Times New Roman" w:hAnsi="Times New Roman" w:cs="Times New Roman"/>
        </w:rPr>
        <w:t>78.</w:t>
      </w:r>
    </w:p>
  </w:footnote>
  <w:footnote w:id="39">
    <w:p w14:paraId="06C14C78" w14:textId="2C1FFFC8" w:rsidR="00083C69" w:rsidRPr="009065A4" w:rsidRDefault="00083C69"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Ibid, para. 71.</w:t>
      </w:r>
    </w:p>
  </w:footnote>
  <w:footnote w:id="40">
    <w:p w14:paraId="0215DCF3" w14:textId="68A2C6FA" w:rsidR="00DD1190" w:rsidRPr="009065A4" w:rsidRDefault="00DD1190"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Ibid, para. 79.</w:t>
      </w:r>
    </w:p>
  </w:footnote>
  <w:footnote w:id="41">
    <w:p w14:paraId="30B7252F" w14:textId="2126F60C" w:rsidR="009919E9" w:rsidRPr="009065A4" w:rsidRDefault="009919E9"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Ibid, para. 81.</w:t>
      </w:r>
    </w:p>
  </w:footnote>
  <w:footnote w:id="42">
    <w:p w14:paraId="1C0F5286" w14:textId="5EDCF07C" w:rsidR="00F51B1F" w:rsidRPr="00905354" w:rsidRDefault="00F51B1F" w:rsidP="00841D66">
      <w:pPr>
        <w:pStyle w:val="FootnoteText"/>
        <w:jc w:val="both"/>
        <w:rPr>
          <w:rFonts w:ascii="Times New Roman" w:hAnsi="Times New Roman" w:cs="Times New Roman"/>
          <w:lang w:val="en-IE"/>
        </w:rPr>
      </w:pPr>
      <w:r w:rsidRPr="009065A4">
        <w:rPr>
          <w:rStyle w:val="FootnoteReference"/>
          <w:rFonts w:ascii="Times New Roman" w:hAnsi="Times New Roman" w:cs="Times New Roman"/>
        </w:rPr>
        <w:footnoteRef/>
      </w:r>
      <w:r w:rsidRPr="009065A4">
        <w:rPr>
          <w:rFonts w:ascii="Times New Roman" w:hAnsi="Times New Roman" w:cs="Times New Roman"/>
        </w:rPr>
        <w:t xml:space="preserve"> Ibid, para. 83.</w:t>
      </w:r>
    </w:p>
  </w:footnote>
  <w:footnote w:id="43">
    <w:p w14:paraId="7AF8DB35"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Diane Fromage, ‘The ECB’s guide on pecuniary penalties in banking supervision: Increased transparency on its (still) limited powers’ [2021] 60 EU Law Live Weekend Edition, 3.</w:t>
      </w:r>
    </w:p>
  </w:footnote>
  <w:footnote w:id="44">
    <w:p w14:paraId="37FE7525"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highlight w:val="yellow"/>
        </w:rPr>
        <w:footnoteRef/>
      </w:r>
      <w:r w:rsidRPr="00290A68">
        <w:rPr>
          <w:rFonts w:ascii="Times New Roman" w:hAnsi="Times New Roman" w:cs="Times New Roman"/>
          <w:highlight w:val="yellow"/>
        </w:rPr>
        <w:t xml:space="preserve"> CRD VI</w:t>
      </w:r>
    </w:p>
  </w:footnote>
  <w:footnote w:id="45">
    <w:p w14:paraId="37E0CDB4"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Ivanna </w:t>
      </w:r>
      <w:r w:rsidRPr="00290A68">
        <w:rPr>
          <w:rFonts w:ascii="Times New Roman" w:hAnsi="Times New Roman" w:cs="Times New Roman"/>
        </w:rPr>
        <w:t>Chaikovska, ‘Enforcement actions of banking supervision authorities in European Union : non-compliance with post-crisis banking regulations’ [2020] International Journal of Arts and Sciences 111.</w:t>
      </w:r>
    </w:p>
  </w:footnote>
  <w:footnote w:id="46">
    <w:p w14:paraId="4640543F"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Diane Fromage, ‘The ECB’s guide on pecuniary penalties in banking supervision: Increased transparency on its (still) limited powers’ [2021] 60 EU Law Live Weekend Edition, 5.</w:t>
      </w:r>
    </w:p>
  </w:footnote>
  <w:footnote w:id="47">
    <w:p w14:paraId="2CECD745"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Elizabeth Howell, 'The Evolution of ESMA and Direct Supervision: Are There Implications for EU Supervisory Governance' [2017] 54(4) Common Market Law Review, 1056.</w:t>
      </w:r>
    </w:p>
  </w:footnote>
  <w:footnote w:id="48">
    <w:p w14:paraId="150B3880"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lang w:val="en-IE"/>
        </w:rPr>
        <w:t xml:space="preserve"> Silvia </w:t>
      </w:r>
      <w:r w:rsidRPr="00290A68">
        <w:rPr>
          <w:rFonts w:ascii="Times New Roman" w:hAnsi="Times New Roman" w:cs="Times New Roman"/>
        </w:rPr>
        <w:t>Allegrezza and Giulia Lasagni, ‘The enforcement of ECB sanctions in light of the proportionality principle: Is there a need for a guide to define a solid legal framework’ [2024] 61 Common Market Law Review, 682.</w:t>
      </w:r>
    </w:p>
  </w:footnote>
  <w:footnote w:id="49">
    <w:p w14:paraId="6A835672"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w:t>
      </w:r>
      <w:r w:rsidRPr="00290A68">
        <w:rPr>
          <w:rFonts w:ascii="Times New Roman" w:hAnsi="Times New Roman" w:cs="Times New Roman"/>
          <w:lang w:val="en-IE"/>
        </w:rPr>
        <w:t>Ibid.</w:t>
      </w:r>
    </w:p>
  </w:footnote>
  <w:footnote w:id="50">
    <w:p w14:paraId="4B984C59"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w:t>
      </w:r>
      <w:r w:rsidRPr="00290A68">
        <w:rPr>
          <w:rFonts w:ascii="Times New Roman" w:hAnsi="Times New Roman" w:cs="Times New Roman"/>
          <w:lang w:val="en-IE"/>
        </w:rPr>
        <w:t>Ibid, 685.</w:t>
      </w:r>
    </w:p>
  </w:footnote>
  <w:footnote w:id="51">
    <w:p w14:paraId="2CB5D29E"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w:t>
      </w:r>
      <w:r w:rsidRPr="00290A68">
        <w:rPr>
          <w:rFonts w:ascii="Times New Roman" w:hAnsi="Times New Roman" w:cs="Times New Roman"/>
          <w:lang w:val="en-IE"/>
        </w:rPr>
        <w:t>Ibid, 684.</w:t>
      </w:r>
    </w:p>
  </w:footnote>
  <w:footnote w:id="52">
    <w:p w14:paraId="565DBA88"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w:t>
      </w:r>
      <w:r w:rsidRPr="00290A68">
        <w:rPr>
          <w:rFonts w:ascii="Times New Roman" w:hAnsi="Times New Roman" w:cs="Times New Roman"/>
          <w:lang w:val="en-IE"/>
        </w:rPr>
        <w:t>Ibid.</w:t>
      </w:r>
    </w:p>
  </w:footnote>
  <w:footnote w:id="53">
    <w:p w14:paraId="64C9EA04"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Silvia </w:t>
      </w:r>
      <w:r w:rsidRPr="00290A68">
        <w:rPr>
          <w:rFonts w:ascii="Times New Roman" w:hAnsi="Times New Roman" w:cs="Times New Roman"/>
        </w:rPr>
        <w:t>Allegrezza and Olivier Voordeckers, ‘Investigative and Sanctioning Powers of the ECB in the Framework of the Single Supervisory Mechanism: Mapping the Complexity of a New Enforcement Model’ [2015] Eucrim, 157.</w:t>
      </w:r>
    </w:p>
  </w:footnote>
  <w:footnote w:id="54">
    <w:p w14:paraId="312389E6"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Juliette J.W. </w:t>
      </w:r>
      <w:r w:rsidRPr="00290A68">
        <w:rPr>
          <w:rFonts w:ascii="Times New Roman" w:hAnsi="Times New Roman" w:cs="Times New Roman"/>
        </w:rPr>
        <w:t>Pfaeltzer, ‘Naming and Shaming in Financial Market Regulations: A Violation of the Presumption of Innocence?’ [2014] 10(1) Utrecht Law Review, 143.</w:t>
      </w:r>
    </w:p>
  </w:footnote>
  <w:footnote w:id="55">
    <w:p w14:paraId="3B6E0C5B"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Helene Hayden, ‘Enforcement of Fines and Other Pecuniary Obligations Imposed by the ECB (Part I): European Level’ [2021] 18(6) European Company and Financial Law Review, 1011-1050.</w:t>
      </w:r>
    </w:p>
  </w:footnote>
  <w:footnote w:id="56">
    <w:p w14:paraId="07DCC3B2"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w:t>
      </w:r>
      <w:r w:rsidRPr="00290A68">
        <w:rPr>
          <w:rFonts w:ascii="Times New Roman" w:hAnsi="Times New Roman" w:cs="Times New Roman"/>
          <w:lang w:val="en-IE"/>
        </w:rPr>
        <w:t>Ibid 1042.</w:t>
      </w:r>
    </w:p>
  </w:footnote>
  <w:footnote w:id="57">
    <w:p w14:paraId="3B4C45D4" w14:textId="77777777" w:rsidR="0096081C" w:rsidRPr="00290A68" w:rsidRDefault="0096081C" w:rsidP="0096081C">
      <w:pPr>
        <w:pStyle w:val="FootnoteText"/>
        <w:jc w:val="both"/>
        <w:rPr>
          <w:rFonts w:ascii="Times New Roman" w:hAnsi="Times New Roman" w:cs="Times New Roman"/>
          <w:lang w:val="en-IE"/>
        </w:rPr>
      </w:pPr>
      <w:r w:rsidRPr="00290A68">
        <w:rPr>
          <w:rStyle w:val="FootnoteReference"/>
          <w:rFonts w:ascii="Times New Roman" w:hAnsi="Times New Roman" w:cs="Times New Roman"/>
        </w:rPr>
        <w:footnoteRef/>
      </w:r>
      <w:r w:rsidRPr="00290A68">
        <w:rPr>
          <w:rFonts w:ascii="Times New Roman" w:hAnsi="Times New Roman" w:cs="Times New Roman"/>
        </w:rPr>
        <w:t xml:space="preserve"> Giulia </w:t>
      </w:r>
      <w:r w:rsidRPr="00290A68">
        <w:rPr>
          <w:rFonts w:ascii="Times New Roman" w:hAnsi="Times New Roman" w:cs="Times New Roman"/>
        </w:rPr>
        <w:t>Lasagni, ‘The enforcement of ECB sanctions in light of the proportionality principle: Is there a need for a guide to define a solid legal framework’ [2024] 61 Common Market Law Review, 690.</w:t>
      </w:r>
    </w:p>
  </w:footnote>
  <w:footnote w:id="58">
    <w:p w14:paraId="12C14DDE" w14:textId="77777777" w:rsidR="00D27914" w:rsidRDefault="00D27914" w:rsidP="00D27914">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CRD IV, Art 97(4).</w:t>
      </w:r>
    </w:p>
  </w:footnote>
  <w:footnote w:id="59">
    <w:p w14:paraId="1CD4E5F6" w14:textId="77777777" w:rsidR="00D27914" w:rsidRDefault="00D27914" w:rsidP="00D27914">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ECB, ‘Supervisory approach and methodologies’ (</w:t>
      </w:r>
      <w:r>
        <w:rPr>
          <w:rFonts w:ascii="Times New Roman" w:hAnsi="Times New Roman" w:cs="Times New Roman"/>
          <w:i/>
          <w:iCs/>
          <w:lang w:val="en-IE"/>
        </w:rPr>
        <w:t xml:space="preserve">European Central Bank – Banking supervision </w:t>
      </w:r>
      <w:r>
        <w:rPr>
          <w:rFonts w:ascii="Times New Roman" w:hAnsi="Times New Roman" w:cs="Times New Roman"/>
          <w:lang w:val="en-IE"/>
        </w:rPr>
        <w:t>2024) &lt;</w:t>
      </w:r>
      <w:hyperlink r:id="rId1" w:anchor="snci" w:history="1">
        <w:r>
          <w:rPr>
            <w:rStyle w:val="Hyperlink"/>
            <w:rFonts w:ascii="Times New Roman" w:hAnsi="Times New Roman" w:cs="Times New Roman"/>
            <w:lang w:val="en-IE"/>
          </w:rPr>
          <w:t>https://www.bankingsupervision.europa.eu/banking/lsi/approach/html/index.en.html#snci</w:t>
        </w:r>
      </w:hyperlink>
      <w:r>
        <w:rPr>
          <w:rFonts w:ascii="Times New Roman" w:hAnsi="Times New Roman" w:cs="Times New Roman"/>
          <w:lang w:val="en-IE"/>
        </w:rPr>
        <w:t>&gt; accessed 10 July 2024.</w:t>
      </w:r>
    </w:p>
  </w:footnote>
  <w:footnote w:id="60">
    <w:p w14:paraId="2E86DD91" w14:textId="77777777" w:rsidR="00D27914" w:rsidRDefault="00D27914" w:rsidP="00D27914">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 xml:space="preserve">Mario P. Chiti, Marco Macchia and Andrea </w:t>
      </w:r>
      <w:r>
        <w:rPr>
          <w:rFonts w:ascii="Times New Roman" w:hAnsi="Times New Roman" w:cs="Times New Roman"/>
          <w:lang w:val="en-IE"/>
        </w:rPr>
        <w:t>Magliari, ‘</w:t>
      </w:r>
      <w:r>
        <w:rPr>
          <w:rFonts w:ascii="Times New Roman" w:hAnsi="Times New Roman" w:cs="Times New Roman"/>
        </w:rPr>
        <w:t>The Principle of Proportionality and the European Central Bank’ [2020] 26(3) European Public Law, 672.</w:t>
      </w:r>
    </w:p>
  </w:footnote>
  <w:footnote w:id="61">
    <w:p w14:paraId="06EEDD4B" w14:textId="77777777" w:rsidR="00D27914" w:rsidRDefault="00D27914" w:rsidP="00D27914">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ECB, </w:t>
      </w:r>
      <w:r>
        <w:rPr>
          <w:rFonts w:ascii="Times New Roman" w:hAnsi="Times New Roman" w:cs="Times New Roman"/>
          <w:i/>
          <w:iCs/>
        </w:rPr>
        <w:t xml:space="preserve">ECB Annual Report on Supervisory activities </w:t>
      </w:r>
      <w:r>
        <w:rPr>
          <w:rFonts w:ascii="Times New Roman" w:hAnsi="Times New Roman" w:cs="Times New Roman"/>
        </w:rPr>
        <w:t>[2021], 51.</w:t>
      </w:r>
    </w:p>
  </w:footnote>
  <w:footnote w:id="62">
    <w:p w14:paraId="14AC4304" w14:textId="77777777" w:rsidR="00D27914" w:rsidRDefault="00D27914" w:rsidP="00D27914">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 xml:space="preserve">ECB, </w:t>
      </w:r>
      <w:r>
        <w:rPr>
          <w:rFonts w:ascii="Times New Roman" w:hAnsi="Times New Roman" w:cs="Times New Roman"/>
          <w:i/>
          <w:iCs/>
          <w:lang w:val="en-IE"/>
        </w:rPr>
        <w:t>LSI supervision report 2022</w:t>
      </w:r>
      <w:r>
        <w:rPr>
          <w:rFonts w:ascii="Times New Roman" w:hAnsi="Times New Roman" w:cs="Times New Roman"/>
          <w:lang w:val="en-IE"/>
        </w:rPr>
        <w:t xml:space="preserve"> [2022] 8.</w:t>
      </w:r>
    </w:p>
  </w:footnote>
  <w:footnote w:id="63">
    <w:p w14:paraId="2F93AFD8" w14:textId="77777777" w:rsidR="00D27914" w:rsidRDefault="00D27914" w:rsidP="00D27914">
      <w:pPr>
        <w:pStyle w:val="FootnoteText"/>
        <w:rPr>
          <w:lang w:val="en-IE"/>
        </w:rPr>
      </w:pPr>
      <w:r>
        <w:rPr>
          <w:rStyle w:val="FootnoteReference"/>
        </w:rPr>
        <w:footnoteRef/>
      </w:r>
      <w:r>
        <w:t xml:space="preserve"> </w:t>
      </w:r>
    </w:p>
  </w:footnote>
  <w:footnote w:id="64">
    <w:p w14:paraId="4FCDBE92" w14:textId="77777777" w:rsidR="00D27914" w:rsidRDefault="00D27914" w:rsidP="00D27914">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Bart </w:t>
      </w:r>
      <w:r>
        <w:rPr>
          <w:rFonts w:ascii="Times New Roman" w:hAnsi="Times New Roman" w:cs="Times New Roman"/>
        </w:rPr>
        <w:t xml:space="preserve">Joosen and Matthias Lehmann, ‘Proportionality in the Single Rule Book’ in Mario P. Chiti and Vittorio Santoro (eds) </w:t>
      </w:r>
      <w:r>
        <w:rPr>
          <w:rFonts w:ascii="Times New Roman" w:hAnsi="Times New Roman" w:cs="Times New Roman"/>
          <w:i/>
          <w:iCs/>
        </w:rPr>
        <w:t>The Palgrave Handbook of European Banking Union Law</w:t>
      </w:r>
      <w:r>
        <w:rPr>
          <w:rFonts w:ascii="Times New Roman" w:hAnsi="Times New Roman" w:cs="Times New Roman"/>
        </w:rPr>
        <w:t xml:space="preserve"> [Palgrave Macmillan 2019].</w:t>
      </w:r>
    </w:p>
  </w:footnote>
  <w:footnote w:id="65">
    <w:p w14:paraId="4CE901A0"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ECB, </w:t>
      </w:r>
      <w:r>
        <w:rPr>
          <w:rFonts w:ascii="Times New Roman" w:hAnsi="Times New Roman" w:cs="Times New Roman"/>
          <w:i/>
          <w:iCs/>
          <w:lang w:val="en-IE"/>
        </w:rPr>
        <w:t>Guidance to banks on Non-Performing Loans</w:t>
      </w:r>
      <w:r>
        <w:rPr>
          <w:rFonts w:ascii="Times New Roman" w:hAnsi="Times New Roman" w:cs="Times New Roman"/>
          <w:lang w:val="en-IE"/>
        </w:rPr>
        <w:t xml:space="preserve"> [2017], 23.</w:t>
      </w:r>
    </w:p>
  </w:footnote>
  <w:footnote w:id="66">
    <w:p w14:paraId="21F03E27" w14:textId="77777777" w:rsidR="00B86B4A" w:rsidRDefault="00B86B4A" w:rsidP="00B86B4A">
      <w:pPr>
        <w:pStyle w:val="FootnoteText"/>
        <w:jc w:val="both"/>
        <w:rPr>
          <w:rFonts w:ascii="Times New Roman" w:hAnsi="Times New Roman" w:cs="Times New Roman"/>
          <w:i/>
          <w:iCs/>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CBI, Non-Performing Loans: The Irish perspective on a European problem - Deputy Governor Ed Sibley’ (</w:t>
      </w:r>
      <w:r>
        <w:rPr>
          <w:rFonts w:ascii="Times New Roman" w:hAnsi="Times New Roman" w:cs="Times New Roman"/>
          <w:i/>
          <w:iCs/>
          <w:lang w:val="en-IE"/>
        </w:rPr>
        <w:t xml:space="preserve">CBI, </w:t>
      </w:r>
      <w:r>
        <w:rPr>
          <w:rFonts w:ascii="Times New Roman" w:hAnsi="Times New Roman" w:cs="Times New Roman"/>
          <w:lang w:val="en-IE"/>
        </w:rPr>
        <w:t>22 September 2017) &lt;</w:t>
      </w:r>
      <w:r>
        <w:rPr>
          <w:rFonts w:ascii="Times New Roman" w:hAnsi="Times New Roman" w:cs="Times New Roman"/>
        </w:rPr>
        <w:t xml:space="preserve"> </w:t>
      </w:r>
      <w:hyperlink r:id="rId2" w:history="1">
        <w:r>
          <w:rPr>
            <w:rStyle w:val="Hyperlink"/>
            <w:rFonts w:ascii="Times New Roman" w:hAnsi="Times New Roman" w:cs="Times New Roman"/>
            <w:lang w:val="en-IE"/>
          </w:rPr>
          <w:t>https://www.centralbank.ie/news/article/non-performing-loans-dg-ed-sibley21Sept2017</w:t>
        </w:r>
      </w:hyperlink>
      <w:r>
        <w:rPr>
          <w:rFonts w:ascii="Times New Roman" w:hAnsi="Times New Roman" w:cs="Times New Roman"/>
          <w:lang w:val="en-IE"/>
        </w:rPr>
        <w:t>&gt; accessed 10 July 2024.</w:t>
      </w:r>
    </w:p>
  </w:footnote>
  <w:footnote w:id="67">
    <w:p w14:paraId="188D2EA5"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ECB, </w:t>
      </w:r>
      <w:r>
        <w:rPr>
          <w:rFonts w:ascii="Times New Roman" w:hAnsi="Times New Roman" w:cs="Times New Roman"/>
          <w:i/>
          <w:iCs/>
          <w:lang w:val="en-IE"/>
        </w:rPr>
        <w:t>Guidance to banks on Non-Performing Loans</w:t>
      </w:r>
      <w:r>
        <w:rPr>
          <w:rFonts w:ascii="Times New Roman" w:hAnsi="Times New Roman" w:cs="Times New Roman"/>
          <w:lang w:val="en-IE"/>
        </w:rPr>
        <w:t xml:space="preserve"> [2017], 4.</w:t>
      </w:r>
    </w:p>
  </w:footnote>
  <w:footnote w:id="68">
    <w:p w14:paraId="7B432690"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Ibid, 5.</w:t>
      </w:r>
    </w:p>
  </w:footnote>
  <w:footnote w:id="69">
    <w:p w14:paraId="5A2B4C1C"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Ibid, 17.</w:t>
      </w:r>
    </w:p>
  </w:footnote>
  <w:footnote w:id="70">
    <w:p w14:paraId="4A13BA4B"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Commission, ‘Report on the Single Supervisory Mechanism established pursuant to Regulation (EU) No 1024/2013’ [2023] COM(2023) 212 final, 5.</w:t>
      </w:r>
    </w:p>
  </w:footnote>
  <w:footnote w:id="71">
    <w:p w14:paraId="71DEAD34"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Ibid, 6.</w:t>
      </w:r>
    </w:p>
  </w:footnote>
  <w:footnote w:id="72">
    <w:p w14:paraId="06A79B8E"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Enrica Bolognesi and others, ‘Non-performing loans and the cost of deleveraging: The Italian experience’ [2020] 39(6) Journal of Accounting and Public Policy, 4.</w:t>
      </w:r>
    </w:p>
  </w:footnote>
  <w:footnote w:id="73">
    <w:p w14:paraId="67074D35"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Ibid.</w:t>
      </w:r>
    </w:p>
  </w:footnote>
  <w:footnote w:id="74">
    <w:p w14:paraId="1E29D40E" w14:textId="77777777" w:rsidR="00B86B4A" w:rsidRDefault="00B86B4A" w:rsidP="00B86B4A">
      <w:pPr>
        <w:pStyle w:val="FootnoteText"/>
        <w:jc w:val="both"/>
        <w:rPr>
          <w:rFonts w:ascii="Times New Roman" w:hAnsi="Times New Roman" w:cs="Times New Roman"/>
          <w:lang w:val="en-IE"/>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IE"/>
        </w:rPr>
        <w:t>CBI, Non-Performing Loans: The Irish perspective on a European problem - Deputy Governor Ed Sibley’ (</w:t>
      </w:r>
      <w:r>
        <w:rPr>
          <w:rFonts w:ascii="Times New Roman" w:hAnsi="Times New Roman" w:cs="Times New Roman"/>
          <w:i/>
          <w:iCs/>
          <w:lang w:val="en-IE"/>
        </w:rPr>
        <w:t xml:space="preserve">CBI, </w:t>
      </w:r>
      <w:r>
        <w:rPr>
          <w:rFonts w:ascii="Times New Roman" w:hAnsi="Times New Roman" w:cs="Times New Roman"/>
          <w:lang w:val="en-IE"/>
        </w:rPr>
        <w:t>22 September 2017) &lt;</w:t>
      </w:r>
      <w:r>
        <w:rPr>
          <w:rFonts w:ascii="Times New Roman" w:hAnsi="Times New Roman" w:cs="Times New Roman"/>
        </w:rPr>
        <w:t xml:space="preserve"> </w:t>
      </w:r>
      <w:hyperlink r:id="rId3" w:history="1">
        <w:r>
          <w:rPr>
            <w:rStyle w:val="Hyperlink"/>
            <w:rFonts w:ascii="Times New Roman" w:hAnsi="Times New Roman" w:cs="Times New Roman"/>
            <w:lang w:val="en-IE"/>
          </w:rPr>
          <w:t>https://www.centralbank.ie/news/article/non-performing-loans-dg-ed-sibley21Sept2017</w:t>
        </w:r>
      </w:hyperlink>
      <w:r>
        <w:rPr>
          <w:rFonts w:ascii="Times New Roman" w:hAnsi="Times New Roman" w:cs="Times New Roman"/>
          <w:lang w:val="en-IE"/>
        </w:rPr>
        <w:t>&gt; accessed 10 July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357"/>
    <w:multiLevelType w:val="hybridMultilevel"/>
    <w:tmpl w:val="B19061C0"/>
    <w:lvl w:ilvl="0" w:tplc="418E5FFC">
      <w:start w:val="12"/>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EE0131"/>
    <w:multiLevelType w:val="hybridMultilevel"/>
    <w:tmpl w:val="FCAE2356"/>
    <w:lvl w:ilvl="0" w:tplc="6A3CFB66">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215E5D22"/>
    <w:multiLevelType w:val="hybridMultilevel"/>
    <w:tmpl w:val="1C52C424"/>
    <w:lvl w:ilvl="0" w:tplc="4EA21A52">
      <w:start w:val="12"/>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5BE1E41"/>
    <w:multiLevelType w:val="hybridMultilevel"/>
    <w:tmpl w:val="CBA0426A"/>
    <w:lvl w:ilvl="0" w:tplc="AE2C5896">
      <w:start w:val="12"/>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0837350">
    <w:abstractNumId w:val="3"/>
  </w:num>
  <w:num w:numId="2" w16cid:durableId="1942489896">
    <w:abstractNumId w:val="2"/>
  </w:num>
  <w:num w:numId="3" w16cid:durableId="2112117176">
    <w:abstractNumId w:val="0"/>
  </w:num>
  <w:num w:numId="4" w16cid:durableId="13487546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u Linh Luong">
    <w15:presenceInfo w15:providerId="AD" w15:userId="S::LUONGD@tcd.ie::c52a69f2-d7e7-4cb0-9099-77bfd1c31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9BE6A8"/>
    <w:rsid w:val="000127CA"/>
    <w:rsid w:val="000167F9"/>
    <w:rsid w:val="00025429"/>
    <w:rsid w:val="000324AA"/>
    <w:rsid w:val="000341EF"/>
    <w:rsid w:val="00037B19"/>
    <w:rsid w:val="00044E98"/>
    <w:rsid w:val="00045E28"/>
    <w:rsid w:val="000467E1"/>
    <w:rsid w:val="00051738"/>
    <w:rsid w:val="00053D32"/>
    <w:rsid w:val="00053E81"/>
    <w:rsid w:val="00053FCD"/>
    <w:rsid w:val="00057490"/>
    <w:rsid w:val="0006650D"/>
    <w:rsid w:val="0007218F"/>
    <w:rsid w:val="00073153"/>
    <w:rsid w:val="00077935"/>
    <w:rsid w:val="00080705"/>
    <w:rsid w:val="00081DEE"/>
    <w:rsid w:val="000820CF"/>
    <w:rsid w:val="00083814"/>
    <w:rsid w:val="0008383E"/>
    <w:rsid w:val="00083C69"/>
    <w:rsid w:val="00095100"/>
    <w:rsid w:val="000A4179"/>
    <w:rsid w:val="000C2AF2"/>
    <w:rsid w:val="000E2792"/>
    <w:rsid w:val="000E2B22"/>
    <w:rsid w:val="000F0C7A"/>
    <w:rsid w:val="000F4B32"/>
    <w:rsid w:val="000F71EC"/>
    <w:rsid w:val="00101195"/>
    <w:rsid w:val="00105876"/>
    <w:rsid w:val="00105EA0"/>
    <w:rsid w:val="00111A90"/>
    <w:rsid w:val="0011325A"/>
    <w:rsid w:val="0011795A"/>
    <w:rsid w:val="00117B15"/>
    <w:rsid w:val="00132C09"/>
    <w:rsid w:val="0013329F"/>
    <w:rsid w:val="00134A41"/>
    <w:rsid w:val="00135D1C"/>
    <w:rsid w:val="001443B5"/>
    <w:rsid w:val="00144EB4"/>
    <w:rsid w:val="0014521C"/>
    <w:rsid w:val="00147816"/>
    <w:rsid w:val="0015021B"/>
    <w:rsid w:val="00156CAA"/>
    <w:rsid w:val="00157729"/>
    <w:rsid w:val="0016185C"/>
    <w:rsid w:val="00163AEB"/>
    <w:rsid w:val="00180DE0"/>
    <w:rsid w:val="00184879"/>
    <w:rsid w:val="001858B1"/>
    <w:rsid w:val="0019465A"/>
    <w:rsid w:val="0019550C"/>
    <w:rsid w:val="001A6EC7"/>
    <w:rsid w:val="001A77ED"/>
    <w:rsid w:val="001B3FD7"/>
    <w:rsid w:val="001C483B"/>
    <w:rsid w:val="001D052D"/>
    <w:rsid w:val="001D60C0"/>
    <w:rsid w:val="001E036D"/>
    <w:rsid w:val="001E286F"/>
    <w:rsid w:val="001E4364"/>
    <w:rsid w:val="001E5FF9"/>
    <w:rsid w:val="001F1E96"/>
    <w:rsid w:val="001F2680"/>
    <w:rsid w:val="001F31B8"/>
    <w:rsid w:val="001F4772"/>
    <w:rsid w:val="00207CDF"/>
    <w:rsid w:val="00216B77"/>
    <w:rsid w:val="00224ACD"/>
    <w:rsid w:val="002307FA"/>
    <w:rsid w:val="0023149E"/>
    <w:rsid w:val="00241924"/>
    <w:rsid w:val="002508A7"/>
    <w:rsid w:val="0025600A"/>
    <w:rsid w:val="00256883"/>
    <w:rsid w:val="00264180"/>
    <w:rsid w:val="0028344A"/>
    <w:rsid w:val="00283513"/>
    <w:rsid w:val="0028709E"/>
    <w:rsid w:val="00290DF8"/>
    <w:rsid w:val="002B12C9"/>
    <w:rsid w:val="002B1C0F"/>
    <w:rsid w:val="002B2066"/>
    <w:rsid w:val="002B27E0"/>
    <w:rsid w:val="002B7B62"/>
    <w:rsid w:val="002C3F89"/>
    <w:rsid w:val="002C4D32"/>
    <w:rsid w:val="002E2312"/>
    <w:rsid w:val="00303861"/>
    <w:rsid w:val="00305B18"/>
    <w:rsid w:val="00306516"/>
    <w:rsid w:val="0032172C"/>
    <w:rsid w:val="003226A8"/>
    <w:rsid w:val="00323EC5"/>
    <w:rsid w:val="003241BC"/>
    <w:rsid w:val="0033003F"/>
    <w:rsid w:val="003339C9"/>
    <w:rsid w:val="00345688"/>
    <w:rsid w:val="00346B23"/>
    <w:rsid w:val="003543C4"/>
    <w:rsid w:val="003567A7"/>
    <w:rsid w:val="00360E85"/>
    <w:rsid w:val="00360E8F"/>
    <w:rsid w:val="00363616"/>
    <w:rsid w:val="0036463E"/>
    <w:rsid w:val="003652AF"/>
    <w:rsid w:val="0036590A"/>
    <w:rsid w:val="00365BE6"/>
    <w:rsid w:val="00366FB5"/>
    <w:rsid w:val="003709CA"/>
    <w:rsid w:val="00374514"/>
    <w:rsid w:val="00380483"/>
    <w:rsid w:val="0038097D"/>
    <w:rsid w:val="00391B4D"/>
    <w:rsid w:val="003A2A4C"/>
    <w:rsid w:val="003B12B4"/>
    <w:rsid w:val="003B4865"/>
    <w:rsid w:val="003C0554"/>
    <w:rsid w:val="003C288B"/>
    <w:rsid w:val="003C5DC1"/>
    <w:rsid w:val="003D1A09"/>
    <w:rsid w:val="003E581E"/>
    <w:rsid w:val="003E6A43"/>
    <w:rsid w:val="003F30F8"/>
    <w:rsid w:val="003F5121"/>
    <w:rsid w:val="00400DFB"/>
    <w:rsid w:val="00403506"/>
    <w:rsid w:val="00403F47"/>
    <w:rsid w:val="00414525"/>
    <w:rsid w:val="0041734A"/>
    <w:rsid w:val="004203E1"/>
    <w:rsid w:val="00423587"/>
    <w:rsid w:val="0042419E"/>
    <w:rsid w:val="00435E62"/>
    <w:rsid w:val="00437BE7"/>
    <w:rsid w:val="00442DD8"/>
    <w:rsid w:val="00444353"/>
    <w:rsid w:val="0044593E"/>
    <w:rsid w:val="00453443"/>
    <w:rsid w:val="00453F01"/>
    <w:rsid w:val="00457CBC"/>
    <w:rsid w:val="004756CB"/>
    <w:rsid w:val="00476BD8"/>
    <w:rsid w:val="004854A6"/>
    <w:rsid w:val="00493811"/>
    <w:rsid w:val="004945B0"/>
    <w:rsid w:val="004A4746"/>
    <w:rsid w:val="004A5C94"/>
    <w:rsid w:val="004A789D"/>
    <w:rsid w:val="004B7421"/>
    <w:rsid w:val="004C3066"/>
    <w:rsid w:val="004F7715"/>
    <w:rsid w:val="0050515A"/>
    <w:rsid w:val="00506EB5"/>
    <w:rsid w:val="00525E5D"/>
    <w:rsid w:val="00534A52"/>
    <w:rsid w:val="00536235"/>
    <w:rsid w:val="0053675F"/>
    <w:rsid w:val="00537522"/>
    <w:rsid w:val="00542C77"/>
    <w:rsid w:val="00552D17"/>
    <w:rsid w:val="00562514"/>
    <w:rsid w:val="00567540"/>
    <w:rsid w:val="0057008A"/>
    <w:rsid w:val="00573DAF"/>
    <w:rsid w:val="005741A2"/>
    <w:rsid w:val="00574269"/>
    <w:rsid w:val="005774FD"/>
    <w:rsid w:val="00580361"/>
    <w:rsid w:val="00590184"/>
    <w:rsid w:val="005904D6"/>
    <w:rsid w:val="005A77AC"/>
    <w:rsid w:val="005B2267"/>
    <w:rsid w:val="005B4B9B"/>
    <w:rsid w:val="005C3EE6"/>
    <w:rsid w:val="005C5299"/>
    <w:rsid w:val="005C7348"/>
    <w:rsid w:val="005D3584"/>
    <w:rsid w:val="005D7E75"/>
    <w:rsid w:val="005E0201"/>
    <w:rsid w:val="005E16B9"/>
    <w:rsid w:val="005E2F4A"/>
    <w:rsid w:val="005E573F"/>
    <w:rsid w:val="005E72F9"/>
    <w:rsid w:val="005F2901"/>
    <w:rsid w:val="005F3EC3"/>
    <w:rsid w:val="005F6C22"/>
    <w:rsid w:val="00600860"/>
    <w:rsid w:val="00603F01"/>
    <w:rsid w:val="006156BE"/>
    <w:rsid w:val="006161FC"/>
    <w:rsid w:val="00622870"/>
    <w:rsid w:val="00631777"/>
    <w:rsid w:val="0063360D"/>
    <w:rsid w:val="006410D4"/>
    <w:rsid w:val="00641345"/>
    <w:rsid w:val="006644F6"/>
    <w:rsid w:val="00667E5C"/>
    <w:rsid w:val="006704EA"/>
    <w:rsid w:val="00671CD7"/>
    <w:rsid w:val="0068779E"/>
    <w:rsid w:val="00696E84"/>
    <w:rsid w:val="006A1454"/>
    <w:rsid w:val="006A4832"/>
    <w:rsid w:val="006A6C6A"/>
    <w:rsid w:val="006A79A1"/>
    <w:rsid w:val="006B0B2D"/>
    <w:rsid w:val="006B4AC0"/>
    <w:rsid w:val="006C0C66"/>
    <w:rsid w:val="006C38D1"/>
    <w:rsid w:val="006C4DC6"/>
    <w:rsid w:val="006D1931"/>
    <w:rsid w:val="006E14B4"/>
    <w:rsid w:val="006E5B3D"/>
    <w:rsid w:val="006E724F"/>
    <w:rsid w:val="006E74E6"/>
    <w:rsid w:val="006F0AA3"/>
    <w:rsid w:val="006F35E1"/>
    <w:rsid w:val="006F7ACD"/>
    <w:rsid w:val="007066E6"/>
    <w:rsid w:val="00715116"/>
    <w:rsid w:val="00716F6F"/>
    <w:rsid w:val="00723C79"/>
    <w:rsid w:val="00741262"/>
    <w:rsid w:val="00742824"/>
    <w:rsid w:val="00742BDC"/>
    <w:rsid w:val="0074666B"/>
    <w:rsid w:val="0074680E"/>
    <w:rsid w:val="007468C4"/>
    <w:rsid w:val="00752CC2"/>
    <w:rsid w:val="00753DD2"/>
    <w:rsid w:val="00760786"/>
    <w:rsid w:val="00771D29"/>
    <w:rsid w:val="00786A83"/>
    <w:rsid w:val="00790858"/>
    <w:rsid w:val="0079109A"/>
    <w:rsid w:val="0079447F"/>
    <w:rsid w:val="007A04B2"/>
    <w:rsid w:val="007A2B6E"/>
    <w:rsid w:val="007A53EA"/>
    <w:rsid w:val="007A578B"/>
    <w:rsid w:val="007A63B7"/>
    <w:rsid w:val="007B0EB2"/>
    <w:rsid w:val="007D6F84"/>
    <w:rsid w:val="007E5243"/>
    <w:rsid w:val="007E594A"/>
    <w:rsid w:val="007E7512"/>
    <w:rsid w:val="007F5A9B"/>
    <w:rsid w:val="007F6870"/>
    <w:rsid w:val="008020EE"/>
    <w:rsid w:val="008025C2"/>
    <w:rsid w:val="00812329"/>
    <w:rsid w:val="00812D64"/>
    <w:rsid w:val="0081370B"/>
    <w:rsid w:val="00821C2B"/>
    <w:rsid w:val="00825AD4"/>
    <w:rsid w:val="0082676A"/>
    <w:rsid w:val="00837755"/>
    <w:rsid w:val="00841D66"/>
    <w:rsid w:val="00844B4B"/>
    <w:rsid w:val="00855C8C"/>
    <w:rsid w:val="00857D4F"/>
    <w:rsid w:val="00864001"/>
    <w:rsid w:val="00864DEC"/>
    <w:rsid w:val="00871929"/>
    <w:rsid w:val="00877E78"/>
    <w:rsid w:val="00885817"/>
    <w:rsid w:val="00887170"/>
    <w:rsid w:val="00887BDD"/>
    <w:rsid w:val="008A2064"/>
    <w:rsid w:val="008B1146"/>
    <w:rsid w:val="008B191E"/>
    <w:rsid w:val="008B4D50"/>
    <w:rsid w:val="008B65D2"/>
    <w:rsid w:val="008C48FB"/>
    <w:rsid w:val="008D49B4"/>
    <w:rsid w:val="008E1E13"/>
    <w:rsid w:val="008E21CE"/>
    <w:rsid w:val="008F2133"/>
    <w:rsid w:val="008F6651"/>
    <w:rsid w:val="00900B41"/>
    <w:rsid w:val="00901CFD"/>
    <w:rsid w:val="00905354"/>
    <w:rsid w:val="009065A4"/>
    <w:rsid w:val="0091305A"/>
    <w:rsid w:val="009142AF"/>
    <w:rsid w:val="00926EF4"/>
    <w:rsid w:val="00933C52"/>
    <w:rsid w:val="00936089"/>
    <w:rsid w:val="0093623F"/>
    <w:rsid w:val="0093632F"/>
    <w:rsid w:val="009419C4"/>
    <w:rsid w:val="00955A42"/>
    <w:rsid w:val="0096081C"/>
    <w:rsid w:val="0096230E"/>
    <w:rsid w:val="00966A96"/>
    <w:rsid w:val="00970794"/>
    <w:rsid w:val="009724FB"/>
    <w:rsid w:val="00973B47"/>
    <w:rsid w:val="009750CC"/>
    <w:rsid w:val="00986188"/>
    <w:rsid w:val="009870C6"/>
    <w:rsid w:val="009877A2"/>
    <w:rsid w:val="009919E9"/>
    <w:rsid w:val="009950D1"/>
    <w:rsid w:val="0099541F"/>
    <w:rsid w:val="00997339"/>
    <w:rsid w:val="00997BC0"/>
    <w:rsid w:val="009A3938"/>
    <w:rsid w:val="009A3DAF"/>
    <w:rsid w:val="009B2007"/>
    <w:rsid w:val="009B30C9"/>
    <w:rsid w:val="009C6A42"/>
    <w:rsid w:val="009D6682"/>
    <w:rsid w:val="009E05DB"/>
    <w:rsid w:val="009E0A4F"/>
    <w:rsid w:val="009F0CA0"/>
    <w:rsid w:val="009F0E65"/>
    <w:rsid w:val="009F208B"/>
    <w:rsid w:val="009F2147"/>
    <w:rsid w:val="009F3C70"/>
    <w:rsid w:val="009F45D3"/>
    <w:rsid w:val="00A01D42"/>
    <w:rsid w:val="00A16AF2"/>
    <w:rsid w:val="00A22866"/>
    <w:rsid w:val="00A22E59"/>
    <w:rsid w:val="00A241CB"/>
    <w:rsid w:val="00A24B65"/>
    <w:rsid w:val="00A3339C"/>
    <w:rsid w:val="00A423C8"/>
    <w:rsid w:val="00A46B4F"/>
    <w:rsid w:val="00A47B5C"/>
    <w:rsid w:val="00A52F9B"/>
    <w:rsid w:val="00A60CCA"/>
    <w:rsid w:val="00A62E54"/>
    <w:rsid w:val="00A6388B"/>
    <w:rsid w:val="00A66997"/>
    <w:rsid w:val="00A756F1"/>
    <w:rsid w:val="00A873E0"/>
    <w:rsid w:val="00A91BFD"/>
    <w:rsid w:val="00AA0DEA"/>
    <w:rsid w:val="00AA100E"/>
    <w:rsid w:val="00AA7BD8"/>
    <w:rsid w:val="00AD7835"/>
    <w:rsid w:val="00AE7367"/>
    <w:rsid w:val="00AF0819"/>
    <w:rsid w:val="00B01D4E"/>
    <w:rsid w:val="00B03E60"/>
    <w:rsid w:val="00B12065"/>
    <w:rsid w:val="00B132BD"/>
    <w:rsid w:val="00B139A4"/>
    <w:rsid w:val="00B14C5D"/>
    <w:rsid w:val="00B22A23"/>
    <w:rsid w:val="00B31306"/>
    <w:rsid w:val="00B500C6"/>
    <w:rsid w:val="00B609CC"/>
    <w:rsid w:val="00B622AB"/>
    <w:rsid w:val="00B62DB2"/>
    <w:rsid w:val="00B71C05"/>
    <w:rsid w:val="00B86278"/>
    <w:rsid w:val="00B86B4A"/>
    <w:rsid w:val="00B91A7B"/>
    <w:rsid w:val="00B97362"/>
    <w:rsid w:val="00BB2A59"/>
    <w:rsid w:val="00BB5C9E"/>
    <w:rsid w:val="00BB7C5F"/>
    <w:rsid w:val="00BC09BE"/>
    <w:rsid w:val="00BD74BC"/>
    <w:rsid w:val="00BD7FF7"/>
    <w:rsid w:val="00C00238"/>
    <w:rsid w:val="00C02909"/>
    <w:rsid w:val="00C30029"/>
    <w:rsid w:val="00C30A4E"/>
    <w:rsid w:val="00C3170D"/>
    <w:rsid w:val="00C3241A"/>
    <w:rsid w:val="00C3745F"/>
    <w:rsid w:val="00C60A2E"/>
    <w:rsid w:val="00C61EF3"/>
    <w:rsid w:val="00C630F5"/>
    <w:rsid w:val="00C64738"/>
    <w:rsid w:val="00C653B4"/>
    <w:rsid w:val="00C658B3"/>
    <w:rsid w:val="00C72738"/>
    <w:rsid w:val="00C85AB9"/>
    <w:rsid w:val="00C907DE"/>
    <w:rsid w:val="00C9404A"/>
    <w:rsid w:val="00C97757"/>
    <w:rsid w:val="00CA3354"/>
    <w:rsid w:val="00CA38F6"/>
    <w:rsid w:val="00CA7F5A"/>
    <w:rsid w:val="00CA7FA9"/>
    <w:rsid w:val="00CB55D5"/>
    <w:rsid w:val="00CB56B1"/>
    <w:rsid w:val="00CC7B7D"/>
    <w:rsid w:val="00CD06ED"/>
    <w:rsid w:val="00CD1C5C"/>
    <w:rsid w:val="00CD6337"/>
    <w:rsid w:val="00CE0109"/>
    <w:rsid w:val="00CE1C42"/>
    <w:rsid w:val="00CE77A3"/>
    <w:rsid w:val="00CF23FC"/>
    <w:rsid w:val="00CF47BB"/>
    <w:rsid w:val="00CF65DC"/>
    <w:rsid w:val="00D03915"/>
    <w:rsid w:val="00D11193"/>
    <w:rsid w:val="00D11F9A"/>
    <w:rsid w:val="00D130FB"/>
    <w:rsid w:val="00D24EE2"/>
    <w:rsid w:val="00D25D40"/>
    <w:rsid w:val="00D27914"/>
    <w:rsid w:val="00D27CFD"/>
    <w:rsid w:val="00D42447"/>
    <w:rsid w:val="00D460B7"/>
    <w:rsid w:val="00D544C0"/>
    <w:rsid w:val="00D57DE6"/>
    <w:rsid w:val="00D628C1"/>
    <w:rsid w:val="00D72031"/>
    <w:rsid w:val="00D76C50"/>
    <w:rsid w:val="00D856E3"/>
    <w:rsid w:val="00DB6F90"/>
    <w:rsid w:val="00DC014F"/>
    <w:rsid w:val="00DC3BFD"/>
    <w:rsid w:val="00DC5A2B"/>
    <w:rsid w:val="00DC77C5"/>
    <w:rsid w:val="00DD058A"/>
    <w:rsid w:val="00DD1190"/>
    <w:rsid w:val="00DD22D4"/>
    <w:rsid w:val="00DD54D8"/>
    <w:rsid w:val="00DE3647"/>
    <w:rsid w:val="00DF1530"/>
    <w:rsid w:val="00DF479B"/>
    <w:rsid w:val="00E00B0A"/>
    <w:rsid w:val="00E0387A"/>
    <w:rsid w:val="00E07FC9"/>
    <w:rsid w:val="00E15151"/>
    <w:rsid w:val="00E17672"/>
    <w:rsid w:val="00E21CD0"/>
    <w:rsid w:val="00E27126"/>
    <w:rsid w:val="00E27A0F"/>
    <w:rsid w:val="00E357BD"/>
    <w:rsid w:val="00E36945"/>
    <w:rsid w:val="00E45FD0"/>
    <w:rsid w:val="00E473D5"/>
    <w:rsid w:val="00E61778"/>
    <w:rsid w:val="00E648DC"/>
    <w:rsid w:val="00E67A0B"/>
    <w:rsid w:val="00E70E3B"/>
    <w:rsid w:val="00E74FD1"/>
    <w:rsid w:val="00E779BD"/>
    <w:rsid w:val="00E802D0"/>
    <w:rsid w:val="00E8752C"/>
    <w:rsid w:val="00E90C59"/>
    <w:rsid w:val="00E94A90"/>
    <w:rsid w:val="00EA2F57"/>
    <w:rsid w:val="00EB1FAB"/>
    <w:rsid w:val="00EB2D1D"/>
    <w:rsid w:val="00EB41DD"/>
    <w:rsid w:val="00EB6474"/>
    <w:rsid w:val="00EE1226"/>
    <w:rsid w:val="00EF2D40"/>
    <w:rsid w:val="00F30A26"/>
    <w:rsid w:val="00F32B1C"/>
    <w:rsid w:val="00F46189"/>
    <w:rsid w:val="00F51032"/>
    <w:rsid w:val="00F51B1F"/>
    <w:rsid w:val="00F67963"/>
    <w:rsid w:val="00F861AA"/>
    <w:rsid w:val="00F93B8A"/>
    <w:rsid w:val="00F947C7"/>
    <w:rsid w:val="00F95B33"/>
    <w:rsid w:val="00F95EC8"/>
    <w:rsid w:val="00F96775"/>
    <w:rsid w:val="00FA7E5E"/>
    <w:rsid w:val="00FB26E0"/>
    <w:rsid w:val="00FB50B0"/>
    <w:rsid w:val="00FC1C12"/>
    <w:rsid w:val="00FC4A40"/>
    <w:rsid w:val="00FD18A4"/>
    <w:rsid w:val="00FD73E8"/>
    <w:rsid w:val="00FE029D"/>
    <w:rsid w:val="00FF1A45"/>
    <w:rsid w:val="00FF3BBE"/>
    <w:rsid w:val="00FF4327"/>
    <w:rsid w:val="00FF6765"/>
    <w:rsid w:val="0FEA726A"/>
    <w:rsid w:val="3B9BE6A8"/>
    <w:rsid w:val="6D77E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BE6A8"/>
  <w15:chartTrackingRefBased/>
  <w15:docId w15:val="{DE881031-EBEA-4383-941B-5E07F2C1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noteText">
    <w:name w:val="footnote text"/>
    <w:basedOn w:val="Normal"/>
    <w:link w:val="FootnoteTextChar"/>
    <w:uiPriority w:val="99"/>
    <w:semiHidden/>
    <w:unhideWhenUsed/>
    <w:rsid w:val="00901C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1CFD"/>
    <w:rPr>
      <w:sz w:val="20"/>
      <w:szCs w:val="20"/>
    </w:rPr>
  </w:style>
  <w:style w:type="character" w:styleId="FootnoteReference">
    <w:name w:val="footnote reference"/>
    <w:basedOn w:val="DefaultParagraphFont"/>
    <w:uiPriority w:val="99"/>
    <w:semiHidden/>
    <w:unhideWhenUsed/>
    <w:rsid w:val="00901CFD"/>
    <w:rPr>
      <w:vertAlign w:val="superscript"/>
    </w:rPr>
  </w:style>
  <w:style w:type="character" w:styleId="CommentReference">
    <w:name w:val="annotation reference"/>
    <w:basedOn w:val="DefaultParagraphFont"/>
    <w:uiPriority w:val="99"/>
    <w:semiHidden/>
    <w:unhideWhenUsed/>
    <w:rsid w:val="00DD22D4"/>
    <w:rPr>
      <w:sz w:val="16"/>
      <w:szCs w:val="16"/>
    </w:rPr>
  </w:style>
  <w:style w:type="paragraph" w:styleId="CommentText">
    <w:name w:val="annotation text"/>
    <w:basedOn w:val="Normal"/>
    <w:link w:val="CommentTextChar"/>
    <w:uiPriority w:val="99"/>
    <w:unhideWhenUsed/>
    <w:rsid w:val="00DD22D4"/>
    <w:pPr>
      <w:spacing w:line="240" w:lineRule="auto"/>
    </w:pPr>
    <w:rPr>
      <w:sz w:val="20"/>
      <w:szCs w:val="20"/>
    </w:rPr>
  </w:style>
  <w:style w:type="character" w:customStyle="1" w:styleId="CommentTextChar">
    <w:name w:val="Comment Text Char"/>
    <w:basedOn w:val="DefaultParagraphFont"/>
    <w:link w:val="CommentText"/>
    <w:uiPriority w:val="99"/>
    <w:rsid w:val="00DD22D4"/>
    <w:rPr>
      <w:sz w:val="20"/>
      <w:szCs w:val="20"/>
    </w:rPr>
  </w:style>
  <w:style w:type="paragraph" w:styleId="CommentSubject">
    <w:name w:val="annotation subject"/>
    <w:basedOn w:val="CommentText"/>
    <w:next w:val="CommentText"/>
    <w:link w:val="CommentSubjectChar"/>
    <w:uiPriority w:val="99"/>
    <w:semiHidden/>
    <w:unhideWhenUsed/>
    <w:rsid w:val="00DD22D4"/>
    <w:rPr>
      <w:b/>
      <w:bCs/>
    </w:rPr>
  </w:style>
  <w:style w:type="character" w:customStyle="1" w:styleId="CommentSubjectChar">
    <w:name w:val="Comment Subject Char"/>
    <w:basedOn w:val="CommentTextChar"/>
    <w:link w:val="CommentSubject"/>
    <w:uiPriority w:val="99"/>
    <w:semiHidden/>
    <w:rsid w:val="00DD22D4"/>
    <w:rPr>
      <w:b/>
      <w:bCs/>
      <w:sz w:val="20"/>
      <w:szCs w:val="20"/>
    </w:rPr>
  </w:style>
  <w:style w:type="character" w:styleId="Hyperlink">
    <w:name w:val="Hyperlink"/>
    <w:basedOn w:val="DefaultParagraphFont"/>
    <w:uiPriority w:val="99"/>
    <w:unhideWhenUsed/>
    <w:rsid w:val="00073153"/>
    <w:rPr>
      <w:color w:val="467886" w:themeColor="hyperlink"/>
      <w:u w:val="single"/>
    </w:rPr>
  </w:style>
  <w:style w:type="character" w:styleId="UnresolvedMention">
    <w:name w:val="Unresolved Mention"/>
    <w:basedOn w:val="DefaultParagraphFont"/>
    <w:uiPriority w:val="99"/>
    <w:semiHidden/>
    <w:unhideWhenUsed/>
    <w:rsid w:val="00073153"/>
    <w:rPr>
      <w:color w:val="605E5C"/>
      <w:shd w:val="clear" w:color="auto" w:fill="E1DFDD"/>
    </w:rPr>
  </w:style>
  <w:style w:type="paragraph" w:styleId="ListParagraph">
    <w:name w:val="List Paragraph"/>
    <w:basedOn w:val="Normal"/>
    <w:uiPriority w:val="34"/>
    <w:qFormat/>
    <w:rsid w:val="00117B15"/>
    <w:pPr>
      <w:ind w:left="720"/>
      <w:contextualSpacing/>
    </w:pPr>
  </w:style>
  <w:style w:type="paragraph" w:styleId="Header">
    <w:name w:val="header"/>
    <w:basedOn w:val="Normal"/>
    <w:link w:val="HeaderChar"/>
    <w:uiPriority w:val="99"/>
    <w:semiHidden/>
    <w:unhideWhenUsed/>
    <w:rsid w:val="0042419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419E"/>
  </w:style>
  <w:style w:type="paragraph" w:styleId="Footer">
    <w:name w:val="footer"/>
    <w:basedOn w:val="Normal"/>
    <w:link w:val="FooterChar"/>
    <w:uiPriority w:val="99"/>
    <w:semiHidden/>
    <w:unhideWhenUsed/>
    <w:rsid w:val="0042419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4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38473">
      <w:bodyDiv w:val="1"/>
      <w:marLeft w:val="0"/>
      <w:marRight w:val="0"/>
      <w:marTop w:val="0"/>
      <w:marBottom w:val="0"/>
      <w:divBdr>
        <w:top w:val="none" w:sz="0" w:space="0" w:color="auto"/>
        <w:left w:val="none" w:sz="0" w:space="0" w:color="auto"/>
        <w:bottom w:val="none" w:sz="0" w:space="0" w:color="auto"/>
        <w:right w:val="none" w:sz="0" w:space="0" w:color="auto"/>
      </w:divBdr>
    </w:div>
    <w:div w:id="584850734">
      <w:bodyDiv w:val="1"/>
      <w:marLeft w:val="0"/>
      <w:marRight w:val="0"/>
      <w:marTop w:val="0"/>
      <w:marBottom w:val="0"/>
      <w:divBdr>
        <w:top w:val="none" w:sz="0" w:space="0" w:color="auto"/>
        <w:left w:val="none" w:sz="0" w:space="0" w:color="auto"/>
        <w:bottom w:val="none" w:sz="0" w:space="0" w:color="auto"/>
        <w:right w:val="none" w:sz="0" w:space="0" w:color="auto"/>
      </w:divBdr>
    </w:div>
    <w:div w:id="610478116">
      <w:bodyDiv w:val="1"/>
      <w:marLeft w:val="0"/>
      <w:marRight w:val="0"/>
      <w:marTop w:val="0"/>
      <w:marBottom w:val="0"/>
      <w:divBdr>
        <w:top w:val="none" w:sz="0" w:space="0" w:color="auto"/>
        <w:left w:val="none" w:sz="0" w:space="0" w:color="auto"/>
        <w:bottom w:val="none" w:sz="0" w:space="0" w:color="auto"/>
        <w:right w:val="none" w:sz="0" w:space="0" w:color="auto"/>
      </w:divBdr>
    </w:div>
    <w:div w:id="654603476">
      <w:bodyDiv w:val="1"/>
      <w:marLeft w:val="0"/>
      <w:marRight w:val="0"/>
      <w:marTop w:val="0"/>
      <w:marBottom w:val="0"/>
      <w:divBdr>
        <w:top w:val="none" w:sz="0" w:space="0" w:color="auto"/>
        <w:left w:val="none" w:sz="0" w:space="0" w:color="auto"/>
        <w:bottom w:val="none" w:sz="0" w:space="0" w:color="auto"/>
        <w:right w:val="none" w:sz="0" w:space="0" w:color="auto"/>
      </w:divBdr>
    </w:div>
    <w:div w:id="701320553">
      <w:bodyDiv w:val="1"/>
      <w:marLeft w:val="0"/>
      <w:marRight w:val="0"/>
      <w:marTop w:val="0"/>
      <w:marBottom w:val="0"/>
      <w:divBdr>
        <w:top w:val="none" w:sz="0" w:space="0" w:color="auto"/>
        <w:left w:val="none" w:sz="0" w:space="0" w:color="auto"/>
        <w:bottom w:val="none" w:sz="0" w:space="0" w:color="auto"/>
        <w:right w:val="none" w:sz="0" w:space="0" w:color="auto"/>
      </w:divBdr>
    </w:div>
    <w:div w:id="748229234">
      <w:bodyDiv w:val="1"/>
      <w:marLeft w:val="0"/>
      <w:marRight w:val="0"/>
      <w:marTop w:val="0"/>
      <w:marBottom w:val="0"/>
      <w:divBdr>
        <w:top w:val="none" w:sz="0" w:space="0" w:color="auto"/>
        <w:left w:val="none" w:sz="0" w:space="0" w:color="auto"/>
        <w:bottom w:val="none" w:sz="0" w:space="0" w:color="auto"/>
        <w:right w:val="none" w:sz="0" w:space="0" w:color="auto"/>
      </w:divBdr>
    </w:div>
    <w:div w:id="1296594307">
      <w:bodyDiv w:val="1"/>
      <w:marLeft w:val="0"/>
      <w:marRight w:val="0"/>
      <w:marTop w:val="0"/>
      <w:marBottom w:val="0"/>
      <w:divBdr>
        <w:top w:val="none" w:sz="0" w:space="0" w:color="auto"/>
        <w:left w:val="none" w:sz="0" w:space="0" w:color="auto"/>
        <w:bottom w:val="none" w:sz="0" w:space="0" w:color="auto"/>
        <w:right w:val="none" w:sz="0" w:space="0" w:color="auto"/>
      </w:divBdr>
    </w:div>
    <w:div w:id="1528059538">
      <w:bodyDiv w:val="1"/>
      <w:marLeft w:val="0"/>
      <w:marRight w:val="0"/>
      <w:marTop w:val="0"/>
      <w:marBottom w:val="0"/>
      <w:divBdr>
        <w:top w:val="none" w:sz="0" w:space="0" w:color="auto"/>
        <w:left w:val="none" w:sz="0" w:space="0" w:color="auto"/>
        <w:bottom w:val="none" w:sz="0" w:space="0" w:color="auto"/>
        <w:right w:val="none" w:sz="0" w:space="0" w:color="auto"/>
      </w:divBdr>
    </w:div>
    <w:div w:id="1698195306">
      <w:bodyDiv w:val="1"/>
      <w:marLeft w:val="0"/>
      <w:marRight w:val="0"/>
      <w:marTop w:val="0"/>
      <w:marBottom w:val="0"/>
      <w:divBdr>
        <w:top w:val="none" w:sz="0" w:space="0" w:color="auto"/>
        <w:left w:val="none" w:sz="0" w:space="0" w:color="auto"/>
        <w:bottom w:val="none" w:sz="0" w:space="0" w:color="auto"/>
        <w:right w:val="none" w:sz="0" w:space="0" w:color="auto"/>
      </w:divBdr>
    </w:div>
    <w:div w:id="21023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link.springer.com/article/10.1007/s40802-024-00258-4" TargetMode="External"/><Relationship Id="rId13" Type="http://schemas.openxmlformats.org/officeDocument/2006/relationships/hyperlink" Target="https://www.bankingsupervision.europa.eu/press/speeches/date/2019/html/ssm.sp191121_1~a65cdec01d.en.html" TargetMode="External"/><Relationship Id="rId18" Type="http://schemas.openxmlformats.org/officeDocument/2006/relationships/hyperlink" Target="https://www.bankingsupervision.europa.eu/press/publications/sanctioning-report/html/ssm.sr2024~fa110879af.en.html" TargetMode="External"/><Relationship Id="rId3" Type="http://schemas.openxmlformats.org/officeDocument/2006/relationships/hyperlink" Target="https://link.springer.com/article/10.1007/s40802-024-00258-4" TargetMode="External"/><Relationship Id="rId7" Type="http://schemas.openxmlformats.org/officeDocument/2006/relationships/hyperlink" Target="https://www.bis.org/review/r180126b.htm" TargetMode="External"/><Relationship Id="rId12" Type="http://schemas.openxmlformats.org/officeDocument/2006/relationships/hyperlink" Target="https://www.bankingsupervision.europa.eu/press/speeches/date/2019/html/ssm.sp191121_1~a65cdec01d.en.html" TargetMode="External"/><Relationship Id="rId17" Type="http://schemas.openxmlformats.org/officeDocument/2006/relationships/hyperlink" Target="file:///C:/Users/luong/Downloads/1887_3728221-JoosenEBI2023%20(1).pdf" TargetMode="External"/><Relationship Id="rId2" Type="http://schemas.openxmlformats.org/officeDocument/2006/relationships/hyperlink" Target="https://www.bankingsupervision.europa.eu/press/speeches/date/2019/html/ssm.sp190509~7b20eedbe7.en.html" TargetMode="External"/><Relationship Id="rId16" Type="http://schemas.openxmlformats.org/officeDocument/2006/relationships/hyperlink" Target="file:///C:/Users/luong/Downloads/53IntlLaw291.pdf" TargetMode="External"/><Relationship Id="rId1" Type="http://schemas.openxmlformats.org/officeDocument/2006/relationships/hyperlink" Target="https://blogs.law.ox.ac.uk/business-law-blog/blog/2017/04/proposals-reforming-ssm-european-banking-act-and-%E2%80%98crr-light%E2%80%99" TargetMode="External"/><Relationship Id="rId6" Type="http://schemas.openxmlformats.org/officeDocument/2006/relationships/hyperlink" Target="https://www.bis.org/speeches/sp221107.pdf" TargetMode="External"/><Relationship Id="rId11" Type="http://schemas.openxmlformats.org/officeDocument/2006/relationships/hyperlink" Target="https://www.bis.org/speeches/sp230914.htm" TargetMode="External"/><Relationship Id="rId5" Type="http://schemas.openxmlformats.org/officeDocument/2006/relationships/hyperlink" Target="https://www.bis.org/bcbs/events/icbs24/icbs24_workshop6.pdf" TargetMode="External"/><Relationship Id="rId15" Type="http://schemas.openxmlformats.org/officeDocument/2006/relationships/hyperlink" Target="https://link.springer.com/article/10.1007/s40804-019-00170-y" TargetMode="External"/><Relationship Id="rId10" Type="http://schemas.openxmlformats.org/officeDocument/2006/relationships/hyperlink" Target="https://www.astrid-online.it/static/upload/2304/230418-single-supervisory-mechanism-report_en.pdf" TargetMode="External"/><Relationship Id="rId4" Type="http://schemas.openxmlformats.org/officeDocument/2006/relationships/hyperlink" Target="https://www.bis.org/speeches/sp230913.htm" TargetMode="External"/><Relationship Id="rId9" Type="http://schemas.openxmlformats.org/officeDocument/2006/relationships/hyperlink" Target="https://link.springer.com/article/10.1007/s40802-024-00258-4" TargetMode="External"/><Relationship Id="rId14" Type="http://schemas.openxmlformats.org/officeDocument/2006/relationships/hyperlink" Target="file:///C:/Users/luong/Downloads/13JBusEntrepreneurshipL18.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entralbank.ie/news/article/non-performing-loans-dg-ed-sibley21Sept2017" TargetMode="External"/><Relationship Id="rId2" Type="http://schemas.openxmlformats.org/officeDocument/2006/relationships/hyperlink" Target="https://www.centralbank.ie/news/article/non-performing-loans-dg-ed-sibley21Sept2017" TargetMode="External"/><Relationship Id="rId1" Type="http://schemas.openxmlformats.org/officeDocument/2006/relationships/hyperlink" Target="https://www.bankingsupervision.europa.eu/banking/lsi/approach/html/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42FFF-E7FD-4999-93D1-B3E4D58E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7124</Words>
  <Characters>42847</Characters>
  <Application>Microsoft Office Word</Application>
  <DocSecurity>0</DocSecurity>
  <Lines>639</Lines>
  <Paragraphs>145</Paragraphs>
  <ScaleCrop>false</ScaleCrop>
  <Company/>
  <LinksUpToDate>false</LinksUpToDate>
  <CharactersWithSpaces>49865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Linh Luong</dc:creator>
  <cp:keywords/>
  <dc:description/>
  <cp:lastModifiedBy>Diệu Linh Lương</cp:lastModifiedBy>
  <cp:revision>3</cp:revision>
  <dcterms:created xsi:type="dcterms:W3CDTF">2024-06-26T10:52:00Z</dcterms:created>
  <dcterms:modified xsi:type="dcterms:W3CDTF">2024-06-26T10:53:00Z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6e67798fc227967a99419360ebbc46f1e7df3c9c6fea6259fb54df08996b7def</vt:lpwstr>
  </property>
</Properties>
</file>