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Phần 1 : </w:t>
      </w:r>
    </w:p>
    <w:p w:rsidR="00000000" w:rsidDel="00000000" w:rsidP="00000000" w:rsidRDefault="00000000" w:rsidRPr="00000000" w14:paraId="00000002">
      <w:pPr>
        <w:rPr/>
      </w:pPr>
      <w:r w:rsidDel="00000000" w:rsidR="00000000" w:rsidRPr="00000000">
        <w:rPr>
          <w:rtl w:val="0"/>
        </w:rPr>
        <w:t xml:space="preserve">Markdown giúp AI xử lý nhanh hơn vì nó giảm kí tự giúp giảm số lượng token tiêu hao.</w:t>
      </w:r>
    </w:p>
    <w:p w:rsidR="00000000" w:rsidDel="00000000" w:rsidP="00000000" w:rsidRDefault="00000000" w:rsidRPr="00000000" w14:paraId="00000003">
      <w:pPr>
        <w:rPr/>
      </w:pPr>
      <w:r w:rsidDel="00000000" w:rsidR="00000000" w:rsidRPr="00000000">
        <w:rPr>
          <w:rtl w:val="0"/>
        </w:rPr>
        <w:t xml:space="preserve">Phần 2 : </w:t>
      </w:r>
    </w:p>
    <w:p w:rsidR="00000000" w:rsidDel="00000000" w:rsidP="00000000" w:rsidRDefault="00000000" w:rsidRPr="00000000" w14:paraId="00000004">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510"/>
        <w:gridCol w:w="3555"/>
        <w:tblGridChange w:id="0">
          <w:tblGrid>
            <w:gridCol w:w="1725"/>
            <w:gridCol w:w="3510"/>
            <w:gridCol w:w="35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Tiêu chí so sánh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Markdown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HTML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Cú pháp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Cực kỳ tối giản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Dài dòng, phức tạp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Số lượng Token sinh 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Rất ít. Do ít ký tự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Nhiều hơn đáng kể</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Tốc độ xử lý của 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Nhanh hơn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Chậm hơn</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Giải pháp tối ưu : Kết hợp giữa Markdown khi xử lý với AI để xử lý nhanh hơn còn HTML khi hiển thị cho người dùng thấy để người dùng nhìn thấy trực quan hơn.</w:t>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