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4"/>
          <w:szCs w:val="24"/>
        </w:rPr>
        <w:t xml:space="preserve">STUDENT INFORMATION FORM</w:t>
      </w:r>
    </w:p>
    <w:p>
      <w:pPr>
        <w:spacing w:after="200"/>
        <w:jc w:val="center"/>
      </w:pPr>
      <w:r>
        <w:rPr>
          <w:rFonts w:ascii="Times New Roman" w:cs="Times New Roman" w:eastAsia="Times New Roman" w:hAnsi="Times New Roman"/>
          <w:b/>
          <w:bCs/>
          <w:sz w:val="20"/>
          <w:szCs w:val="20"/>
        </w:rPr>
        <w:t xml:space="preserve">(For Reference Letter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Name: </w:t>
            </w:r>
            <w:r>
              <w:rPr>
                <w:rFonts w:ascii="Times New Roman" w:cs="Times New Roman" w:eastAsia="Times New Roman" w:hAnsi="Times New Roman"/>
                <w:sz w:val="20"/>
                <w:szCs w:val="20"/>
              </w:rPr>
              <w:t xml:space="preserve">Dang Cong Thanh</w:t>
            </w:r>
          </w:p>
        </w:tc>
        <w:tc>
          <w:tcPr>
            <w:tcW w:type="dxa" w:w="4513"/>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Student ID No: </w:t>
            </w:r>
            <w:r>
              <w:rPr>
                <w:rFonts w:ascii="Times New Roman" w:cs="Times New Roman" w:eastAsia="Times New Roman" w:hAnsi="Times New Roman"/>
                <w:sz w:val="20"/>
                <w:szCs w:val="20"/>
              </w:rPr>
              <w:t xml:space="preserve">HAN21080118</w:t>
            </w:r>
          </w:p>
        </w:tc>
      </w:tr>
      <w:tr>
        <w:tc>
          <w:tcPr>
            <w:tcW w:type="dxa" w:w="4513"/>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Cohort: </w:t>
            </w:r>
            <w:r>
              <w:rPr>
                <w:rFonts w:ascii="Times New Roman" w:cs="Times New Roman" w:eastAsia="Times New Roman" w:hAnsi="Times New Roman"/>
                <w:sz w:val="20"/>
                <w:szCs w:val="20"/>
              </w:rPr>
              <w:t xml:space="preserve">2110CGDP</w:t>
            </w:r>
          </w:p>
        </w:tc>
        <w:tc>
          <w:tcPr>
            <w:tcW w:type="dxa" w:w="4513"/>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Major: </w:t>
            </w:r>
            <w:r>
              <w:rPr>
                <w:rFonts w:ascii="Times New Roman" w:cs="Times New Roman" w:eastAsia="Times New Roman" w:hAnsi="Times New Roman"/>
                <w:sz w:val="20"/>
                <w:szCs w:val="20"/>
              </w:rPr>
              <w:t xml:space="preserve">Computer Games Design and Programming</w:t>
            </w:r>
          </w:p>
        </w:tc>
      </w:tr>
      <w:tr>
        <w:tc>
          <w:tcPr>
            <w:tcW w:type="dxa" w:w="4513"/>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Requested Referee(s): </w:t>
            </w:r>
            <w:r>
              <w:rPr>
                <w:rFonts w:ascii="Times New Roman" w:cs="Times New Roman" w:eastAsia="Times New Roman" w:hAnsi="Times New Roman"/>
                <w:sz w:val="20"/>
                <w:szCs w:val="20"/>
              </w:rPr>
              <w:t xml:space="preserve">David Holloway, Leo Hoang</w:t>
            </w:r>
          </w:p>
        </w:tc>
        <w:tc>
          <w:tcPr>
            <w:tcW w:type="dxa" w:w="4513"/>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Deadline: </w:t>
            </w:r>
            <w:r>
              <w:rPr>
                <w:rFonts w:ascii="Times New Roman" w:cs="Times New Roman" w:eastAsia="Times New Roman" w:hAnsi="Times New Roman"/>
                <w:sz w:val="20"/>
                <w:szCs w:val="20"/>
              </w:rPr>
              <w:t xml:space="preserve">April 26th 2026</w:t>
            </w:r>
          </w:p>
        </w:tc>
      </w:tr>
    </w:tbl>
    <w:p>
      <w:pPr>
        <w:spacing w:after="80"/>
      </w:pPr>
    </w:p>
    <w:p>
      <w:pPr>
        <w:spacing w:after="100"/>
      </w:pPr>
      <w:r>
        <w:rPr>
          <w:rFonts w:ascii="Times New Roman" w:cs="Times New Roman" w:eastAsia="Times New Roman" w:hAnsi="Times New Roman"/>
          <w:b/>
          <w:bCs/>
          <w:i/>
          <w:iCs/>
          <w:sz w:val="20"/>
          <w:szCs w:val="20"/>
        </w:rPr>
        <w:t xml:space="preserve">NOTES:</w:t>
      </w:r>
    </w:p>
    <w:p>
      <w:pPr>
        <w:pStyle w:val="ListParagraph"/>
        <w:numPr>
          <w:ilvl w:val="0"/>
          <w:numId w:val="2"/>
        </w:numPr>
        <w:spacing w:after="80"/>
      </w:pPr>
      <w:r>
        <w:rPr>
          <w:rFonts w:ascii="Times New Roman" w:cs="Times New Roman" w:eastAsia="Times New Roman" w:hAnsi="Times New Roman"/>
          <w:sz w:val="20"/>
          <w:szCs w:val="20"/>
        </w:rPr>
        <w:t xml:space="preserve">Once the form is completed, please send it along with your </w:t>
      </w:r>
      <w:r>
        <w:rPr>
          <w:rFonts w:ascii="Times New Roman" w:cs="Times New Roman" w:eastAsia="Times New Roman" w:hAnsi="Times New Roman"/>
          <w:b/>
          <w:bCs/>
          <w:sz w:val="20"/>
          <w:szCs w:val="20"/>
        </w:rPr>
        <w:t xml:space="preserve">latest academic transcripts and professional CV</w:t>
      </w:r>
      <w:r>
        <w:rPr>
          <w:rFonts w:ascii="Times New Roman" w:cs="Times New Roman" w:eastAsia="Times New Roman" w:hAnsi="Times New Roman"/>
          <w:sz w:val="20"/>
          <w:szCs w:val="20"/>
        </w:rPr>
        <w:t xml:space="preserve"> (if any) to the relevant BUV staff.</w:t>
      </w:r>
    </w:p>
    <w:p>
      <w:pPr>
        <w:pStyle w:val="ListParagraph"/>
        <w:numPr>
          <w:ilvl w:val="0"/>
          <w:numId w:val="2"/>
        </w:numPr>
        <w:spacing w:after="80"/>
      </w:pPr>
      <w:r>
        <w:rPr>
          <w:rFonts w:ascii="Times New Roman" w:cs="Times New Roman" w:eastAsia="Times New Roman" w:hAnsi="Times New Roman"/>
          <w:sz w:val="20"/>
          <w:szCs w:val="20"/>
        </w:rPr>
        <w:t xml:space="preserve">The typical process of publication takes </w:t>
      </w:r>
      <w:r>
        <w:rPr>
          <w:rFonts w:ascii="Times New Roman" w:cs="Times New Roman" w:eastAsia="Times New Roman" w:hAnsi="Times New Roman"/>
          <w:b/>
          <w:bCs/>
          <w:sz w:val="20"/>
          <w:szCs w:val="20"/>
        </w:rPr>
        <w:t xml:space="preserve">02 working weeks</w:t>
      </w:r>
      <w:r>
        <w:rPr>
          <w:rFonts w:ascii="Times New Roman" w:cs="Times New Roman" w:eastAsia="Times New Roman" w:hAnsi="Times New Roman"/>
          <w:sz w:val="20"/>
          <w:szCs w:val="20"/>
        </w:rPr>
        <w:t xml:space="preserve"> from the date all necessary documents are sent.</w:t>
      </w:r>
    </w:p>
    <w:p>
      <w:pPr>
        <w:pStyle w:val="ListParagraph"/>
        <w:numPr>
          <w:ilvl w:val="0"/>
          <w:numId w:val="2"/>
        </w:numPr>
        <w:spacing w:after="80"/>
      </w:pPr>
      <w:r>
        <w:rPr>
          <w:rFonts w:ascii="Times New Roman" w:cs="Times New Roman" w:eastAsia="Times New Roman" w:hAnsi="Times New Roman"/>
          <w:sz w:val="20"/>
          <w:szCs w:val="20"/>
        </w:rPr>
        <w:t xml:space="preserve">Letters of recommendation are typically a digital document, signed with a verified digital signature from BUV. Physical versions take longer to arrange.</w:t>
      </w:r>
    </w:p>
    <w:p>
      <w:pPr>
        <w:pStyle w:val="ListParagraph"/>
        <w:numPr>
          <w:ilvl w:val="0"/>
          <w:numId w:val="2"/>
        </w:numPr>
        <w:spacing w:after="80"/>
      </w:pPr>
      <w:r>
        <w:rPr>
          <w:rFonts w:ascii="Times New Roman" w:cs="Times New Roman" w:eastAsia="Times New Roman" w:hAnsi="Times New Roman"/>
          <w:sz w:val="20"/>
          <w:szCs w:val="20"/>
        </w:rPr>
        <w:t xml:space="preserve">The referee(s) may decline your request due to unavailability, lack of familiarity or other professional and/or academic-related reasons.</w:t>
      </w:r>
    </w:p>
    <w:p>
      <w:pPr>
        <w:pStyle w:val="ListParagraph"/>
        <w:numPr>
          <w:ilvl w:val="0"/>
          <w:numId w:val="2"/>
        </w:numPr>
        <w:spacing w:after="160"/>
      </w:pPr>
      <w:r>
        <w:rPr>
          <w:rFonts w:ascii="Times New Roman" w:cs="Times New Roman" w:eastAsia="Times New Roman" w:hAnsi="Times New Roman"/>
          <w:sz w:val="20"/>
          <w:szCs w:val="20"/>
        </w:rPr>
        <w:t xml:space="preserve">Per year of enrollment, each referee may provide </w:t>
      </w:r>
      <w:r>
        <w:rPr>
          <w:rFonts w:ascii="Times New Roman" w:cs="Times New Roman" w:eastAsia="Times New Roman" w:hAnsi="Times New Roman"/>
          <w:b/>
          <w:bCs/>
          <w:sz w:val="20"/>
          <w:szCs w:val="20"/>
        </w:rPr>
        <w:t xml:space="preserve">up to 03 references</w:t>
      </w:r>
      <w:r>
        <w:rPr>
          <w:rFonts w:ascii="Times New Roman" w:cs="Times New Roman" w:eastAsia="Times New Roman" w:hAnsi="Times New Roman"/>
          <w:sz w:val="20"/>
          <w:szCs w:val="20"/>
        </w:rPr>
        <w:t xml:space="preserve"> for one student, including </w:t>
      </w:r>
      <w:r>
        <w:rPr>
          <w:rFonts w:ascii="Times New Roman" w:cs="Times New Roman" w:eastAsia="Times New Roman" w:hAnsi="Times New Roman"/>
          <w:sz w:val="20"/>
          <w:szCs w:val="20"/>
          <w:u w:val="single"/>
        </w:rPr>
        <w:t xml:space="preserve">online submission</w:t>
      </w:r>
      <w:r>
        <w:rPr>
          <w:rFonts w:ascii="Times New Roman" w:cs="Times New Roman" w:eastAsia="Times New Roman" w:hAnsi="Times New Roman"/>
          <w:sz w:val="20"/>
          <w:szCs w:val="20"/>
        </w:rPr>
        <w:t xml:space="preserve"> of references OR </w:t>
      </w:r>
      <w:r>
        <w:rPr>
          <w:rFonts w:ascii="Times New Roman" w:cs="Times New Roman" w:eastAsia="Times New Roman" w:hAnsi="Times New Roman"/>
          <w:sz w:val="20"/>
          <w:szCs w:val="20"/>
          <w:u w:val="single"/>
        </w:rPr>
        <w:t xml:space="preserve">writing on BUV-branded letters</w:t>
      </w:r>
      <w:r>
        <w:rPr>
          <w:rFonts w:ascii="Times New Roman" w:cs="Times New Roman" w:eastAsia="Times New Roman" w:hAnsi="Times New Roman"/>
          <w:sz w:val="20"/>
          <w:szCs w:val="20"/>
        </w:rPr>
        <w:t xml:space="preserve">.</w:t>
      </w:r>
    </w:p>
    <w:p>
      <w:pPr>
        <w:spacing w:after="100"/>
      </w:pPr>
      <w:r>
        <w:rPr>
          <w:rFonts w:ascii="Times New Roman" w:cs="Times New Roman" w:eastAsia="Times New Roman" w:hAnsi="Times New Roman"/>
          <w:b/>
          <w:bCs/>
          <w:i/>
          <w:iCs/>
          <w:sz w:val="20"/>
          <w:szCs w:val="20"/>
        </w:rPr>
        <w:t xml:space="preserve">SECTION 1</w:t>
      </w:r>
    </w:p>
    <w:p>
      <w:pPr>
        <w:spacing w:after="100"/>
      </w:pPr>
      <w:r>
        <w:rPr>
          <w:rFonts w:ascii="Times New Roman" w:cs="Times New Roman" w:eastAsia="Times New Roman" w:hAnsi="Times New Roman"/>
          <w:sz w:val="20"/>
          <w:szCs w:val="20"/>
        </w:rPr>
        <w:t xml:space="preserve">What is the purpose of the letter? Be specific. If this is a letter for a scholarship, please state that. If this is for a graduate degree, be sure to include entry requirements. If this is for future job applications, please state this.</w:t>
      </w:r>
    </w:p>
    <w:p>
      <w:pPr>
        <w:spacing w:after="200"/>
      </w:pPr>
      <w:r>
        <w:rPr>
          <w:rFonts w:ascii="Times New Roman" w:cs="Times New Roman" w:eastAsia="Times New Roman" w:hAnsi="Times New Roman"/>
          <w:sz w:val="20"/>
          <w:szCs w:val="20"/>
        </w:rPr>
        <w:t xml:space="preserve">The purpose of this letter is to support an application to the following postgraduate programme: MSc Computer Games Design at Staffordshire University, Stoke-on-Trent — entry requirement: 2:2 or above undergraduate qualification (or equivalent) in a related subject area, plus a portfolio demonstrating games design experience. The applicant is a Staffordshire University alumnus (BSc Hons Computer Games Design and Programming, 2024).</w:t>
      </w:r>
    </w:p>
    <w:p>
      <w:pPr>
        <w:spacing w:after="100" w:before="200"/>
      </w:pPr>
      <w:r>
        <w:rPr>
          <w:rFonts w:ascii="Times New Roman" w:cs="Times New Roman" w:eastAsia="Times New Roman" w:hAnsi="Times New Roman"/>
          <w:b/>
          <w:bCs/>
          <w:sz w:val="22"/>
          <w:szCs w:val="22"/>
          <w:u w:val="single"/>
        </w:rPr>
        <w:t xml:space="preserve">B. Activities involved in while in BUV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3726"/>
      </w:tblGrid>
      <w:tr>
        <w:tc>
          <w:tcPr>
            <w:tcW w:type="dxa" w:w="3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Activity/Clubs/Societies/Games</w:t>
            </w:r>
          </w:p>
        </w:tc>
        <w:tc>
          <w:tcPr>
            <w:tcW w:type="dxa" w:w="2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Position(s) Held</w:t>
            </w:r>
          </w:p>
        </w:tc>
        <w:tc>
          <w:tcPr>
            <w:tcW w:type="dxa" w:w="37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Skills Developed</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BUV Game Jam (2022)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Game Designer, Programmer</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Time management, rapid prototyping, interdisciplinary collaboration, problem-solving under pressure, game design documentation</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BUV Game Jam (2023)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Game Designer</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Iterative game design, solo design decision-making, scope management, playtesting and feedback integration</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Catch Your Glimpse (2023 – BUV Photography Club)</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Event Organiser</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Event coordination, logistics planning, cross-team communication, creative direction, attention to detail</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BUV Team Project Trailer (2023)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Director / Producer</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Cinematography direction, screenwriting, project leadership, asset composition, attention to production detail under academic constraints</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“A Journey to Peace” Short Film (2024)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Director / Producer</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End-to-end production leadership, creative direction, screenwriting, cinematography, storytelling through a non-linear medium — demonstrating narrative design sensibility applicable to game development</w:t>
            </w:r>
          </w:p>
        </w:tc>
      </w:tr>
    </w:tbl>
    <w:p>
      <w:pPr>
        <w:spacing w:after="80"/>
      </w:pPr>
    </w:p>
    <w:p>
      <w:pPr>
        <w:spacing w:after="100" w:before="200"/>
      </w:pPr>
      <w:r>
        <w:rPr>
          <w:rFonts w:ascii="Times New Roman" w:cs="Times New Roman" w:eastAsia="Times New Roman" w:hAnsi="Times New Roman"/>
          <w:b/>
          <w:bCs/>
          <w:sz w:val="22"/>
          <w:szCs w:val="22"/>
          <w:u w:val="single"/>
        </w:rPr>
        <w:t xml:space="preserve">C. Academic Awards and Achievements (scholarship, merit certificates, citations, etc)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Name/Type of Awards</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Year</w:t>
            </w:r>
          </w:p>
        </w:tc>
        <w:tc>
          <w:tcPr>
            <w:tcW w:type="dxa" w:w="45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Awards/Comments</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c>
          <w:tcPr>
            <w:tcW w:type="dxa" w:w="45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c>
          <w:tcPr>
            <w:tcW w:type="dxa" w:w="45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c>
          <w:tcPr>
            <w:tcW w:type="dxa" w:w="45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r>
    </w:tbl>
    <w:p>
      <w:pPr>
        <w:spacing w:after="80"/>
      </w:pPr>
    </w:p>
    <w:p>
      <w:pPr>
        <w:spacing w:after="100"/>
      </w:pPr>
      <w:r>
        <w:rPr>
          <w:rFonts w:ascii="Times New Roman" w:cs="Times New Roman" w:eastAsia="Times New Roman" w:hAnsi="Times New Roman"/>
          <w:b/>
          <w:bCs/>
          <w:i/>
          <w:iCs/>
          <w:sz w:val="20"/>
          <w:szCs w:val="20"/>
        </w:rPr>
        <w:t xml:space="preserve">SECTION 2</w:t>
      </w:r>
    </w:p>
    <w:p>
      <w:pPr>
        <w:spacing w:after="100"/>
      </w:pPr>
      <w:r>
        <w:rPr>
          <w:rFonts w:ascii="Times New Roman" w:cs="Times New Roman" w:eastAsia="Times New Roman" w:hAnsi="Times New Roman"/>
          <w:sz w:val="20"/>
          <w:szCs w:val="20"/>
        </w:rPr>
        <w:t xml:space="preserve">Do not list. Write in complete sentences.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160"/>
            </w:pPr>
            <w:r>
              <w:rPr>
                <w:rFonts w:ascii="Times New Roman" w:cs="Times New Roman" w:eastAsia="Times New Roman" w:hAnsi="Times New Roman"/>
                <w:b/>
                <w:bCs/>
                <w:sz w:val="20"/>
                <w:szCs w:val="20"/>
              </w:rPr>
              <w:t xml:space="preserve">If you are applying for further studies, please tell us why you are applying for the course(s) you have chosen. </w:t>
            </w:r>
            <w:r>
              <w:rPr>
                <w:rFonts w:ascii="Times New Roman" w:cs="Times New Roman" w:eastAsia="Times New Roman" w:hAnsi="Times New Roman"/>
                <w:i/>
                <w:iCs/>
                <w:sz w:val="20"/>
                <w:szCs w:val="20"/>
              </w:rPr>
              <w:t xml:space="preserve">(Tip: Write about the reasons the area of study interests you.)</w:t>
            </w:r>
          </w:p>
          <w:p>
            <w:pPr>
              <w:spacing w:after="120"/>
            </w:pPr>
            <w:r>
              <w:rPr>
                <w:rFonts w:ascii="Times New Roman" w:cs="Times New Roman" w:eastAsia="Times New Roman" w:hAnsi="Times New Roman"/>
                <w:sz w:val="20"/>
                <w:szCs w:val="20"/>
              </w:rPr>
              <w:t xml:space="preserve">I have been working in game design since my second year at British University Vietnam, and I am applying to Staffordshire University’s MSc Computer Games Design because I know what I need from this stage of my education and why this programme provides it. My aim is not to collect credentials. It is to build the technical depth, research foundation, and professional discipline required to lead design work at a level that genuinely matters. Reaching that standard requires more than continued practice in the industry I currently occupy — it requires structured postgraduate training with access to research frameworks and a design community operating at full professional scale.</w:t>
            </w:r>
          </w:p>
          <w:p>
            <w:pPr>
              <w:spacing w:after="120"/>
            </w:pPr>
            <w:r>
              <w:rPr>
                <w:rFonts w:ascii="Times New Roman" w:cs="Times New Roman" w:eastAsia="Times New Roman" w:hAnsi="Times New Roman"/>
                <w:sz w:val="20"/>
                <w:szCs w:val="20"/>
              </w:rPr>
              <w:t xml:space="preserve">The structure of the MSc suits where I am right now. The Gameplay System Design module (GDEV70012) addresses the area where my professional growth has been most formative. At VigaFun, I learned that strong systems are not about layering complexity but about understanding the relationships between mechanics, player behaviour, and production constraints. That knowledge came from confronting real data after real failures, and I want to develop it inside a framework that supports proper analytical rigour. The Advanced Game Design and Research module (GDEV70002) matters to me for a related reason: I have been designing largely from instinct and observation, and I am ready to learn how to interrogate those instincts through method. The Advanced Prototyping module (GDEV70003) reflects how I already work — through rapid iteration and honest engagement with what does not function — and I want that process challenged and refined within an environment built for exactly that purpose.</w:t>
            </w:r>
          </w:p>
          <w:p>
            <w:pPr>
              <w:spacing w:after="60"/>
            </w:pPr>
            <w:r>
              <w:rPr>
                <w:rFonts w:ascii="Times New Roman" w:cs="Times New Roman" w:eastAsia="Times New Roman" w:hAnsi="Times New Roman"/>
                <w:sz w:val="20"/>
                <w:szCs w:val="20"/>
              </w:rPr>
              <w:t xml:space="preserve">Vietnam’s games market is dominated by mobile constraints, and I understand those constraints well from the inside. That understanding has limits, though, and those limits are what I am applying to address. The Game Master Project (GDEV70007) is particularly significant in this context. Having dedicated time and supervision to develop a substantial, self-directed piece of design research is something I cannot create for myself in a production environment. My intention upon completing the MSc is to return with a higher standard of practice and the credibility to raise the bar in the teams I lead. I am not applying to Staffordshire because it is a convenient step. I am applying because the programme’s structure is a direct fit for what I need, and I already know the rigour of its environment from my undergraduate years there.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60"/>
              <w:bottom w:type="dxa" w:w="80"/>
              <w:right w:type="dxa" w:w="160"/>
            </w:tcMar>
          </w:tcPr>
          <w:p>
            <w:pPr>
              <w:spacing w:after="120"/>
            </w:pPr>
            <w:r>
              <w:rPr>
                <w:rFonts w:ascii="Times New Roman" w:cs="Times New Roman" w:eastAsia="Times New Roman" w:hAnsi="Times New Roman"/>
                <w:b/>
                <w:bCs/>
                <w:i/>
                <w:iCs/>
                <w:sz w:val="20"/>
                <w:szCs w:val="20"/>
              </w:rPr>
              <w:t xml:space="preserve">If you are applying for a job, please talk about your personal strengths and characteristics that will help you stand out as a potential candidate.</w:t>
            </w:r>
          </w:p>
          <w:p>
            <w:pPr>
              <w:spacing w:after="0"/>
            </w:pPr>
            <w:r>
              <w:rPr>
                <w:rFonts w:ascii="Times New Roman" w:cs="Times New Roman" w:eastAsia="Times New Roman" w:hAnsi="Times New Roman"/>
                <w:sz w:val="20"/>
                <w:szCs w:val="20"/>
              </w:rPr>
              <w:t xml:space="preserve"> </w:t>
            </w:r>
          </w:p>
        </w:tc>
      </w:tr>
    </w:tbl>
    <w:p>
      <w:pPr>
        <w:spacing w:after="80"/>
      </w:pPr>
    </w:p>
    <w:p>
      <w:pPr>
        <w:spacing w:after="80"/>
      </w:pPr>
    </w:p>
    <w:p>
      <w:pPr>
        <w:spacing w:after="100"/>
      </w:pPr>
      <w:r>
        <w:rPr>
          <w:rFonts w:ascii="Times New Roman" w:cs="Times New Roman" w:eastAsia="Times New Roman" w:hAnsi="Times New Roman"/>
          <w:sz w:val="20"/>
          <w:szCs w:val="20"/>
        </w:rPr>
        <w:t xml:space="preserve">Thanh</w:t>
      </w:r>
    </w:p>
    <w:p>
      <w:pPr>
        <w:spacing w:after="80"/>
      </w:pPr>
    </w:p>
    <w:p>
      <w:pPr>
        <w:spacing w:after="100"/>
      </w:pPr>
      <w:r>
        <w:rPr>
          <w:rFonts w:ascii="Times New Roman" w:cs="Times New Roman" w:eastAsia="Times New Roman" w:hAnsi="Times New Roman"/>
          <w:b/>
          <w:bCs/>
          <w:sz w:val="20"/>
          <w:szCs w:val="20"/>
        </w:rPr>
        <w:t xml:space="preserve">Signature</w:t>
      </w:r>
    </w:p>
    <w:p>
      <w:pPr>
        <w:spacing w:after="0"/>
      </w:pPr>
      <w:r>
        <w:rPr>
          <w:rFonts w:ascii="Times New Roman" w:cs="Times New Roman" w:eastAsia="Times New Roman" w:hAnsi="Times New Roman"/>
          <w:b/>
          <w:bCs/>
          <w:sz w:val="20"/>
          <w:szCs w:val="20"/>
        </w:rPr>
        <w:t xml:space="preserve">Date: </w:t>
      </w:r>
      <w:r>
        <w:rPr>
          <w:rFonts w:ascii="Times New Roman" w:cs="Times New Roman" w:eastAsia="Times New Roman" w:hAnsi="Times New Roman"/>
          <w:sz w:val="20"/>
          <w:szCs w:val="20"/>
        </w:rPr>
        <w:t xml:space="preserve">April 6th 2026</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2026-04-06T08:37:14.625Z</dcterms:created>
  <dcterms:modified xsi:type="dcterms:W3CDTF">2026-04-06T08:37:14.625Z</dcterms:modified>
</cp:coreProperties>
</file>

<file path=docProps/custom.xml><?xml version="1.0" encoding="utf-8"?>
<Properties xmlns="http://schemas.openxmlformats.org/officeDocument/2006/custom-properties" xmlns:vt="http://schemas.openxmlformats.org/officeDocument/2006/docPropsVTypes"/>
</file>