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Kicker"/>
        <w:widowControl w:val="1"/>
      </w:pPr>
      <w:r>
        <w:t>PROJECT MANAGEMENT BASELINE</w:t>
      </w:r>
    </w:p>
    <w:p>
      <w:pPr>
        <w:keepNext/>
        <w:spacing w:after="120"/>
        <w:widowControl w:val="1"/>
      </w:pPr>
      <w:r>
        <w:rPr>
          <w:rFonts w:ascii="Calibri" w:hAnsi="Calibri" w:eastAsia="Calibri"/>
          <w:b/>
          <w:color w:val="17365D"/>
          <w:sz w:val="54"/>
        </w:rPr>
        <w:t>RosiHome Cost, Time &amp; Resources Report</w:t>
      </w:r>
    </w:p>
    <w:p>
      <w:pPr>
        <w:spacing w:after="360"/>
        <w:widowControl w:val="1"/>
      </w:pPr>
      <w:r>
        <w:rPr>
          <w:rFonts w:ascii="Calibri" w:hAnsi="Calibri" w:eastAsia="Calibri"/>
          <w:i/>
          <w:color w:val="666666"/>
          <w:sz w:val="26"/>
        </w:rPr>
        <w:t>Actual AI-assisted delivery evidence, forecast model, planning baseline and monitoring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F2F4F7"/>
          </w:tcPr>
          <w:p>
            <w:pPr>
              <w:spacing w:after="0"/>
              <w:jc w:val="center"/>
            </w:pPr>
            <w:r>
              <w:rPr>
                <w:rFonts w:ascii="Calibri" w:hAnsi="Calibri" w:eastAsia="Calibri"/>
                <w:b/>
                <w:color w:val="17365D"/>
                <w:sz w:val="19"/>
              </w:rPr>
              <w:t>Document</w:t>
            </w:r>
          </w:p>
        </w:tc>
        <w:tc>
          <w:tcPr>
            <w:tcW w:type="dxa" w:w="7460"/>
            <w:vAlign w:val="center"/>
            <w:tcMar>
              <w:top w:w="80" w:type="dxa"/>
              <w:start w:w="120" w:type="dxa"/>
              <w:bottom w:w="80" w:type="dxa"/>
              <w:end w:w="120" w:type="dxa"/>
            </w:tcMar>
            <w:shd w:fill="F2F4F7"/>
          </w:tcPr>
          <w:p>
            <w:pPr>
              <w:spacing w:after="0"/>
              <w:jc w:val="center"/>
            </w:pPr>
            <w:r>
              <w:rPr>
                <w:rFonts w:ascii="Calibri" w:hAnsi="Calibri" w:eastAsia="Calibri"/>
                <w:b/>
                <w:color w:val="17365D"/>
                <w:sz w:val="19"/>
              </w:rPr>
              <w:t>Value</w:t>
            </w:r>
          </w:p>
        </w:tc>
      </w:tr>
      <w:tr>
        <w:trPr>
          <w:cantSplit/>
        </w:trPr>
        <w:tc>
          <w:tcPr>
            <w:tcW w:type="dxa" w:w="1900"/>
            <w:vAlign w:val="center"/>
            <w:tcMar>
              <w:top w:w="80" w:type="dxa"/>
              <w:start w:w="120" w:type="dxa"/>
              <w:bottom w:w="80" w:type="dxa"/>
              <w:end w:w="120" w:type="dxa"/>
            </w:tcMar>
          </w:tcPr>
          <w:p>
            <w:pPr>
              <w:spacing w:after="0"/>
              <w:jc w:val="left"/>
            </w:pPr>
            <w:r>
              <w:rPr>
                <w:rFonts w:ascii="Calibri" w:hAnsi="Calibri" w:eastAsia="Calibri"/>
                <w:color w:val="000000"/>
                <w:sz w:val="19"/>
              </w:rPr>
              <w:t>Project</w:t>
            </w:r>
          </w:p>
        </w:tc>
        <w:tc>
          <w:tcPr>
            <w:tcW w:type="dxa" w:w="7460"/>
            <w:vAlign w:val="center"/>
            <w:tcMar>
              <w:top w:w="80" w:type="dxa"/>
              <w:start w:w="120" w:type="dxa"/>
              <w:bottom w:w="80" w:type="dxa"/>
              <w:end w:w="120" w:type="dxa"/>
            </w:tcMar>
          </w:tcPr>
          <w:p>
            <w:pPr>
              <w:spacing w:after="0"/>
              <w:jc w:val="left"/>
            </w:pPr>
            <w:r>
              <w:rPr>
                <w:rFonts w:ascii="Calibri" w:hAnsi="Calibri" w:eastAsia="Calibri"/>
                <w:color w:val="000000"/>
                <w:sz w:val="19"/>
              </w:rPr>
              <w:t>RosiHome Property Management System</w:t>
            </w:r>
          </w:p>
        </w:tc>
      </w:tr>
      <w:tr>
        <w:trPr>
          <w:cantSplit/>
        </w:trPr>
        <w:tc>
          <w:tcPr>
            <w:tcW w:type="dxa" w:w="1900"/>
            <w:vAlign w:val="center"/>
            <w:tcMar>
              <w:top w:w="80" w:type="dxa"/>
              <w:start w:w="120" w:type="dxa"/>
              <w:bottom w:w="80" w:type="dxa"/>
              <w:end w:w="120" w:type="dxa"/>
            </w:tcMar>
          </w:tcPr>
          <w:p>
            <w:pPr>
              <w:spacing w:after="0"/>
              <w:jc w:val="left"/>
            </w:pPr>
            <w:r>
              <w:rPr>
                <w:rFonts w:ascii="Calibri" w:hAnsi="Calibri" w:eastAsia="Calibri"/>
                <w:color w:val="000000"/>
                <w:sz w:val="19"/>
              </w:rPr>
              <w:t>Evidence cutoff</w:t>
            </w:r>
          </w:p>
        </w:tc>
        <w:tc>
          <w:tcPr>
            <w:tcW w:type="dxa" w:w="7460"/>
            <w:vAlign w:val="center"/>
            <w:tcMar>
              <w:top w:w="80" w:type="dxa"/>
              <w:start w:w="120" w:type="dxa"/>
              <w:bottom w:w="80" w:type="dxa"/>
              <w:end w:w="120" w:type="dxa"/>
            </w:tcMar>
          </w:tcPr>
          <w:p>
            <w:pPr>
              <w:spacing w:after="0"/>
              <w:jc w:val="left"/>
            </w:pPr>
            <w:r>
              <w:rPr>
                <w:rFonts w:ascii="Calibri" w:hAnsi="Calibri" w:eastAsia="Calibri"/>
                <w:color w:val="000000"/>
                <w:sz w:val="19"/>
              </w:rPr>
              <w:t>22/07/2026 (Asia/Saigon)</w:t>
            </w:r>
          </w:p>
        </w:tc>
      </w:tr>
      <w:tr>
        <w:trPr>
          <w:cantSplit/>
        </w:trPr>
        <w:tc>
          <w:tcPr>
            <w:tcW w:type="dxa" w:w="1900"/>
            <w:vAlign w:val="center"/>
            <w:tcMar>
              <w:top w:w="80" w:type="dxa"/>
              <w:start w:w="120" w:type="dxa"/>
              <w:bottom w:w="80" w:type="dxa"/>
              <w:end w:w="120" w:type="dxa"/>
            </w:tcMar>
          </w:tcPr>
          <w:p>
            <w:pPr>
              <w:spacing w:after="0"/>
              <w:jc w:val="left"/>
            </w:pPr>
            <w:r>
              <w:rPr>
                <w:rFonts w:ascii="Calibri" w:hAnsi="Calibri" w:eastAsia="Calibri"/>
                <w:color w:val="000000"/>
                <w:sz w:val="19"/>
              </w:rPr>
              <w:t>Scope basis</w:t>
            </w:r>
          </w:p>
        </w:tc>
        <w:tc>
          <w:tcPr>
            <w:tcW w:type="dxa" w:w="7460"/>
            <w:vAlign w:val="center"/>
            <w:tcMar>
              <w:top w:w="80" w:type="dxa"/>
              <w:start w:w="120" w:type="dxa"/>
              <w:bottom w:w="80" w:type="dxa"/>
              <w:end w:w="120" w:type="dxa"/>
            </w:tcMar>
          </w:tcPr>
          <w:p>
            <w:pPr>
              <w:spacing w:after="0"/>
              <w:jc w:val="left"/>
            </w:pPr>
            <w:r>
              <w:rPr>
                <w:rFonts w:ascii="Calibri" w:hAnsi="Calibri" w:eastAsia="Calibri"/>
                <w:color w:val="000000"/>
                <w:sz w:val="19"/>
              </w:rPr>
              <w:t>Phân công.txt (BE/FE batch table) + Product Backlog</w:t>
            </w:r>
          </w:p>
        </w:tc>
      </w:tr>
      <w:tr>
        <w:trPr>
          <w:cantSplit/>
        </w:trPr>
        <w:tc>
          <w:tcPr>
            <w:tcW w:type="dxa" w:w="1900"/>
            <w:vAlign w:val="center"/>
            <w:tcMar>
              <w:top w:w="80" w:type="dxa"/>
              <w:start w:w="120" w:type="dxa"/>
              <w:bottom w:w="80" w:type="dxa"/>
              <w:end w:w="120" w:type="dxa"/>
            </w:tcMar>
          </w:tcPr>
          <w:p>
            <w:pPr>
              <w:spacing w:after="0"/>
              <w:jc w:val="left"/>
            </w:pPr>
            <w:r>
              <w:rPr>
                <w:rFonts w:ascii="Calibri" w:hAnsi="Calibri" w:eastAsia="Calibri"/>
                <w:color w:val="000000"/>
                <w:sz w:val="19"/>
              </w:rPr>
              <w:t>Purpose</w:t>
            </w:r>
          </w:p>
        </w:tc>
        <w:tc>
          <w:tcPr>
            <w:tcW w:type="dxa" w:w="7460"/>
            <w:vAlign w:val="center"/>
            <w:tcMar>
              <w:top w:w="80" w:type="dxa"/>
              <w:start w:w="120" w:type="dxa"/>
              <w:bottom w:w="80" w:type="dxa"/>
              <w:end w:w="120" w:type="dxa"/>
            </w:tcMar>
          </w:tcPr>
          <w:p>
            <w:pPr>
              <w:spacing w:after="0"/>
              <w:jc w:val="left"/>
            </w:pPr>
            <w:r>
              <w:rPr>
                <w:rFonts w:ascii="Calibri" w:hAnsi="Calibri" w:eastAsia="Calibri"/>
                <w:color w:val="000000"/>
                <w:sz w:val="19"/>
              </w:rPr>
              <w:t>Oral defense: estimation, planning, monitoring &amp; control</w:t>
            </w:r>
          </w:p>
        </w:tc>
      </w:tr>
      <w:tr>
        <w:trPr>
          <w:cantSplit/>
        </w:trPr>
        <w:tc>
          <w:tcPr>
            <w:tcW w:type="dxa" w:w="1900"/>
            <w:vAlign w:val="center"/>
            <w:tcMar>
              <w:top w:w="80" w:type="dxa"/>
              <w:start w:w="120" w:type="dxa"/>
              <w:bottom w:w="80" w:type="dxa"/>
              <w:end w:w="120" w:type="dxa"/>
            </w:tcMar>
          </w:tcPr>
          <w:p>
            <w:pPr>
              <w:spacing w:after="0"/>
              <w:jc w:val="left"/>
            </w:pPr>
            <w:r>
              <w:rPr>
                <w:rFonts w:ascii="Calibri" w:hAnsi="Calibri" w:eastAsia="Calibri"/>
                <w:color w:val="000000"/>
                <w:sz w:val="19"/>
              </w:rPr>
              <w:t>Status</w:t>
            </w:r>
          </w:p>
        </w:tc>
        <w:tc>
          <w:tcPr>
            <w:tcW w:type="dxa" w:w="7460"/>
            <w:vAlign w:val="center"/>
            <w:tcMar>
              <w:top w:w="80" w:type="dxa"/>
              <w:start w:w="120" w:type="dxa"/>
              <w:bottom w:w="80" w:type="dxa"/>
              <w:end w:w="120" w:type="dxa"/>
            </w:tcMar>
          </w:tcPr>
          <w:p>
            <w:pPr>
              <w:spacing w:after="0"/>
              <w:jc w:val="left"/>
            </w:pPr>
            <w:r>
              <w:rPr>
                <w:rFonts w:ascii="Calibri" w:hAnsi="Calibri" w:eastAsia="Calibri"/>
                <w:color w:val="000000"/>
                <w:sz w:val="19"/>
              </w:rPr>
              <w:t>Working baseline - requires team validation before SOW/contract use</w:t>
            </w:r>
          </w:p>
        </w:tc>
      </w:tr>
    </w:tbl>
    <w:p>
      <w:pPr>
        <w:spacing w:after="20"/>
        <w:widowControl w:val="1"/>
      </w:pPr>
    </w:p>
    <w:p>
      <w:pPr>
        <w:pStyle w:val="Heading1"/>
        <w:widowControl w:val="1"/>
      </w:pPr>
      <w:r>
        <w:t>Executive summary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17365D"/>
                <w:sz w:val="21"/>
              </w:rPr>
              <w:t xml:space="preserve">Measured evidence. </w:t>
            </w:r>
            <w:r>
              <w:rPr>
                <w:rFonts w:ascii="Calibri" w:hAnsi="Calibri" w:eastAsia="Calibri"/>
                <w:color w:val="000000"/>
                <w:sz w:val="21"/>
              </w:rPr>
              <w:t>Three backend work packages report 47.38 hours and 213.36 million tokens. Incremental AI cash outlay during the reported period is 0 VND because all named access was trial/free; this does not mean economic cost is zero.</w:t>
            </w:r>
          </w:p>
        </w:tc>
      </w:tr>
    </w:tbl>
    <w:p>
      <w:pPr>
        <w:spacing w:after="20"/>
        <w:widowControl w:val="1"/>
      </w:pPr>
    </w:p>
    <w:tbl>
      <w:tblPr>
        <w:tblStyle w:val="TableGrid"/>
        <w:tblW w:type="dxa" w:w="9360"/>
        <w:tblLayout w:type="fixed"/>
        <w:tblLook w:firstColumn="1" w:firstRow="1" w:lastColumn="0" w:lastRow="0" w:noHBand="0" w:noVBand="1" w:val="04A0"/>
        <w:jc w:val="left"/>
        <w:tblInd w:w="120" w:type="dxa"/>
      </w:tblPr>
      <w:tblGrid>
        <w:gridCol w:w="2350"/>
        <w:gridCol w:w="1900"/>
        <w:gridCol w:w="5110"/>
      </w:tblGrid>
      <w:tr>
        <w:trPr>
          <w:tblHeader w:val="true"/>
          <w:cantSplit/>
        </w:trPr>
        <w:tc>
          <w:tcPr>
            <w:tcW w:type="dxa" w:w="235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Metric</w:t>
            </w:r>
          </w:p>
        </w:tc>
        <w:tc>
          <w:tcPr>
            <w:tcW w:type="dxa" w:w="19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Observed</w:t>
            </w:r>
          </w:p>
        </w:tc>
        <w:tc>
          <w:tcPr>
            <w:tcW w:type="dxa" w:w="511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Interpretation</w:t>
            </w:r>
          </w:p>
        </w:tc>
      </w:tr>
      <w:tr>
        <w:trPr>
          <w:cantSplit/>
        </w:trPr>
        <w:tc>
          <w:tcPr>
            <w:tcW w:type="dxa" w:w="2350"/>
            <w:vAlign w:val="center"/>
            <w:tcMar>
              <w:top w:w="80" w:type="dxa"/>
              <w:start w:w="120" w:type="dxa"/>
              <w:bottom w:w="80" w:type="dxa"/>
              <w:end w:w="120" w:type="dxa"/>
            </w:tcMar>
          </w:tcPr>
          <w:p>
            <w:pPr>
              <w:spacing w:after="0"/>
              <w:jc w:val="left"/>
            </w:pPr>
            <w:r>
              <w:rPr>
                <w:rFonts w:ascii="Calibri" w:hAnsi="Calibri" w:eastAsia="Calibri"/>
                <w:color w:val="000000"/>
                <w:sz w:val="18"/>
              </w:rPr>
              <w:t>Recorded work time</w:t>
            </w:r>
          </w:p>
        </w:tc>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47.38 h</w:t>
            </w:r>
          </w:p>
        </w:tc>
        <w:tc>
          <w:tcPr>
            <w:tcW w:type="dxa" w:w="5110"/>
            <w:vAlign w:val="center"/>
            <w:tcMar>
              <w:top w:w="80" w:type="dxa"/>
              <w:start w:w="120" w:type="dxa"/>
              <w:bottom w:w="80" w:type="dxa"/>
              <w:end w:w="120" w:type="dxa"/>
            </w:tcMar>
          </w:tcPr>
          <w:p>
            <w:pPr>
              <w:spacing w:after="0"/>
              <w:jc w:val="left"/>
            </w:pPr>
            <w:r>
              <w:rPr>
                <w:rFonts w:ascii="Calibri" w:hAnsi="Calibri" w:eastAsia="Calibri"/>
                <w:color w:val="000000"/>
                <w:sz w:val="18"/>
              </w:rPr>
              <w:t>Mix of telemetry agent time and member-reported elapsed time</w:t>
            </w:r>
          </w:p>
        </w:tc>
      </w:tr>
      <w:tr>
        <w:trPr>
          <w:cantSplit/>
        </w:trPr>
        <w:tc>
          <w:tcPr>
            <w:tcW w:type="dxa" w:w="2350"/>
            <w:vAlign w:val="center"/>
            <w:tcMar>
              <w:top w:w="80" w:type="dxa"/>
              <w:start w:w="120" w:type="dxa"/>
              <w:bottom w:w="80" w:type="dxa"/>
              <w:end w:w="120" w:type="dxa"/>
            </w:tcMar>
          </w:tcPr>
          <w:p>
            <w:pPr>
              <w:spacing w:after="0"/>
              <w:jc w:val="left"/>
            </w:pPr>
            <w:r>
              <w:rPr>
                <w:rFonts w:ascii="Calibri" w:hAnsi="Calibri" w:eastAsia="Calibri"/>
                <w:color w:val="000000"/>
                <w:sz w:val="18"/>
              </w:rPr>
              <w:t>Reported tokens</w:t>
            </w:r>
          </w:p>
        </w:tc>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213.36 M</w:t>
            </w:r>
          </w:p>
        </w:tc>
        <w:tc>
          <w:tcPr>
            <w:tcW w:type="dxa" w:w="5110"/>
            <w:vAlign w:val="center"/>
            <w:tcMar>
              <w:top w:w="80" w:type="dxa"/>
              <w:start w:w="120" w:type="dxa"/>
              <w:bottom w:w="80" w:type="dxa"/>
              <w:end w:w="120" w:type="dxa"/>
            </w:tcMar>
          </w:tcPr>
          <w:p>
            <w:pPr>
              <w:spacing w:after="0"/>
              <w:jc w:val="left"/>
            </w:pPr>
            <w:r>
              <w:rPr>
                <w:rFonts w:ascii="Calibri" w:hAnsi="Calibri" w:eastAsia="Calibri"/>
                <w:color w:val="000000"/>
                <w:sz w:val="18"/>
              </w:rPr>
              <w:t>Not normalized across tools; includes different token accounting methods</w:t>
            </w:r>
          </w:p>
        </w:tc>
      </w:tr>
      <w:tr>
        <w:trPr>
          <w:cantSplit/>
        </w:trPr>
        <w:tc>
          <w:tcPr>
            <w:tcW w:type="dxa" w:w="2350"/>
            <w:vAlign w:val="center"/>
            <w:tcMar>
              <w:top w:w="80" w:type="dxa"/>
              <w:start w:w="120" w:type="dxa"/>
              <w:bottom w:w="80" w:type="dxa"/>
              <w:end w:w="120" w:type="dxa"/>
            </w:tcMar>
          </w:tcPr>
          <w:p>
            <w:pPr>
              <w:spacing w:after="0"/>
              <w:jc w:val="left"/>
            </w:pPr>
            <w:r>
              <w:rPr>
                <w:rFonts w:ascii="Calibri" w:hAnsi="Calibri" w:eastAsia="Calibri"/>
                <w:color w:val="000000"/>
                <w:sz w:val="18"/>
              </w:rPr>
              <w:t>Provisionally covered stories</w:t>
            </w:r>
          </w:p>
        </w:tc>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34 / 55 BE stories</w:t>
            </w:r>
          </w:p>
        </w:tc>
        <w:tc>
          <w:tcPr>
            <w:tcW w:type="dxa" w:w="5110"/>
            <w:vAlign w:val="center"/>
            <w:tcMar>
              <w:top w:w="80" w:type="dxa"/>
              <w:start w:w="120" w:type="dxa"/>
              <w:bottom w:w="80" w:type="dxa"/>
              <w:end w:w="120" w:type="dxa"/>
            </w:tcMar>
          </w:tcPr>
          <w:p>
            <w:pPr>
              <w:spacing w:after="0"/>
              <w:jc w:val="left"/>
            </w:pPr>
            <w:r>
              <w:rPr>
                <w:rFonts w:ascii="Calibri" w:hAnsi="Calibri" w:eastAsia="Calibri"/>
                <w:color w:val="000000"/>
                <w:sz w:val="18"/>
              </w:rPr>
              <w:t>Only if reported batches are complete; not proof of global DoD</w:t>
            </w:r>
          </w:p>
        </w:tc>
      </w:tr>
      <w:tr>
        <w:trPr>
          <w:cantSplit/>
        </w:trPr>
        <w:tc>
          <w:tcPr>
            <w:tcW w:type="dxa" w:w="2350"/>
            <w:vAlign w:val="center"/>
            <w:tcMar>
              <w:top w:w="80" w:type="dxa"/>
              <w:start w:w="120" w:type="dxa"/>
              <w:bottom w:w="80" w:type="dxa"/>
              <w:end w:w="120" w:type="dxa"/>
            </w:tcMar>
          </w:tcPr>
          <w:p>
            <w:pPr>
              <w:spacing w:after="0"/>
              <w:jc w:val="left"/>
            </w:pPr>
            <w:r>
              <w:rPr>
                <w:rFonts w:ascii="Calibri" w:hAnsi="Calibri" w:eastAsia="Calibri"/>
                <w:color w:val="000000"/>
                <w:sz w:val="18"/>
              </w:rPr>
              <w:t>Observed AI cash cost</w:t>
            </w:r>
          </w:p>
        </w:tc>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0 VND incremental</w:t>
            </w:r>
          </w:p>
        </w:tc>
        <w:tc>
          <w:tcPr>
            <w:tcW w:type="dxa" w:w="5110"/>
            <w:vAlign w:val="center"/>
            <w:tcMar>
              <w:top w:w="80" w:type="dxa"/>
              <w:start w:w="120" w:type="dxa"/>
              <w:bottom w:w="80" w:type="dxa"/>
              <w:end w:w="120" w:type="dxa"/>
            </w:tcMar>
          </w:tcPr>
          <w:p>
            <w:pPr>
              <w:spacing w:after="0"/>
              <w:jc w:val="left"/>
            </w:pPr>
            <w:r>
              <w:rPr>
                <w:rFonts w:ascii="Calibri" w:hAnsi="Calibri" w:eastAsia="Calibri"/>
                <w:color w:val="000000"/>
                <w:sz w:val="18"/>
              </w:rPr>
              <w:t>Trial/free access; post-trial pricing remains an open input</w:t>
            </w:r>
          </w:p>
        </w:tc>
      </w:tr>
      <w:tr>
        <w:trPr>
          <w:cantSplit/>
        </w:trPr>
        <w:tc>
          <w:tcPr>
            <w:tcW w:type="dxa" w:w="2350"/>
            <w:vAlign w:val="center"/>
            <w:tcMar>
              <w:top w:w="80" w:type="dxa"/>
              <w:start w:w="120" w:type="dxa"/>
              <w:bottom w:w="80" w:type="dxa"/>
              <w:end w:w="120" w:type="dxa"/>
            </w:tcMar>
          </w:tcPr>
          <w:p>
            <w:pPr>
              <w:spacing w:after="0"/>
              <w:jc w:val="left"/>
            </w:pPr>
            <w:r>
              <w:rPr>
                <w:rFonts w:ascii="Calibri" w:hAnsi="Calibri" w:eastAsia="Calibri"/>
                <w:color w:val="000000"/>
                <w:sz w:val="18"/>
              </w:rPr>
              <w:t>Proposal baseline</w:t>
            </w:r>
          </w:p>
        </w:tc>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8–10 weeks; 4.25 M VND</w:t>
            </w:r>
          </w:p>
        </w:tc>
        <w:tc>
          <w:tcPr>
            <w:tcW w:type="dxa" w:w="5110"/>
            <w:vAlign w:val="center"/>
            <w:tcMar>
              <w:top w:w="80" w:type="dxa"/>
              <w:start w:w="120" w:type="dxa"/>
              <w:bottom w:w="80" w:type="dxa"/>
              <w:end w:w="120" w:type="dxa"/>
            </w:tcMar>
          </w:tcPr>
          <w:p>
            <w:pPr>
              <w:spacing w:after="0"/>
              <w:jc w:val="left"/>
            </w:pPr>
            <w:r>
              <w:rPr>
                <w:rFonts w:ascii="Calibri" w:hAnsi="Calibri" w:eastAsia="Calibri"/>
                <w:color w:val="000000"/>
                <w:sz w:val="18"/>
              </w:rPr>
              <w:t>Project-level schedule and tools/hosting budget, not yet reconciled to actuals</w:t>
            </w:r>
          </w:p>
        </w:tc>
      </w:tr>
    </w:tbl>
    <w:p>
      <w:pPr>
        <w:spacing w:after="20"/>
        <w:widowControl w:val="1"/>
      </w:pPr>
    </w:p>
    <w:p>
      <w:pPr>
        <w:spacing w:after="120"/>
        <w:widowControl w:val="1"/>
      </w:pPr>
      <w:r>
        <w:rPr>
          <w:rFonts w:ascii="Calibri" w:hAnsi="Calibri" w:eastAsia="Calibri"/>
          <w:b/>
          <w:color w:val="000000"/>
          <w:sz w:val="22"/>
        </w:rPr>
        <w:t>Management conclusion:</w:t>
      </w:r>
      <w:r>
        <w:rPr>
          <w:rFonts w:ascii="Calibri" w:hAnsi="Calibri" w:eastAsia="Calibri"/>
          <w:i w:val="0"/>
          <w:color w:val="000000"/>
          <w:sz w:val="22"/>
        </w:rPr>
        <w:t xml:space="preserve"> the evidence supports an AI-accelerated backend build, but it does not yet support claiming the MVP is Done. Tests, review, integration, deployment and mobile acceptance must be reported separately.</w:t>
      </w:r>
    </w:p>
    <w:p>
      <w:pPr>
        <w:widowControl w:val="1"/>
      </w:pPr>
      <w:r>
        <w:br w:type="page"/>
      </w:r>
    </w:p>
    <w:p>
      <w:pPr>
        <w:pStyle w:val="Heading1"/>
        <w:widowControl w:val="1"/>
      </w:pPr>
      <w:r>
        <w:t>1. Scope and batch baseline</w:t>
      </w:r>
    </w:p>
    <w:p>
      <w:pPr>
        <w:spacing w:after="120"/>
        <w:widowControl w:val="1"/>
      </w:pPr>
      <w:r>
        <w:rPr>
          <w:rFonts w:ascii="Calibri" w:hAnsi="Calibri" w:eastAsia="Calibri"/>
          <w:i w:val="0"/>
          <w:color w:val="000000"/>
          <w:sz w:val="22"/>
        </w:rPr>
        <w:t>The operative allocation is the BE/FE table in Phân công.txt. The repository assignments file is not used as the governing source for this report. Product meaning and acceptance criteria come from docs/product_backlog.md.</w:t>
      </w:r>
    </w:p>
    <w:tbl>
      <w:tblPr>
        <w:tblStyle w:val="TableGrid"/>
        <w:tblW w:type="dxa" w:w="9360"/>
        <w:tblLayout w:type="fixed"/>
        <w:tblLook w:firstColumn="1" w:firstRow="1" w:lastColumn="0" w:lastRow="0" w:noHBand="0" w:noVBand="1" w:val="04A0"/>
        <w:jc w:val="left"/>
        <w:tblInd w:w="120" w:type="dxa"/>
      </w:tblPr>
      <w:tblGrid>
        <w:gridCol w:w="950"/>
        <w:gridCol w:w="1540"/>
        <w:gridCol w:w="1420"/>
        <w:gridCol w:w="1740"/>
        <w:gridCol w:w="1700"/>
        <w:gridCol w:w="2010"/>
      </w:tblGrid>
      <w:tr>
        <w:trPr>
          <w:tblHeader w:val="true"/>
          <w:cantSplit/>
        </w:trPr>
        <w:tc>
          <w:tcPr>
            <w:tcW w:type="dxa" w:w="950"/>
            <w:vAlign w:val="center"/>
            <w:tcMar>
              <w:top w:w="80" w:type="dxa"/>
              <w:start w:w="120" w:type="dxa"/>
              <w:bottom w:w="80" w:type="dxa"/>
              <w:end w:w="120" w:type="dxa"/>
            </w:tcMar>
            <w:shd w:fill="F2F4F7"/>
          </w:tcPr>
          <w:p>
            <w:pPr>
              <w:spacing w:after="0"/>
              <w:jc w:val="center"/>
            </w:pPr>
            <w:r>
              <w:rPr>
                <w:rFonts w:ascii="Calibri" w:hAnsi="Calibri" w:eastAsia="Calibri"/>
                <w:b/>
                <w:color w:val="17365D"/>
                <w:sz w:val="15"/>
              </w:rPr>
              <w:t>Batch</w:t>
            </w:r>
          </w:p>
        </w:tc>
        <w:tc>
          <w:tcPr>
            <w:tcW w:type="dxa" w:w="1540"/>
            <w:vAlign w:val="center"/>
            <w:tcMar>
              <w:top w:w="80" w:type="dxa"/>
              <w:start w:w="120" w:type="dxa"/>
              <w:bottom w:w="80" w:type="dxa"/>
              <w:end w:w="120" w:type="dxa"/>
            </w:tcMar>
            <w:shd w:fill="F2F4F7"/>
          </w:tcPr>
          <w:p>
            <w:pPr>
              <w:spacing w:after="0"/>
              <w:jc w:val="center"/>
            </w:pPr>
            <w:r>
              <w:rPr>
                <w:rFonts w:ascii="Calibri" w:hAnsi="Calibri" w:eastAsia="Calibri"/>
                <w:b/>
                <w:color w:val="17365D"/>
                <w:sz w:val="15"/>
              </w:rPr>
              <w:t>BE1 Chí</w:t>
            </w:r>
          </w:p>
        </w:tc>
        <w:tc>
          <w:tcPr>
            <w:tcW w:type="dxa" w:w="1420"/>
            <w:vAlign w:val="center"/>
            <w:tcMar>
              <w:top w:w="80" w:type="dxa"/>
              <w:start w:w="120" w:type="dxa"/>
              <w:bottom w:w="80" w:type="dxa"/>
              <w:end w:w="120" w:type="dxa"/>
            </w:tcMar>
            <w:shd w:fill="F2F4F7"/>
          </w:tcPr>
          <w:p>
            <w:pPr>
              <w:spacing w:after="0"/>
              <w:jc w:val="center"/>
            </w:pPr>
            <w:r>
              <w:rPr>
                <w:rFonts w:ascii="Calibri" w:hAnsi="Calibri" w:eastAsia="Calibri"/>
                <w:b/>
                <w:color w:val="17365D"/>
                <w:sz w:val="15"/>
              </w:rPr>
              <w:t>BE2 Đạt</w:t>
            </w:r>
          </w:p>
        </w:tc>
        <w:tc>
          <w:tcPr>
            <w:tcW w:type="dxa" w:w="1740"/>
            <w:vAlign w:val="center"/>
            <w:tcMar>
              <w:top w:w="80" w:type="dxa"/>
              <w:start w:w="120" w:type="dxa"/>
              <w:bottom w:w="80" w:type="dxa"/>
              <w:end w:w="120" w:type="dxa"/>
            </w:tcMar>
            <w:shd w:fill="F2F4F7"/>
          </w:tcPr>
          <w:p>
            <w:pPr>
              <w:spacing w:after="0"/>
              <w:jc w:val="center"/>
            </w:pPr>
            <w:r>
              <w:rPr>
                <w:rFonts w:ascii="Calibri" w:hAnsi="Calibri" w:eastAsia="Calibri"/>
                <w:b/>
                <w:color w:val="17365D"/>
                <w:sz w:val="15"/>
              </w:rPr>
              <w:t>BE3 Minh</w:t>
            </w:r>
          </w:p>
        </w:tc>
        <w:tc>
          <w:tcPr>
            <w:tcW w:type="dxa" w:w="1700"/>
            <w:vAlign w:val="center"/>
            <w:tcMar>
              <w:top w:w="80" w:type="dxa"/>
              <w:start w:w="120" w:type="dxa"/>
              <w:bottom w:w="80" w:type="dxa"/>
              <w:end w:w="120" w:type="dxa"/>
            </w:tcMar>
            <w:shd w:fill="F2F4F7"/>
          </w:tcPr>
          <w:p>
            <w:pPr>
              <w:spacing w:after="0"/>
              <w:jc w:val="center"/>
            </w:pPr>
            <w:r>
              <w:rPr>
                <w:rFonts w:ascii="Calibri" w:hAnsi="Calibri" w:eastAsia="Calibri"/>
                <w:b/>
                <w:color w:val="17365D"/>
                <w:sz w:val="15"/>
              </w:rPr>
              <w:t>FE1 MXH</w:t>
            </w:r>
          </w:p>
        </w:tc>
        <w:tc>
          <w:tcPr>
            <w:tcW w:type="dxa" w:w="2010"/>
            <w:vAlign w:val="center"/>
            <w:tcMar>
              <w:top w:w="80" w:type="dxa"/>
              <w:start w:w="120" w:type="dxa"/>
              <w:bottom w:w="80" w:type="dxa"/>
              <w:end w:w="120" w:type="dxa"/>
            </w:tcMar>
            <w:shd w:fill="F2F4F7"/>
          </w:tcPr>
          <w:p>
            <w:pPr>
              <w:spacing w:after="0"/>
              <w:jc w:val="center"/>
            </w:pPr>
            <w:r>
              <w:rPr>
                <w:rFonts w:ascii="Calibri" w:hAnsi="Calibri" w:eastAsia="Calibri"/>
                <w:b/>
                <w:color w:val="17365D"/>
                <w:sz w:val="15"/>
              </w:rPr>
              <w:t>FE2 Quân</w:t>
            </w:r>
          </w:p>
        </w:tc>
      </w:tr>
      <w:tr>
        <w:trPr>
          <w:cantSplit/>
        </w:trPr>
        <w:tc>
          <w:tcPr>
            <w:tcW w:type="dxa" w:w="950"/>
            <w:vAlign w:val="center"/>
            <w:tcMar>
              <w:top w:w="80" w:type="dxa"/>
              <w:start w:w="120" w:type="dxa"/>
              <w:bottom w:w="80" w:type="dxa"/>
              <w:end w:w="120" w:type="dxa"/>
            </w:tcMar>
          </w:tcPr>
          <w:p>
            <w:pPr>
              <w:spacing w:after="0"/>
              <w:jc w:val="center"/>
            </w:pPr>
            <w:r>
              <w:rPr>
                <w:rFonts w:ascii="Calibri" w:hAnsi="Calibri" w:eastAsia="Calibri"/>
                <w:color w:val="000000"/>
                <w:sz w:val="15"/>
              </w:rPr>
              <w:t>1 Foundation</w:t>
            </w:r>
          </w:p>
        </w:tc>
        <w:tc>
          <w:tcPr>
            <w:tcW w:type="dxa" w:w="1540"/>
            <w:vAlign w:val="center"/>
            <w:tcMar>
              <w:top w:w="80" w:type="dxa"/>
              <w:start w:w="120" w:type="dxa"/>
              <w:bottom w:w="80" w:type="dxa"/>
              <w:end w:w="120" w:type="dxa"/>
            </w:tcMar>
          </w:tcPr>
          <w:p>
            <w:pPr>
              <w:spacing w:after="0"/>
              <w:jc w:val="center"/>
            </w:pPr>
            <w:r>
              <w:rPr>
                <w:rFonts w:ascii="Calibri" w:hAnsi="Calibri" w:eastAsia="Calibri"/>
                <w:color w:val="000000"/>
                <w:sz w:val="15"/>
              </w:rPr>
              <w:t>Auth 01–06; Profile 01</w:t>
            </w:r>
          </w:p>
        </w:tc>
        <w:tc>
          <w:tcPr>
            <w:tcW w:type="dxa" w:w="1420"/>
            <w:vAlign w:val="center"/>
            <w:tcMar>
              <w:top w:w="80" w:type="dxa"/>
              <w:start w:w="120" w:type="dxa"/>
              <w:bottom w:w="80" w:type="dxa"/>
              <w:end w:w="120" w:type="dxa"/>
            </w:tcMar>
          </w:tcPr>
          <w:p>
            <w:pPr>
              <w:spacing w:after="0"/>
              <w:jc w:val="center"/>
            </w:pPr>
            <w:r>
              <w:rPr>
                <w:rFonts w:ascii="Calibri" w:hAnsi="Calibri" w:eastAsia="Calibri"/>
                <w:color w:val="000000"/>
                <w:sz w:val="15"/>
              </w:rPr>
              <w:t>Property 01–02; Room 01–03</w:t>
            </w:r>
          </w:p>
        </w:tc>
        <w:tc>
          <w:tcPr>
            <w:tcW w:type="dxa" w:w="1740"/>
            <w:vAlign w:val="center"/>
            <w:tcMar>
              <w:top w:w="80" w:type="dxa"/>
              <w:start w:w="120" w:type="dxa"/>
              <w:bottom w:w="80" w:type="dxa"/>
              <w:end w:w="120" w:type="dxa"/>
            </w:tcMar>
          </w:tcPr>
          <w:p>
            <w:pPr>
              <w:spacing w:after="0"/>
              <w:jc w:val="center"/>
            </w:pPr>
            <w:r>
              <w:rPr>
                <w:rFonts w:ascii="Calibri" w:hAnsi="Calibri" w:eastAsia="Calibri"/>
                <w:color w:val="000000"/>
                <w:sz w:val="15"/>
              </w:rPr>
              <w:t>Utility 01–02; Charge 01</w:t>
            </w:r>
          </w:p>
        </w:tc>
        <w:tc>
          <w:tcPr>
            <w:tcW w:type="dxa" w:w="1700"/>
            <w:vAlign w:val="center"/>
            <w:tcMar>
              <w:top w:w="80" w:type="dxa"/>
              <w:start w:w="120" w:type="dxa"/>
              <w:bottom w:w="80" w:type="dxa"/>
              <w:end w:w="120" w:type="dxa"/>
            </w:tcMar>
          </w:tcPr>
          <w:p>
            <w:pPr>
              <w:spacing w:after="0"/>
              <w:jc w:val="center"/>
            </w:pPr>
            <w:r>
              <w:rPr>
                <w:rFonts w:ascii="Calibri" w:hAnsi="Calibri" w:eastAsia="Calibri"/>
                <w:color w:val="000000"/>
                <w:sz w:val="15"/>
              </w:rPr>
              <w:t>Auth/Profile/Property/Room UI</w:t>
            </w:r>
          </w:p>
        </w:tc>
        <w:tc>
          <w:tcPr>
            <w:tcW w:type="dxa" w:w="2010"/>
            <w:vAlign w:val="center"/>
            <w:tcMar>
              <w:top w:w="80" w:type="dxa"/>
              <w:start w:w="120" w:type="dxa"/>
              <w:bottom w:w="80" w:type="dxa"/>
              <w:end w:w="120" w:type="dxa"/>
            </w:tcMar>
          </w:tcPr>
          <w:p>
            <w:pPr>
              <w:spacing w:after="0"/>
              <w:jc w:val="center"/>
            </w:pPr>
            <w:r>
              <w:rPr>
                <w:rFonts w:ascii="Calibri" w:hAnsi="Calibri" w:eastAsia="Calibri"/>
                <w:color w:val="000000"/>
                <w:sz w:val="15"/>
              </w:rPr>
              <w:t>Design system, navigation, shared components, Utility UI</w:t>
            </w:r>
          </w:p>
        </w:tc>
      </w:tr>
      <w:tr>
        <w:trPr>
          <w:cantSplit/>
        </w:trPr>
        <w:tc>
          <w:tcPr>
            <w:tcW w:type="dxa" w:w="950"/>
            <w:vAlign w:val="center"/>
            <w:tcMar>
              <w:top w:w="80" w:type="dxa"/>
              <w:start w:w="120" w:type="dxa"/>
              <w:bottom w:w="80" w:type="dxa"/>
              <w:end w:w="120" w:type="dxa"/>
            </w:tcMar>
          </w:tcPr>
          <w:p>
            <w:pPr>
              <w:spacing w:after="0"/>
              <w:jc w:val="center"/>
            </w:pPr>
            <w:r>
              <w:rPr>
                <w:rFonts w:ascii="Calibri" w:hAnsi="Calibri" w:eastAsia="Calibri"/>
                <w:color w:val="000000"/>
                <w:sz w:val="15"/>
              </w:rPr>
              <w:t>2 Core</w:t>
            </w:r>
          </w:p>
        </w:tc>
        <w:tc>
          <w:tcPr>
            <w:tcW w:type="dxa" w:w="1540"/>
            <w:vAlign w:val="center"/>
            <w:tcMar>
              <w:top w:w="80" w:type="dxa"/>
              <w:start w:w="120" w:type="dxa"/>
              <w:bottom w:w="80" w:type="dxa"/>
              <w:end w:w="120" w:type="dxa"/>
            </w:tcMar>
          </w:tcPr>
          <w:p>
            <w:pPr>
              <w:spacing w:after="0"/>
              <w:jc w:val="center"/>
            </w:pPr>
            <w:r>
              <w:rPr>
                <w:rFonts w:ascii="Calibri" w:hAnsi="Calibri" w:eastAsia="Calibri"/>
                <w:color w:val="000000"/>
                <w:sz w:val="15"/>
              </w:rPr>
              <w:t>Tenant 01–02; Lease 01–06</w:t>
            </w:r>
          </w:p>
        </w:tc>
        <w:tc>
          <w:tcPr>
            <w:tcW w:type="dxa" w:w="1420"/>
            <w:vAlign w:val="center"/>
            <w:tcMar>
              <w:top w:w="80" w:type="dxa"/>
              <w:start w:w="120" w:type="dxa"/>
              <w:bottom w:w="80" w:type="dxa"/>
              <w:end w:w="120" w:type="dxa"/>
            </w:tcMar>
          </w:tcPr>
          <w:p>
            <w:pPr>
              <w:spacing w:after="0"/>
              <w:jc w:val="center"/>
            </w:pPr>
            <w:r>
              <w:rPr>
                <w:rFonts w:ascii="Calibri" w:hAnsi="Calibri" w:eastAsia="Calibri"/>
                <w:color w:val="000000"/>
                <w:sz w:val="15"/>
              </w:rPr>
              <w:t>Meter 01–03</w:t>
            </w:r>
          </w:p>
        </w:tc>
        <w:tc>
          <w:tcPr>
            <w:tcW w:type="dxa" w:w="1740"/>
            <w:vAlign w:val="center"/>
            <w:tcMar>
              <w:top w:w="80" w:type="dxa"/>
              <w:start w:w="120" w:type="dxa"/>
              <w:bottom w:w="80" w:type="dxa"/>
              <w:end w:w="120" w:type="dxa"/>
            </w:tcMar>
          </w:tcPr>
          <w:p>
            <w:pPr>
              <w:spacing w:after="0"/>
              <w:jc w:val="center"/>
            </w:pPr>
            <w:r>
              <w:rPr>
                <w:rFonts w:ascii="Calibri" w:hAnsi="Calibri" w:eastAsia="Calibri"/>
                <w:color w:val="000000"/>
                <w:sz w:val="15"/>
              </w:rPr>
              <w:t>Maintenance 01–05</w:t>
            </w:r>
          </w:p>
        </w:tc>
        <w:tc>
          <w:tcPr>
            <w:tcW w:type="dxa" w:w="1700"/>
            <w:vAlign w:val="center"/>
            <w:tcMar>
              <w:top w:w="80" w:type="dxa"/>
              <w:start w:w="120" w:type="dxa"/>
              <w:bottom w:w="80" w:type="dxa"/>
              <w:end w:w="120" w:type="dxa"/>
            </w:tcMar>
          </w:tcPr>
          <w:p>
            <w:pPr>
              <w:spacing w:after="0"/>
              <w:jc w:val="center"/>
            </w:pPr>
            <w:r>
              <w:rPr>
                <w:rFonts w:ascii="Calibri" w:hAnsi="Calibri" w:eastAsia="Calibri"/>
                <w:color w:val="000000"/>
                <w:sz w:val="15"/>
              </w:rPr>
              <w:t>Tenant &amp; Lease UI</w:t>
            </w:r>
          </w:p>
        </w:tc>
        <w:tc>
          <w:tcPr>
            <w:tcW w:type="dxa" w:w="2010"/>
            <w:vAlign w:val="center"/>
            <w:tcMar>
              <w:top w:w="80" w:type="dxa"/>
              <w:start w:w="120" w:type="dxa"/>
              <w:bottom w:w="80" w:type="dxa"/>
              <w:end w:w="120" w:type="dxa"/>
            </w:tcMar>
          </w:tcPr>
          <w:p>
            <w:pPr>
              <w:spacing w:after="0"/>
              <w:jc w:val="center"/>
            </w:pPr>
            <w:r>
              <w:rPr>
                <w:rFonts w:ascii="Calibri" w:hAnsi="Calibri" w:eastAsia="Calibri"/>
                <w:color w:val="000000"/>
                <w:sz w:val="15"/>
              </w:rPr>
              <w:t>Meter &amp; Maintenance UI</w:t>
            </w:r>
          </w:p>
        </w:tc>
      </w:tr>
      <w:tr>
        <w:trPr>
          <w:cantSplit/>
        </w:trPr>
        <w:tc>
          <w:tcPr>
            <w:tcW w:type="dxa" w:w="950"/>
            <w:vAlign w:val="center"/>
            <w:tcMar>
              <w:top w:w="80" w:type="dxa"/>
              <w:start w:w="120" w:type="dxa"/>
              <w:bottom w:w="80" w:type="dxa"/>
              <w:end w:w="120" w:type="dxa"/>
            </w:tcMar>
          </w:tcPr>
          <w:p>
            <w:pPr>
              <w:spacing w:after="0"/>
              <w:jc w:val="center"/>
            </w:pPr>
            <w:r>
              <w:rPr>
                <w:rFonts w:ascii="Calibri" w:hAnsi="Calibri" w:eastAsia="Calibri"/>
                <w:color w:val="000000"/>
                <w:sz w:val="15"/>
              </w:rPr>
              <w:t>3 Billing</w:t>
            </w:r>
          </w:p>
        </w:tc>
        <w:tc>
          <w:tcPr>
            <w:tcW w:type="dxa" w:w="1540"/>
            <w:vAlign w:val="center"/>
            <w:tcMar>
              <w:top w:w="80" w:type="dxa"/>
              <w:start w:w="120" w:type="dxa"/>
              <w:bottom w:w="80" w:type="dxa"/>
              <w:end w:w="120" w:type="dxa"/>
            </w:tcMar>
          </w:tcPr>
          <w:p>
            <w:pPr>
              <w:spacing w:after="0"/>
              <w:jc w:val="center"/>
            </w:pPr>
            <w:r>
              <w:rPr>
                <w:rFonts w:ascii="Calibri" w:hAnsi="Calibri" w:eastAsia="Calibri"/>
                <w:color w:val="000000"/>
                <w:sz w:val="15"/>
              </w:rPr>
              <w:t>Review, test, bug fix</w:t>
            </w:r>
          </w:p>
        </w:tc>
        <w:tc>
          <w:tcPr>
            <w:tcW w:type="dxa" w:w="1420"/>
            <w:vAlign w:val="center"/>
            <w:tcMar>
              <w:top w:w="80" w:type="dxa"/>
              <w:start w:w="120" w:type="dxa"/>
              <w:bottom w:w="80" w:type="dxa"/>
              <w:end w:w="120" w:type="dxa"/>
            </w:tcMar>
          </w:tcPr>
          <w:p>
            <w:pPr>
              <w:spacing w:after="0"/>
              <w:jc w:val="center"/>
            </w:pPr>
            <w:r>
              <w:rPr>
                <w:rFonts w:ascii="Calibri" w:hAnsi="Calibri" w:eastAsia="Calibri"/>
                <w:color w:val="000000"/>
                <w:sz w:val="15"/>
              </w:rPr>
              <w:t>Invoice 01–04</w:t>
            </w:r>
          </w:p>
        </w:tc>
        <w:tc>
          <w:tcPr>
            <w:tcW w:type="dxa" w:w="1740"/>
            <w:vAlign w:val="center"/>
            <w:tcMar>
              <w:top w:w="80" w:type="dxa"/>
              <w:start w:w="120" w:type="dxa"/>
              <w:bottom w:w="80" w:type="dxa"/>
              <w:end w:w="120" w:type="dxa"/>
            </w:tcMar>
          </w:tcPr>
          <w:p>
            <w:pPr>
              <w:spacing w:after="0"/>
              <w:jc w:val="center"/>
            </w:pPr>
            <w:r>
              <w:rPr>
                <w:rFonts w:ascii="Calibri" w:hAnsi="Calibri" w:eastAsia="Calibri"/>
                <w:color w:val="000000"/>
                <w:sz w:val="15"/>
              </w:rPr>
              <w:t>VietQR 01–02; Payment 01–03; Reminder 01–02</w:t>
            </w:r>
          </w:p>
        </w:tc>
        <w:tc>
          <w:tcPr>
            <w:tcW w:type="dxa" w:w="1700"/>
            <w:vAlign w:val="center"/>
            <w:tcMar>
              <w:top w:w="80" w:type="dxa"/>
              <w:start w:w="120" w:type="dxa"/>
              <w:bottom w:w="80" w:type="dxa"/>
              <w:end w:w="120" w:type="dxa"/>
            </w:tcMar>
          </w:tcPr>
          <w:p>
            <w:pPr>
              <w:spacing w:after="0"/>
              <w:jc w:val="center"/>
            </w:pPr>
            <w:r>
              <w:rPr>
                <w:rFonts w:ascii="Calibri" w:hAnsi="Calibri" w:eastAsia="Calibri"/>
                <w:color w:val="000000"/>
                <w:sz w:val="15"/>
              </w:rPr>
              <w:t>Invoice &amp; Payment UI</w:t>
            </w:r>
          </w:p>
        </w:tc>
        <w:tc>
          <w:tcPr>
            <w:tcW w:type="dxa" w:w="2010"/>
            <w:vAlign w:val="center"/>
            <w:tcMar>
              <w:top w:w="80" w:type="dxa"/>
              <w:start w:w="120" w:type="dxa"/>
              <w:bottom w:w="80" w:type="dxa"/>
              <w:end w:w="120" w:type="dxa"/>
            </w:tcMar>
          </w:tcPr>
          <w:p>
            <w:pPr>
              <w:spacing w:after="0"/>
              <w:jc w:val="center"/>
            </w:pPr>
            <w:r>
              <w:rPr>
                <w:rFonts w:ascii="Calibri" w:hAnsi="Calibri" w:eastAsia="Calibri"/>
                <w:color w:val="000000"/>
                <w:sz w:val="15"/>
              </w:rPr>
              <w:t>VietQR, proof upload, notification UI</w:t>
            </w:r>
          </w:p>
        </w:tc>
      </w:tr>
      <w:tr>
        <w:trPr>
          <w:cantSplit/>
        </w:trPr>
        <w:tc>
          <w:tcPr>
            <w:tcW w:type="dxa" w:w="950"/>
            <w:vAlign w:val="center"/>
            <w:tcMar>
              <w:top w:w="80" w:type="dxa"/>
              <w:start w:w="120" w:type="dxa"/>
              <w:bottom w:w="80" w:type="dxa"/>
              <w:end w:w="120" w:type="dxa"/>
            </w:tcMar>
          </w:tcPr>
          <w:p>
            <w:pPr>
              <w:spacing w:after="0"/>
              <w:jc w:val="center"/>
            </w:pPr>
            <w:r>
              <w:rPr>
                <w:rFonts w:ascii="Calibri" w:hAnsi="Calibri" w:eastAsia="Calibri"/>
                <w:color w:val="000000"/>
                <w:sz w:val="15"/>
              </w:rPr>
              <w:t>4 Analytics</w:t>
            </w:r>
          </w:p>
        </w:tc>
        <w:tc>
          <w:tcPr>
            <w:tcW w:type="dxa" w:w="1540"/>
            <w:vAlign w:val="center"/>
            <w:tcMar>
              <w:top w:w="80" w:type="dxa"/>
              <w:start w:w="120" w:type="dxa"/>
              <w:bottom w:w="80" w:type="dxa"/>
              <w:end w:w="120" w:type="dxa"/>
            </w:tcMar>
          </w:tcPr>
          <w:p>
            <w:pPr>
              <w:spacing w:after="0"/>
              <w:jc w:val="center"/>
            </w:pPr>
            <w:r>
              <w:rPr>
                <w:rFonts w:ascii="Calibri" w:hAnsi="Calibri" w:eastAsia="Calibri"/>
                <w:color w:val="000000"/>
                <w:sz w:val="15"/>
              </w:rPr>
              <w:t>Dashboard 01–02</w:t>
            </w:r>
          </w:p>
        </w:tc>
        <w:tc>
          <w:tcPr>
            <w:tcW w:type="dxa" w:w="1420"/>
            <w:vAlign w:val="center"/>
            <w:tcMar>
              <w:top w:w="80" w:type="dxa"/>
              <w:start w:w="120" w:type="dxa"/>
              <w:bottom w:w="80" w:type="dxa"/>
              <w:end w:w="120" w:type="dxa"/>
            </w:tcMar>
          </w:tcPr>
          <w:p>
            <w:pPr>
              <w:spacing w:after="0"/>
              <w:jc w:val="center"/>
            </w:pPr>
            <w:r>
              <w:rPr>
                <w:rFonts w:ascii="Calibri" w:hAnsi="Calibri" w:eastAsia="Calibri"/>
                <w:color w:val="000000"/>
                <w:sz w:val="15"/>
              </w:rPr>
              <w:t>Dashboard 03–04</w:t>
            </w:r>
          </w:p>
        </w:tc>
        <w:tc>
          <w:tcPr>
            <w:tcW w:type="dxa" w:w="1740"/>
            <w:vAlign w:val="center"/>
            <w:tcMar>
              <w:top w:w="80" w:type="dxa"/>
              <w:start w:w="120" w:type="dxa"/>
              <w:bottom w:w="80" w:type="dxa"/>
              <w:end w:w="120" w:type="dxa"/>
            </w:tcMar>
          </w:tcPr>
          <w:p>
            <w:pPr>
              <w:spacing w:after="0"/>
              <w:jc w:val="center"/>
            </w:pPr>
            <w:r>
              <w:rPr>
                <w:rFonts w:ascii="Calibri" w:hAnsi="Calibri" w:eastAsia="Calibri"/>
                <w:color w:val="000000"/>
                <w:sz w:val="15"/>
              </w:rPr>
              <w:t>Report 01–05</w:t>
            </w:r>
          </w:p>
        </w:tc>
        <w:tc>
          <w:tcPr>
            <w:tcW w:type="dxa" w:w="1700"/>
            <w:vAlign w:val="center"/>
            <w:tcMar>
              <w:top w:w="80" w:type="dxa"/>
              <w:start w:w="120" w:type="dxa"/>
              <w:bottom w:w="80" w:type="dxa"/>
              <w:end w:w="120" w:type="dxa"/>
            </w:tcMar>
          </w:tcPr>
          <w:p>
            <w:pPr>
              <w:spacing w:after="0"/>
              <w:jc w:val="center"/>
            </w:pPr>
            <w:r>
              <w:rPr>
                <w:rFonts w:ascii="Calibri" w:hAnsi="Calibri" w:eastAsia="Calibri"/>
                <w:color w:val="000000"/>
                <w:sz w:val="15"/>
              </w:rPr>
              <w:t>Dashboard UI</w:t>
            </w:r>
          </w:p>
        </w:tc>
        <w:tc>
          <w:tcPr>
            <w:tcW w:type="dxa" w:w="2010"/>
            <w:vAlign w:val="center"/>
            <w:tcMar>
              <w:top w:w="80" w:type="dxa"/>
              <w:start w:w="120" w:type="dxa"/>
              <w:bottom w:w="80" w:type="dxa"/>
              <w:end w:w="120" w:type="dxa"/>
            </w:tcMar>
          </w:tcPr>
          <w:p>
            <w:pPr>
              <w:spacing w:after="0"/>
              <w:jc w:val="center"/>
            </w:pPr>
            <w:r>
              <w:rPr>
                <w:rFonts w:ascii="Calibri" w:hAnsi="Calibri" w:eastAsia="Calibri"/>
                <w:color w:val="000000"/>
                <w:sz w:val="15"/>
              </w:rPr>
              <w:t>Report UI</w:t>
            </w:r>
          </w:p>
        </w:tc>
      </w:tr>
    </w:tbl>
    <w:p>
      <w:pPr>
        <w:spacing w:after="20"/>
        <w:widowControl w:val="1"/>
      </w:pPr>
    </w:p>
    <w:p>
      <w:pPr>
        <w:pStyle w:val="Heading2"/>
        <w:widowControl w:val="1"/>
      </w:pPr>
      <w:r>
        <w:t>Dependency sequence</w:t>
      </w:r>
    </w:p>
    <w:p>
      <w:pPr>
        <w:pStyle w:val="ListNumber"/>
        <w:spacing w:after="100" w:line="280" w:lineRule="auto"/>
        <w:ind w:left="720" w:hanging="360"/>
        <w:widowControl w:val="1"/>
      </w:pPr>
      <w:r>
        <w:rPr>
          <w:rFonts w:ascii="Calibri" w:hAnsi="Calibri" w:eastAsia="Calibri"/>
          <w:color w:val="000000"/>
          <w:sz w:val="22"/>
        </w:rPr>
        <w:t>Batch 1 establishes authentication, property/room and billing/payment foundations.</w:t>
      </w:r>
    </w:p>
    <w:p>
      <w:pPr>
        <w:pStyle w:val="ListNumber"/>
        <w:spacing w:after="100" w:line="280" w:lineRule="auto"/>
        <w:ind w:left="720" w:hanging="360"/>
        <w:widowControl w:val="1"/>
      </w:pPr>
      <w:r>
        <w:rPr>
          <w:rFonts w:ascii="Calibri" w:hAnsi="Calibri" w:eastAsia="Calibri"/>
          <w:color w:val="000000"/>
          <w:sz w:val="22"/>
        </w:rPr>
        <w:t>Batch 2 establishes tenant/lease, meter and maintenance core flows.</w:t>
      </w:r>
    </w:p>
    <w:p>
      <w:pPr>
        <w:pStyle w:val="ListNumber"/>
        <w:spacing w:after="100" w:line="280" w:lineRule="auto"/>
        <w:ind w:left="720" w:hanging="360"/>
        <w:widowControl w:val="1"/>
      </w:pPr>
      <w:r>
        <w:rPr>
          <w:rFonts w:ascii="Calibri" w:hAnsi="Calibri" w:eastAsia="Calibri"/>
          <w:color w:val="000000"/>
          <w:sz w:val="22"/>
        </w:rPr>
        <w:t>Batch 3 consumes Batch 2 data for invoice, payment, VietQR and reminders.</w:t>
      </w:r>
    </w:p>
    <w:p>
      <w:pPr>
        <w:pStyle w:val="ListNumber"/>
        <w:spacing w:after="100" w:line="280" w:lineRule="auto"/>
        <w:ind w:left="720" w:hanging="360"/>
        <w:widowControl w:val="1"/>
      </w:pPr>
      <w:r>
        <w:rPr>
          <w:rFonts w:ascii="Calibri" w:hAnsi="Calibri" w:eastAsia="Calibri"/>
          <w:color w:val="000000"/>
          <w:sz w:val="22"/>
        </w:rPr>
        <w:t>Batch 4 consumes system-wide data for dashboards and reports.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eastAsia="Calibri"/>
                <w:b/>
                <w:color w:val="17365D"/>
                <w:sz w:val="21"/>
              </w:rPr>
              <w:t xml:space="preserve">Planning rule. </w:t>
            </w:r>
            <w:r>
              <w:rPr>
                <w:rFonts w:ascii="Calibri" w:hAnsi="Calibri" w:eastAsia="Calibri"/>
                <w:color w:val="000000"/>
                <w:sz w:val="21"/>
              </w:rPr>
              <w:t>Parallelize work inside a batch only after API contracts are agreed. Move to the next batch through an explicit integration gate, not merely when coding stops.</w:t>
            </w:r>
          </w:p>
        </w:tc>
      </w:tr>
    </w:tbl>
    <w:p>
      <w:pPr>
        <w:spacing w:after="20"/>
        <w:widowControl w:val="1"/>
      </w:pPr>
    </w:p>
    <w:p>
      <w:pPr>
        <w:pStyle w:val="Heading2"/>
        <w:widowControl w:val="1"/>
      </w:pPr>
      <w:r>
        <w:t>Definition of Done used by this report</w:t>
      </w:r>
    </w:p>
    <w:p>
      <w:pPr>
        <w:pStyle w:val="ListBullet"/>
        <w:spacing w:after="100" w:line="280" w:lineRule="auto"/>
        <w:ind w:left="720" w:hanging="360"/>
        <w:widowControl w:val="1"/>
      </w:pPr>
      <w:r>
        <w:rPr>
          <w:rFonts w:ascii="Calibri" w:hAnsi="Calibri" w:eastAsia="Calibri"/>
          <w:color w:val="000000"/>
          <w:sz w:val="22"/>
        </w:rPr>
        <w:t>All acceptance criteria pass on the Mobile delivery surface.</w:t>
      </w:r>
    </w:p>
    <w:p>
      <w:pPr>
        <w:pStyle w:val="ListBullet"/>
        <w:spacing w:after="100" w:line="280" w:lineRule="auto"/>
        <w:ind w:left="720" w:hanging="360"/>
        <w:widowControl w:val="1"/>
      </w:pPr>
      <w:r>
        <w:rPr>
          <w:rFonts w:ascii="Calibri" w:hAnsi="Calibri" w:eastAsia="Calibri"/>
          <w:color w:val="000000"/>
          <w:sz w:val="22"/>
        </w:rPr>
        <w:t>Backend authorization and ownership rules are enforced.</w:t>
      </w:r>
    </w:p>
    <w:p>
      <w:pPr>
        <w:pStyle w:val="ListBullet"/>
        <w:spacing w:after="100" w:line="280" w:lineRule="auto"/>
        <w:ind w:left="720" w:hanging="360"/>
        <w:widowControl w:val="1"/>
      </w:pPr>
      <w:r>
        <w:rPr>
          <w:rFonts w:ascii="Calibri" w:hAnsi="Calibri" w:eastAsia="Calibri"/>
          <w:color w:val="000000"/>
          <w:sz w:val="22"/>
        </w:rPr>
        <w:t>Automated success-path and critical validation/authorization tests pass.</w:t>
      </w:r>
    </w:p>
    <w:p>
      <w:pPr>
        <w:pStyle w:val="ListBullet"/>
        <w:spacing w:after="100" w:line="280" w:lineRule="auto"/>
        <w:ind w:left="720" w:hanging="360"/>
        <w:widowControl w:val="1"/>
      </w:pPr>
      <w:r>
        <w:rPr>
          <w:rFonts w:ascii="Calibri" w:hAnsi="Calibri" w:eastAsia="Calibri"/>
          <w:color w:val="000000"/>
          <w:sz w:val="22"/>
        </w:rPr>
        <w:t>No unresolved critical/high defect remains; code is reviewed and merged.</w:t>
      </w:r>
    </w:p>
    <w:p>
      <w:pPr>
        <w:pStyle w:val="ListBullet"/>
        <w:spacing w:after="100" w:line="280" w:lineRule="auto"/>
        <w:ind w:left="720" w:hanging="360"/>
        <w:widowControl w:val="1"/>
      </w:pPr>
      <w:r>
        <w:rPr>
          <w:rFonts w:ascii="Calibri" w:hAnsi="Calibri" w:eastAsia="Calibri"/>
          <w:color w:val="000000"/>
          <w:sz w:val="22"/>
        </w:rPr>
        <w:t>Migrations/configuration are reproducible; behavior is deployed and verified in the agreed environment.</w:t>
      </w:r>
    </w:p>
    <w:p>
      <w:pPr>
        <w:widowControl w:val="1"/>
      </w:pPr>
      <w:r>
        <w:br w:type="page"/>
      </w:r>
    </w:p>
    <w:p>
      <w:pPr>
        <w:pStyle w:val="Heading1"/>
        <w:widowControl w:val="1"/>
      </w:pPr>
      <w:r>
        <w:t>2. Data sources and measurement method</w:t>
      </w:r>
    </w:p>
    <w:tbl>
      <w:tblPr>
        <w:tblStyle w:val="TableGrid"/>
        <w:tblW w:type="dxa" w:w="9360"/>
        <w:tblLayout w:type="fixed"/>
        <w:tblLook w:firstColumn="1" w:firstRow="1" w:lastColumn="0" w:lastRow="0" w:noHBand="0" w:noVBand="1" w:val="04A0"/>
        <w:jc w:val="left"/>
        <w:tblInd w:w="120" w:type="dxa"/>
      </w:tblPr>
      <w:tblGrid>
        <w:gridCol w:w="1550"/>
        <w:gridCol w:w="3170"/>
        <w:gridCol w:w="1320"/>
        <w:gridCol w:w="3320"/>
      </w:tblGrid>
      <w:tr>
        <w:trPr>
          <w:tblHeader w:val="true"/>
          <w:cantSplit/>
        </w:trPr>
        <w:tc>
          <w:tcPr>
            <w:tcW w:type="dxa" w:w="155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Source</w:t>
            </w:r>
          </w:p>
        </w:tc>
        <w:tc>
          <w:tcPr>
            <w:tcW w:type="dxa" w:w="317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Evidence</w:t>
            </w:r>
          </w:p>
        </w:tc>
        <w:tc>
          <w:tcPr>
            <w:tcW w:type="dxa" w:w="132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Confidence</w:t>
            </w:r>
          </w:p>
        </w:tc>
        <w:tc>
          <w:tcPr>
            <w:tcW w:type="dxa" w:w="332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Limitation</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6"/>
              </w:rPr>
              <w:t>Minh / BE3</w:t>
            </w:r>
          </w:p>
        </w:tc>
        <w:tc>
          <w:tcPr>
            <w:tcW w:type="dxa" w:w="3170"/>
            <w:vAlign w:val="center"/>
            <w:tcMar>
              <w:top w:w="80" w:type="dxa"/>
              <w:start w:w="120" w:type="dxa"/>
              <w:bottom w:w="80" w:type="dxa"/>
              <w:end w:w="120" w:type="dxa"/>
            </w:tcMar>
          </w:tcPr>
          <w:p>
            <w:pPr>
              <w:spacing w:after="0"/>
            </w:pPr>
            <w:r>
              <w:rPr>
                <w:rFonts w:ascii="Calibri" w:hAnsi="Calibri" w:eastAsia="Calibri"/>
                <w:color w:val="000000"/>
                <w:sz w:val="16"/>
              </w:rPr>
              <w:t>Codex telemetry by turn for US-MAINT-01→05</w:t>
            </w:r>
          </w:p>
        </w:tc>
        <w:tc>
          <w:tcPr>
            <w:tcW w:type="dxa" w:w="1320"/>
            <w:vAlign w:val="center"/>
            <w:tcMar>
              <w:top w:w="80" w:type="dxa"/>
              <w:start w:w="120" w:type="dxa"/>
              <w:bottom w:w="80" w:type="dxa"/>
              <w:end w:w="120" w:type="dxa"/>
            </w:tcMar>
          </w:tcPr>
          <w:p>
            <w:pPr>
              <w:spacing w:after="0"/>
            </w:pPr>
            <w:r>
              <w:rPr>
                <w:rFonts w:ascii="Calibri" w:hAnsi="Calibri" w:eastAsia="Calibri"/>
                <w:color w:val="000000"/>
                <w:sz w:val="16"/>
              </w:rPr>
              <w:t>High for time/token</w:t>
            </w:r>
          </w:p>
        </w:tc>
        <w:tc>
          <w:tcPr>
            <w:tcW w:type="dxa" w:w="3320"/>
            <w:vAlign w:val="center"/>
            <w:tcMar>
              <w:top w:w="80" w:type="dxa"/>
              <w:start w:w="120" w:type="dxa"/>
              <w:bottom w:w="80" w:type="dxa"/>
              <w:end w:w="120" w:type="dxa"/>
            </w:tcMar>
          </w:tcPr>
          <w:p>
            <w:pPr>
              <w:spacing w:after="0"/>
            </w:pPr>
            <w:r>
              <w:rPr>
                <w:rFonts w:ascii="Calibri" w:hAnsi="Calibri" w:eastAsia="Calibri"/>
                <w:color w:val="000000"/>
                <w:sz w:val="16"/>
              </w:rPr>
              <w:t>MAINT-03 was retrospectively split from MAINT-02; token total includes cached input</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6"/>
              </w:rPr>
              <w:t>Đạt / BE2 (inferred)</w:t>
            </w:r>
          </w:p>
        </w:tc>
        <w:tc>
          <w:tcPr>
            <w:tcW w:type="dxa" w:w="3170"/>
            <w:vAlign w:val="center"/>
            <w:tcMar>
              <w:top w:w="80" w:type="dxa"/>
              <w:start w:w="120" w:type="dxa"/>
              <w:bottom w:w="80" w:type="dxa"/>
              <w:end w:w="120" w:type="dxa"/>
            </w:tcMar>
          </w:tcPr>
          <w:p>
            <w:pPr>
              <w:spacing w:after="0"/>
            </w:pPr>
            <w:r>
              <w:rPr>
                <w:rFonts w:ascii="Calibri" w:hAnsi="Calibri" w:eastAsia="Calibri"/>
                <w:color w:val="000000"/>
                <w:sz w:val="16"/>
              </w:rPr>
              <w:t>3 h/6.3 M Batch 1; 5 h/13 M Batch 2+3; 2 h/2.5 M Batch 4</w:t>
            </w:r>
          </w:p>
        </w:tc>
        <w:tc>
          <w:tcPr>
            <w:tcW w:type="dxa" w:w="1320"/>
            <w:vAlign w:val="center"/>
            <w:tcMar>
              <w:top w:w="80" w:type="dxa"/>
              <w:start w:w="120" w:type="dxa"/>
              <w:bottom w:w="80" w:type="dxa"/>
              <w:end w:w="120" w:type="dxa"/>
            </w:tcMar>
          </w:tcPr>
          <w:p>
            <w:pPr>
              <w:spacing w:after="0"/>
            </w:pPr>
            <w:r>
              <w:rPr>
                <w:rFonts w:ascii="Calibri" w:hAnsi="Calibri" w:eastAsia="Calibri"/>
                <w:color w:val="000000"/>
                <w:sz w:val="16"/>
              </w:rPr>
              <w:t>Medium</w:t>
            </w:r>
          </w:p>
        </w:tc>
        <w:tc>
          <w:tcPr>
            <w:tcW w:type="dxa" w:w="3320"/>
            <w:vAlign w:val="center"/>
            <w:tcMar>
              <w:top w:w="80" w:type="dxa"/>
              <w:start w:w="120" w:type="dxa"/>
              <w:bottom w:w="80" w:type="dxa"/>
              <w:end w:w="120" w:type="dxa"/>
            </w:tcMar>
          </w:tcPr>
          <w:p>
            <w:pPr>
              <w:spacing w:after="0"/>
            </w:pPr>
            <w:r>
              <w:rPr>
                <w:rFonts w:ascii="Calibri" w:hAnsi="Calibri" w:eastAsia="Calibri"/>
                <w:color w:val="000000"/>
                <w:sz w:val="16"/>
              </w:rPr>
              <w:t>Member identity and story completion inferred from allocation; no raw logs</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6"/>
              </w:rPr>
              <w:t>Chí / BE1 (inferred)</w:t>
            </w:r>
          </w:p>
        </w:tc>
        <w:tc>
          <w:tcPr>
            <w:tcW w:type="dxa" w:w="3170"/>
            <w:vAlign w:val="center"/>
            <w:tcMar>
              <w:top w:w="80" w:type="dxa"/>
              <w:start w:w="120" w:type="dxa"/>
              <w:bottom w:w="80" w:type="dxa"/>
              <w:end w:w="120" w:type="dxa"/>
            </w:tcMar>
          </w:tcPr>
          <w:p>
            <w:pPr>
              <w:spacing w:after="0"/>
            </w:pPr>
            <w:r>
              <w:rPr>
                <w:rFonts w:ascii="Calibri" w:hAnsi="Calibri" w:eastAsia="Calibri"/>
                <w:color w:val="000000"/>
                <w:sz w:val="16"/>
              </w:rPr>
              <w:t>15 h Batch 1; 20 h Batch 2 + tests/FE setup/fixes/docs; 135 M tokens</w:t>
            </w:r>
          </w:p>
        </w:tc>
        <w:tc>
          <w:tcPr>
            <w:tcW w:type="dxa" w:w="1320"/>
            <w:vAlign w:val="center"/>
            <w:tcMar>
              <w:top w:w="80" w:type="dxa"/>
              <w:start w:w="120" w:type="dxa"/>
              <w:bottom w:w="80" w:type="dxa"/>
              <w:end w:w="120" w:type="dxa"/>
            </w:tcMar>
          </w:tcPr>
          <w:p>
            <w:pPr>
              <w:spacing w:after="0"/>
            </w:pPr>
            <w:r>
              <w:rPr>
                <w:rFonts w:ascii="Calibri" w:hAnsi="Calibri" w:eastAsia="Calibri"/>
                <w:color w:val="000000"/>
                <w:sz w:val="16"/>
              </w:rPr>
              <w:t>Medium-low</w:t>
            </w:r>
          </w:p>
        </w:tc>
        <w:tc>
          <w:tcPr>
            <w:tcW w:type="dxa" w:w="3320"/>
            <w:vAlign w:val="center"/>
            <w:tcMar>
              <w:top w:w="80" w:type="dxa"/>
              <w:start w:w="120" w:type="dxa"/>
              <w:bottom w:w="80" w:type="dxa"/>
              <w:end w:w="120" w:type="dxa"/>
            </w:tcMar>
          </w:tcPr>
          <w:p>
            <w:pPr>
              <w:spacing w:after="0"/>
            </w:pPr>
            <w:r>
              <w:rPr>
                <w:rFonts w:ascii="Calibri" w:hAnsi="Calibri" w:eastAsia="Calibri"/>
                <w:color w:val="000000"/>
                <w:sz w:val="16"/>
              </w:rPr>
              <w:t>Mixed technical tasks and stories; token not split by batch</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6"/>
              </w:rPr>
              <w:t>Proposal</w:t>
            </w:r>
          </w:p>
        </w:tc>
        <w:tc>
          <w:tcPr>
            <w:tcW w:type="dxa" w:w="3170"/>
            <w:vAlign w:val="center"/>
            <w:tcMar>
              <w:top w:w="80" w:type="dxa"/>
              <w:start w:w="120" w:type="dxa"/>
              <w:bottom w:w="80" w:type="dxa"/>
              <w:end w:w="120" w:type="dxa"/>
            </w:tcMar>
          </w:tcPr>
          <w:p>
            <w:pPr>
              <w:spacing w:after="0"/>
            </w:pPr>
            <w:r>
              <w:rPr>
                <w:rFonts w:ascii="Calibri" w:hAnsi="Calibri" w:eastAsia="Calibri"/>
                <w:color w:val="000000"/>
                <w:sz w:val="16"/>
              </w:rPr>
              <w:t>8–10 weeks; 4.25 M VND</w:t>
            </w:r>
          </w:p>
        </w:tc>
        <w:tc>
          <w:tcPr>
            <w:tcW w:type="dxa" w:w="1320"/>
            <w:vAlign w:val="center"/>
            <w:tcMar>
              <w:top w:w="80" w:type="dxa"/>
              <w:start w:w="120" w:type="dxa"/>
              <w:bottom w:w="80" w:type="dxa"/>
              <w:end w:w="120" w:type="dxa"/>
            </w:tcMar>
          </w:tcPr>
          <w:p>
            <w:pPr>
              <w:spacing w:after="0"/>
            </w:pPr>
            <w:r>
              <w:rPr>
                <w:rFonts w:ascii="Calibri" w:hAnsi="Calibri" w:eastAsia="Calibri"/>
                <w:color w:val="000000"/>
                <w:sz w:val="16"/>
              </w:rPr>
              <w:t>Planning baseline</w:t>
            </w:r>
          </w:p>
        </w:tc>
        <w:tc>
          <w:tcPr>
            <w:tcW w:type="dxa" w:w="3320"/>
            <w:vAlign w:val="center"/>
            <w:tcMar>
              <w:top w:w="80" w:type="dxa"/>
              <w:start w:w="120" w:type="dxa"/>
              <w:bottom w:w="80" w:type="dxa"/>
              <w:end w:w="120" w:type="dxa"/>
            </w:tcMar>
          </w:tcPr>
          <w:p>
            <w:pPr>
              <w:spacing w:after="0"/>
            </w:pPr>
            <w:r>
              <w:rPr>
                <w:rFonts w:ascii="Calibri" w:hAnsi="Calibri" w:eastAsia="Calibri"/>
                <w:color w:val="000000"/>
                <w:sz w:val="16"/>
              </w:rPr>
              <w:t>Contains scope statements that conflict with current backlog</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6"/>
              </w:rPr>
              <w:t>Product backlog</w:t>
            </w:r>
          </w:p>
        </w:tc>
        <w:tc>
          <w:tcPr>
            <w:tcW w:type="dxa" w:w="3170"/>
            <w:vAlign w:val="center"/>
            <w:tcMar>
              <w:top w:w="80" w:type="dxa"/>
              <w:start w:w="120" w:type="dxa"/>
              <w:bottom w:w="80" w:type="dxa"/>
              <w:end w:w="120" w:type="dxa"/>
            </w:tcMar>
          </w:tcPr>
          <w:p>
            <w:pPr>
              <w:spacing w:after="0"/>
            </w:pPr>
            <w:r>
              <w:rPr>
                <w:rFonts w:ascii="Calibri" w:hAnsi="Calibri" w:eastAsia="Calibri"/>
                <w:color w:val="000000"/>
                <w:sz w:val="16"/>
              </w:rPr>
              <w:t>Story descriptions, dependencies, AC and global DoD</w:t>
            </w:r>
          </w:p>
        </w:tc>
        <w:tc>
          <w:tcPr>
            <w:tcW w:type="dxa" w:w="1320"/>
            <w:vAlign w:val="center"/>
            <w:tcMar>
              <w:top w:w="80" w:type="dxa"/>
              <w:start w:w="120" w:type="dxa"/>
              <w:bottom w:w="80" w:type="dxa"/>
              <w:end w:w="120" w:type="dxa"/>
            </w:tcMar>
          </w:tcPr>
          <w:p>
            <w:pPr>
              <w:spacing w:after="0"/>
            </w:pPr>
            <w:r>
              <w:rPr>
                <w:rFonts w:ascii="Calibri" w:hAnsi="Calibri" w:eastAsia="Calibri"/>
                <w:color w:val="000000"/>
                <w:sz w:val="16"/>
              </w:rPr>
              <w:t>High for scope</w:t>
            </w:r>
          </w:p>
        </w:tc>
        <w:tc>
          <w:tcPr>
            <w:tcW w:type="dxa" w:w="3320"/>
            <w:vAlign w:val="center"/>
            <w:tcMar>
              <w:top w:w="80" w:type="dxa"/>
              <w:start w:w="120" w:type="dxa"/>
              <w:bottom w:w="80" w:type="dxa"/>
              <w:end w:w="120" w:type="dxa"/>
            </w:tcMar>
          </w:tcPr>
          <w:p>
            <w:pPr>
              <w:spacing w:after="0"/>
            </w:pPr>
            <w:r>
              <w:rPr>
                <w:rFonts w:ascii="Calibri" w:hAnsi="Calibri" w:eastAsia="Calibri"/>
                <w:color w:val="000000"/>
                <w:sz w:val="16"/>
              </w:rPr>
              <w:t>Stories are Refined; Refined is not automatically Ready or Done</w:t>
            </w:r>
          </w:p>
        </w:tc>
      </w:tr>
    </w:tbl>
    <w:p>
      <w:pPr>
        <w:spacing w:after="20"/>
        <w:widowControl w:val="1"/>
      </w:pPr>
    </w:p>
    <w:p>
      <w:pPr>
        <w:pStyle w:val="Heading2"/>
        <w:widowControl w:val="1"/>
      </w:pPr>
      <w:r>
        <w:t>Metric definitions</w:t>
      </w:r>
    </w:p>
    <w:p>
      <w:pPr>
        <w:pStyle w:val="ListBullet"/>
        <w:spacing w:after="100" w:line="280" w:lineRule="auto"/>
        <w:ind w:left="720" w:hanging="360"/>
        <w:widowControl w:val="1"/>
      </w:pPr>
      <w:r>
        <w:rPr>
          <w:rFonts w:ascii="Calibri" w:hAnsi="Calibri" w:eastAsia="Calibri"/>
          <w:color w:val="000000"/>
          <w:sz w:val="22"/>
        </w:rPr>
        <w:t>Agent coding time: active/elapsed time reported by telemetry or a member. It is not automatically human hands-on time.</w:t>
      </w:r>
    </w:p>
    <w:p>
      <w:pPr>
        <w:pStyle w:val="ListBullet"/>
        <w:spacing w:after="100" w:line="280" w:lineRule="auto"/>
        <w:ind w:left="720" w:hanging="360"/>
        <w:widowControl w:val="1"/>
      </w:pPr>
      <w:r>
        <w:rPr>
          <w:rFonts w:ascii="Calibri" w:hAnsi="Calibri" w:eastAsia="Calibri"/>
          <w:color w:val="000000"/>
          <w:sz w:val="22"/>
        </w:rPr>
        <w:t>Wall-clock lead time: start-to-finish calendar duration including waiting, review and dependencies. It is not yet consistently recorded.</w:t>
      </w:r>
    </w:p>
    <w:p>
      <w:pPr>
        <w:pStyle w:val="ListBullet"/>
        <w:spacing w:after="100" w:line="280" w:lineRule="auto"/>
        <w:ind w:left="720" w:hanging="360"/>
        <w:widowControl w:val="1"/>
      </w:pPr>
      <w:r>
        <w:rPr>
          <w:rFonts w:ascii="Calibri" w:hAnsi="Calibri" w:eastAsia="Calibri"/>
          <w:color w:val="000000"/>
          <w:sz w:val="22"/>
        </w:rPr>
        <w:t>Total tokens: provider/tool-reported token volume. It is a resource indicator, not a universal billing amount.</w:t>
      </w:r>
    </w:p>
    <w:p>
      <w:pPr>
        <w:pStyle w:val="ListBullet"/>
        <w:spacing w:after="100" w:line="280" w:lineRule="auto"/>
        <w:ind w:left="720" w:hanging="360"/>
        <w:widowControl w:val="1"/>
      </w:pPr>
      <w:r>
        <w:rPr>
          <w:rFonts w:ascii="Calibri" w:hAnsi="Calibri" w:eastAsia="Calibri"/>
          <w:color w:val="000000"/>
          <w:sz w:val="22"/>
        </w:rPr>
        <w:t>Throughput: user stories reaching the agreed completion state per unit time. Coding complete and Done must be reported separately.</w:t>
      </w:r>
    </w:p>
    <w:p>
      <w:pPr>
        <w:pStyle w:val="ListBullet"/>
        <w:spacing w:after="100" w:line="280" w:lineRule="auto"/>
        <w:ind w:left="720" w:hanging="360"/>
        <w:widowControl w:val="1"/>
      </w:pPr>
      <w:r>
        <w:rPr>
          <w:rFonts w:ascii="Calibri" w:hAnsi="Calibri" w:eastAsia="Calibri"/>
          <w:color w:val="000000"/>
          <w:sz w:val="22"/>
        </w:rPr>
        <w:t>Cash cost: actual money paid. Shadow labor cost: hours multiplied by an agreed hourly rate for economic comparison.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DE9E7"/>
          </w:tcPr>
          <w:p>
            <w:pPr>
              <w:spacing w:after="0"/>
            </w:pPr>
            <w:r>
              <w:rPr>
                <w:rFonts w:ascii="Calibri" w:hAnsi="Calibri" w:eastAsia="Calibri"/>
                <w:b/>
                <w:color w:val="17365D"/>
                <w:sz w:val="21"/>
              </w:rPr>
              <w:t xml:space="preserve">Comparability warning. </w:t>
            </w:r>
            <w:r>
              <w:rPr>
                <w:rFonts w:ascii="Calibri" w:hAnsi="Calibri" w:eastAsia="Calibri"/>
                <w:color w:val="000000"/>
                <w:sz w:val="21"/>
              </w:rPr>
              <w:t>Minh's telemetry includes cached-input accounting; the other members supplied aggregate totals without input/output/cache breakdown. Therefore, token-per-hour differences cannot be interpreted as model efficiency.</w:t>
            </w:r>
          </w:p>
        </w:tc>
      </w:tr>
    </w:tbl>
    <w:p>
      <w:pPr>
        <w:spacing w:after="20"/>
        <w:widowControl w:val="1"/>
      </w:pPr>
    </w:p>
    <w:p>
      <w:pPr>
        <w:pStyle w:val="Heading2"/>
        <w:widowControl w:val="1"/>
      </w:pPr>
      <w:r>
        <w:t>Recommended collection record per story</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Field</w:t>
            </w:r>
          </w:p>
        </w:tc>
        <w:tc>
          <w:tcPr>
            <w:tcW w:type="dxa" w:w="746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Required value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Identity</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US-ID, owner, batch, BE/FE, Codex task/conversation ID</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Time</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Start/end, agent elapsed, human review time, blocked time, deploy time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AI usage</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Model, input, cached input, output, reasoning, total token, subscription/API mode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Quality</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Tests passed/failed, review result, defects, acceptance criteria pass count</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Delivery</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Commit, PR, merge, deployment URL/environment, verification timestamp</w:t>
            </w:r>
          </w:p>
        </w:tc>
      </w:tr>
    </w:tbl>
    <w:p>
      <w:pPr>
        <w:spacing w:after="20"/>
        <w:widowControl w:val="1"/>
      </w:pPr>
    </w:p>
    <w:p>
      <w:pPr>
        <w:widowControl w:val="1"/>
      </w:pPr>
      <w:r>
        <w:br w:type="page"/>
      </w:r>
    </w:p>
    <w:p>
      <w:pPr>
        <w:pStyle w:val="Heading1"/>
        <w:widowControl w:val="1"/>
      </w:pPr>
      <w:r>
        <w:t>3. Actual cost-time-resource evidence</w:t>
      </w:r>
    </w:p>
    <w:tbl>
      <w:tblPr>
        <w:tblStyle w:val="TableGrid"/>
        <w:tblW w:type="dxa" w:w="9360"/>
        <w:tblLayout w:type="fixed"/>
        <w:tblLook w:firstColumn="1" w:firstRow="1" w:lastColumn="0" w:lastRow="0" w:noHBand="0" w:noVBand="1" w:val="04A0"/>
        <w:jc w:val="left"/>
        <w:tblInd w:w="120" w:type="dxa"/>
      </w:tblPr>
      <w:tblGrid>
        <w:gridCol w:w="1500"/>
        <w:gridCol w:w="3440"/>
        <w:gridCol w:w="1050"/>
        <w:gridCol w:w="1200"/>
        <w:gridCol w:w="2170"/>
      </w:tblGrid>
      <w:tr>
        <w:trPr>
          <w:tblHeader w:val="true"/>
          <w:cantSplit/>
        </w:trPr>
        <w:tc>
          <w:tcPr>
            <w:tcW w:type="dxa" w:w="15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Work package</w:t>
            </w:r>
          </w:p>
        </w:tc>
        <w:tc>
          <w:tcPr>
            <w:tcW w:type="dxa" w:w="344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Scope represented</w:t>
            </w:r>
          </w:p>
        </w:tc>
        <w:tc>
          <w:tcPr>
            <w:tcW w:type="dxa" w:w="10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Time</w:t>
            </w:r>
          </w:p>
        </w:tc>
        <w:tc>
          <w:tcPr>
            <w:tcW w:type="dxa" w:w="12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Tokens</w:t>
            </w:r>
          </w:p>
        </w:tc>
        <w:tc>
          <w:tcPr>
            <w:tcW w:type="dxa" w:w="217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Rate indicators</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eastAsia="Calibri"/>
                <w:color w:val="000000"/>
                <w:sz w:val="17"/>
              </w:rPr>
              <w:t>Minh / BE3</w:t>
            </w:r>
          </w:p>
        </w:tc>
        <w:tc>
          <w:tcPr>
            <w:tcW w:type="dxa" w:w="3440"/>
            <w:vAlign w:val="center"/>
            <w:tcMar>
              <w:top w:w="80" w:type="dxa"/>
              <w:start w:w="120" w:type="dxa"/>
              <w:bottom w:w="80" w:type="dxa"/>
              <w:end w:w="120" w:type="dxa"/>
            </w:tcMar>
          </w:tcPr>
          <w:p>
            <w:pPr>
              <w:spacing w:after="0"/>
              <w:jc w:val="left"/>
            </w:pPr>
            <w:r>
              <w:rPr>
                <w:rFonts w:ascii="Calibri" w:hAnsi="Calibri" w:eastAsia="Calibri"/>
                <w:color w:val="000000"/>
                <w:sz w:val="17"/>
              </w:rPr>
              <w:t>US-MAINT-01→05 (5 stories)</w:t>
            </w:r>
          </w:p>
        </w:tc>
        <w:tc>
          <w:tcPr>
            <w:tcW w:type="dxa" w:w="1050"/>
            <w:vAlign w:val="center"/>
            <w:tcMar>
              <w:top w:w="80" w:type="dxa"/>
              <w:start w:w="120" w:type="dxa"/>
              <w:bottom w:w="80" w:type="dxa"/>
              <w:end w:w="120" w:type="dxa"/>
            </w:tcMar>
          </w:tcPr>
          <w:p>
            <w:pPr>
              <w:spacing w:after="0"/>
              <w:jc w:val="center"/>
            </w:pPr>
            <w:r>
              <w:rPr>
                <w:rFonts w:ascii="Calibri" w:hAnsi="Calibri" w:eastAsia="Calibri"/>
                <w:color w:val="000000"/>
                <w:sz w:val="17"/>
              </w:rPr>
              <w:t>2.38 h</w:t>
            </w:r>
          </w:p>
        </w:tc>
        <w:tc>
          <w:tcPr>
            <w:tcW w:type="dxa" w:w="1200"/>
            <w:vAlign w:val="center"/>
            <w:tcMar>
              <w:top w:w="80" w:type="dxa"/>
              <w:start w:w="120" w:type="dxa"/>
              <w:bottom w:w="80" w:type="dxa"/>
              <w:end w:w="120" w:type="dxa"/>
            </w:tcMar>
          </w:tcPr>
          <w:p>
            <w:pPr>
              <w:spacing w:after="0"/>
              <w:jc w:val="center"/>
            </w:pPr>
            <w:r>
              <w:rPr>
                <w:rFonts w:ascii="Calibri" w:hAnsi="Calibri" w:eastAsia="Calibri"/>
                <w:color w:val="000000"/>
                <w:sz w:val="17"/>
              </w:rPr>
              <w:t>56.56 M</w:t>
            </w:r>
          </w:p>
        </w:tc>
        <w:tc>
          <w:tcPr>
            <w:tcW w:type="dxa" w:w="2170"/>
            <w:vAlign w:val="center"/>
            <w:tcMar>
              <w:top w:w="80" w:type="dxa"/>
              <w:start w:w="120" w:type="dxa"/>
              <w:bottom w:w="80" w:type="dxa"/>
              <w:end w:w="120" w:type="dxa"/>
            </w:tcMar>
          </w:tcPr>
          <w:p>
            <w:pPr>
              <w:spacing w:after="0"/>
              <w:jc w:val="left"/>
            </w:pPr>
            <w:r>
              <w:rPr>
                <w:rFonts w:ascii="Calibri" w:hAnsi="Calibri" w:eastAsia="Calibri"/>
                <w:color w:val="000000"/>
                <w:sz w:val="17"/>
              </w:rPr>
              <w:t>0.48 h/US; 11.31 M/US</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eastAsia="Calibri"/>
                <w:color w:val="000000"/>
                <w:sz w:val="17"/>
              </w:rPr>
              <w:t>Đạt / BE2*</w:t>
            </w:r>
          </w:p>
        </w:tc>
        <w:tc>
          <w:tcPr>
            <w:tcW w:type="dxa" w:w="3440"/>
            <w:vAlign w:val="center"/>
            <w:tcMar>
              <w:top w:w="80" w:type="dxa"/>
              <w:start w:w="120" w:type="dxa"/>
              <w:bottom w:w="80" w:type="dxa"/>
              <w:end w:w="120" w:type="dxa"/>
            </w:tcMar>
          </w:tcPr>
          <w:p>
            <w:pPr>
              <w:spacing w:after="0"/>
              <w:jc w:val="left"/>
            </w:pPr>
            <w:r>
              <w:rPr>
                <w:rFonts w:ascii="Calibri" w:hAnsi="Calibri" w:eastAsia="Calibri"/>
                <w:color w:val="000000"/>
                <w:sz w:val="17"/>
              </w:rPr>
              <w:t>Batch 1–4 allocation (14 stories)</w:t>
            </w:r>
          </w:p>
        </w:tc>
        <w:tc>
          <w:tcPr>
            <w:tcW w:type="dxa" w:w="1050"/>
            <w:vAlign w:val="center"/>
            <w:tcMar>
              <w:top w:w="80" w:type="dxa"/>
              <w:start w:w="120" w:type="dxa"/>
              <w:bottom w:w="80" w:type="dxa"/>
              <w:end w:w="120" w:type="dxa"/>
            </w:tcMar>
          </w:tcPr>
          <w:p>
            <w:pPr>
              <w:spacing w:after="0"/>
              <w:jc w:val="center"/>
            </w:pPr>
            <w:r>
              <w:rPr>
                <w:rFonts w:ascii="Calibri" w:hAnsi="Calibri" w:eastAsia="Calibri"/>
                <w:color w:val="000000"/>
                <w:sz w:val="17"/>
              </w:rPr>
              <w:t>10.00 h</w:t>
            </w:r>
          </w:p>
        </w:tc>
        <w:tc>
          <w:tcPr>
            <w:tcW w:type="dxa" w:w="1200"/>
            <w:vAlign w:val="center"/>
            <w:tcMar>
              <w:top w:w="80" w:type="dxa"/>
              <w:start w:w="120" w:type="dxa"/>
              <w:bottom w:w="80" w:type="dxa"/>
              <w:end w:w="120" w:type="dxa"/>
            </w:tcMar>
          </w:tcPr>
          <w:p>
            <w:pPr>
              <w:spacing w:after="0"/>
              <w:jc w:val="center"/>
            </w:pPr>
            <w:r>
              <w:rPr>
                <w:rFonts w:ascii="Calibri" w:hAnsi="Calibri" w:eastAsia="Calibri"/>
                <w:color w:val="000000"/>
                <w:sz w:val="17"/>
              </w:rPr>
              <w:t>21.80 M</w:t>
            </w:r>
          </w:p>
        </w:tc>
        <w:tc>
          <w:tcPr>
            <w:tcW w:type="dxa" w:w="2170"/>
            <w:vAlign w:val="center"/>
            <w:tcMar>
              <w:top w:w="80" w:type="dxa"/>
              <w:start w:w="120" w:type="dxa"/>
              <w:bottom w:w="80" w:type="dxa"/>
              <w:end w:w="120" w:type="dxa"/>
            </w:tcMar>
          </w:tcPr>
          <w:p>
            <w:pPr>
              <w:spacing w:after="0"/>
              <w:jc w:val="left"/>
            </w:pPr>
            <w:r>
              <w:rPr>
                <w:rFonts w:ascii="Calibri" w:hAnsi="Calibri" w:eastAsia="Calibri"/>
                <w:color w:val="000000"/>
                <w:sz w:val="17"/>
              </w:rPr>
              <w:t>0.71 h/US; 1.56 M/US</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eastAsia="Calibri"/>
                <w:color w:val="000000"/>
                <w:sz w:val="17"/>
              </w:rPr>
              <w:t>Chí / BE1*</w:t>
            </w:r>
          </w:p>
        </w:tc>
        <w:tc>
          <w:tcPr>
            <w:tcW w:type="dxa" w:w="3440"/>
            <w:vAlign w:val="center"/>
            <w:tcMar>
              <w:top w:w="80" w:type="dxa"/>
              <w:start w:w="120" w:type="dxa"/>
              <w:bottom w:w="80" w:type="dxa"/>
              <w:end w:w="120" w:type="dxa"/>
            </w:tcMar>
          </w:tcPr>
          <w:p>
            <w:pPr>
              <w:spacing w:after="0"/>
              <w:jc w:val="left"/>
            </w:pPr>
            <w:r>
              <w:rPr>
                <w:rFonts w:ascii="Calibri" w:hAnsi="Calibri" w:eastAsia="Calibri"/>
                <w:color w:val="000000"/>
                <w:sz w:val="17"/>
              </w:rPr>
              <w:t>Infra + 3 named Auth stories + Batch 2 + tests/FE/fixes/docs</w:t>
            </w:r>
          </w:p>
        </w:tc>
        <w:tc>
          <w:tcPr>
            <w:tcW w:type="dxa" w:w="1050"/>
            <w:vAlign w:val="center"/>
            <w:tcMar>
              <w:top w:w="80" w:type="dxa"/>
              <w:start w:w="120" w:type="dxa"/>
              <w:bottom w:w="80" w:type="dxa"/>
              <w:end w:w="120" w:type="dxa"/>
            </w:tcMar>
          </w:tcPr>
          <w:p>
            <w:pPr>
              <w:spacing w:after="0"/>
              <w:jc w:val="center"/>
            </w:pPr>
            <w:r>
              <w:rPr>
                <w:rFonts w:ascii="Calibri" w:hAnsi="Calibri" w:eastAsia="Calibri"/>
                <w:color w:val="000000"/>
                <w:sz w:val="17"/>
              </w:rPr>
              <w:t>35.00 h</w:t>
            </w:r>
          </w:p>
        </w:tc>
        <w:tc>
          <w:tcPr>
            <w:tcW w:type="dxa" w:w="1200"/>
            <w:vAlign w:val="center"/>
            <w:tcMar>
              <w:top w:w="80" w:type="dxa"/>
              <w:start w:w="120" w:type="dxa"/>
              <w:bottom w:w="80" w:type="dxa"/>
              <w:end w:w="120" w:type="dxa"/>
            </w:tcMar>
          </w:tcPr>
          <w:p>
            <w:pPr>
              <w:spacing w:after="0"/>
              <w:jc w:val="center"/>
            </w:pPr>
            <w:r>
              <w:rPr>
                <w:rFonts w:ascii="Calibri" w:hAnsi="Calibri" w:eastAsia="Calibri"/>
                <w:color w:val="000000"/>
                <w:sz w:val="17"/>
              </w:rPr>
              <w:t>135.00 M</w:t>
            </w:r>
          </w:p>
        </w:tc>
        <w:tc>
          <w:tcPr>
            <w:tcW w:type="dxa" w:w="2170"/>
            <w:vAlign w:val="center"/>
            <w:tcMar>
              <w:top w:w="80" w:type="dxa"/>
              <w:start w:w="120" w:type="dxa"/>
              <w:bottom w:w="80" w:type="dxa"/>
              <w:end w:w="120" w:type="dxa"/>
            </w:tcMar>
          </w:tcPr>
          <w:p>
            <w:pPr>
              <w:spacing w:after="0"/>
              <w:jc w:val="left"/>
            </w:pPr>
            <w:r>
              <w:rPr>
                <w:rFonts w:ascii="Calibri" w:hAnsi="Calibri" w:eastAsia="Calibri"/>
                <w:color w:val="000000"/>
                <w:sz w:val="17"/>
              </w:rPr>
              <w:t>3.86 M token/h; per-US rate not clean</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eastAsia="Calibri"/>
                <w:color w:val="000000"/>
                <w:sz w:val="17"/>
              </w:rPr>
              <w:t>TOTAL</w:t>
            </w:r>
          </w:p>
        </w:tc>
        <w:tc>
          <w:tcPr>
            <w:tcW w:type="dxa" w:w="3440"/>
            <w:vAlign w:val="center"/>
            <w:tcMar>
              <w:top w:w="80" w:type="dxa"/>
              <w:start w:w="120" w:type="dxa"/>
              <w:bottom w:w="80" w:type="dxa"/>
              <w:end w:w="120" w:type="dxa"/>
            </w:tcMar>
          </w:tcPr>
          <w:p>
            <w:pPr>
              <w:spacing w:after="0"/>
              <w:jc w:val="left"/>
            </w:pPr>
            <w:r>
              <w:rPr>
                <w:rFonts w:ascii="Calibri" w:hAnsi="Calibri" w:eastAsia="Calibri"/>
                <w:color w:val="000000"/>
                <w:sz w:val="17"/>
              </w:rPr>
              <w:t>Three reported backend packages</w:t>
            </w:r>
          </w:p>
        </w:tc>
        <w:tc>
          <w:tcPr>
            <w:tcW w:type="dxa" w:w="1050"/>
            <w:vAlign w:val="center"/>
            <w:tcMar>
              <w:top w:w="80" w:type="dxa"/>
              <w:start w:w="120" w:type="dxa"/>
              <w:bottom w:w="80" w:type="dxa"/>
              <w:end w:w="120" w:type="dxa"/>
            </w:tcMar>
          </w:tcPr>
          <w:p>
            <w:pPr>
              <w:spacing w:after="0"/>
              <w:jc w:val="center"/>
            </w:pPr>
            <w:r>
              <w:rPr>
                <w:rFonts w:ascii="Calibri" w:hAnsi="Calibri" w:eastAsia="Calibri"/>
                <w:color w:val="000000"/>
                <w:sz w:val="17"/>
              </w:rPr>
              <w:t>47.38 h</w:t>
            </w:r>
          </w:p>
        </w:tc>
        <w:tc>
          <w:tcPr>
            <w:tcW w:type="dxa" w:w="1200"/>
            <w:vAlign w:val="center"/>
            <w:tcMar>
              <w:top w:w="80" w:type="dxa"/>
              <w:start w:w="120" w:type="dxa"/>
              <w:bottom w:w="80" w:type="dxa"/>
              <w:end w:w="120" w:type="dxa"/>
            </w:tcMar>
          </w:tcPr>
          <w:p>
            <w:pPr>
              <w:spacing w:after="0"/>
              <w:jc w:val="center"/>
            </w:pPr>
            <w:r>
              <w:rPr>
                <w:rFonts w:ascii="Calibri" w:hAnsi="Calibri" w:eastAsia="Calibri"/>
                <w:color w:val="000000"/>
                <w:sz w:val="17"/>
              </w:rPr>
              <w:t>213.36 M</w:t>
            </w:r>
          </w:p>
        </w:tc>
        <w:tc>
          <w:tcPr>
            <w:tcW w:type="dxa" w:w="2170"/>
            <w:vAlign w:val="center"/>
            <w:tcMar>
              <w:top w:w="80" w:type="dxa"/>
              <w:start w:w="120" w:type="dxa"/>
              <w:bottom w:w="80" w:type="dxa"/>
              <w:end w:w="120" w:type="dxa"/>
            </w:tcMar>
          </w:tcPr>
          <w:p>
            <w:pPr>
              <w:spacing w:after="0"/>
              <w:jc w:val="left"/>
            </w:pPr>
            <w:r>
              <w:rPr>
                <w:rFonts w:ascii="Calibri" w:hAnsi="Calibri" w:eastAsia="Calibri"/>
                <w:color w:val="000000"/>
                <w:sz w:val="17"/>
              </w:rPr>
              <w:t>Observed aggregate; not normalized</w:t>
            </w:r>
          </w:p>
        </w:tc>
      </w:tr>
    </w:tbl>
    <w:p>
      <w:pPr>
        <w:spacing w:after="20"/>
        <w:widowControl w:val="1"/>
      </w:pPr>
    </w:p>
    <w:p>
      <w:pPr>
        <w:spacing w:after="160"/>
        <w:widowControl w:val="1"/>
      </w:pPr>
      <w:r>
        <w:rPr>
          <w:rFonts w:ascii="Calibri" w:hAnsi="Calibri" w:eastAsia="Calibri"/>
          <w:i/>
          <w:color w:val="666666"/>
          <w:sz w:val="22"/>
        </w:rPr>
        <w:t>* Member-to-column mapping is inferred from the described batch work and must be confirmed before the report becomes contractual.</w:t>
      </w:r>
    </w:p>
    <w:p>
      <w:pPr>
        <w:pStyle w:val="Heading2"/>
        <w:widowControl w:val="1"/>
      </w:pPr>
      <w:r>
        <w:t>Maintenance detail - directly measured sample</w:t>
      </w:r>
    </w:p>
    <w:tbl>
      <w:tblPr>
        <w:tblStyle w:val="TableGrid"/>
        <w:tblW w:type="dxa" w:w="9360"/>
        <w:tblLayout w:type="fixed"/>
        <w:tblLook w:firstColumn="1" w:firstRow="1" w:lastColumn="0" w:lastRow="0" w:noHBand="0" w:noVBand="1" w:val="04A0"/>
        <w:jc w:val="left"/>
        <w:tblInd w:w="120" w:type="dxa"/>
      </w:tblPr>
      <w:tblGrid>
        <w:gridCol w:w="1450"/>
        <w:gridCol w:w="3450"/>
        <w:gridCol w:w="1300"/>
        <w:gridCol w:w="1350"/>
        <w:gridCol w:w="1810"/>
      </w:tblGrid>
      <w:tr>
        <w:trPr>
          <w:tblHeader w:val="true"/>
          <w:cantSplit/>
        </w:trPr>
        <w:tc>
          <w:tcPr>
            <w:tcW w:type="dxa" w:w="14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Story</w:t>
            </w:r>
          </w:p>
        </w:tc>
        <w:tc>
          <w:tcPr>
            <w:tcW w:type="dxa" w:w="34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Backlog outcome</w:t>
            </w:r>
          </w:p>
        </w:tc>
        <w:tc>
          <w:tcPr>
            <w:tcW w:type="dxa" w:w="13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Tokens</w:t>
            </w:r>
          </w:p>
        </w:tc>
        <w:tc>
          <w:tcPr>
            <w:tcW w:type="dxa" w:w="13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Agent time</w:t>
            </w:r>
          </w:p>
        </w:tc>
        <w:tc>
          <w:tcPr>
            <w:tcW w:type="dxa" w:w="181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Evidence</w:t>
            </w:r>
          </w:p>
        </w:tc>
      </w:tr>
      <w:tr>
        <w:trPr>
          <w:cantSplit/>
        </w:trPr>
        <w:tc>
          <w:tcPr>
            <w:tcW w:type="dxa" w:w="1450"/>
            <w:vAlign w:val="center"/>
            <w:tcMar>
              <w:top w:w="80" w:type="dxa"/>
              <w:start w:w="120" w:type="dxa"/>
              <w:bottom w:w="80" w:type="dxa"/>
              <w:end w:w="120" w:type="dxa"/>
            </w:tcMar>
          </w:tcPr>
          <w:p>
            <w:pPr>
              <w:spacing w:after="0"/>
              <w:jc w:val="left"/>
            </w:pPr>
            <w:r>
              <w:rPr>
                <w:rFonts w:ascii="Calibri" w:hAnsi="Calibri" w:eastAsia="Calibri"/>
                <w:color w:val="000000"/>
                <w:sz w:val="17"/>
              </w:rPr>
              <w:t>US-MAINT-01</w:t>
            </w:r>
          </w:p>
        </w:tc>
        <w:tc>
          <w:tcPr>
            <w:tcW w:type="dxa" w:w="3450"/>
            <w:vAlign w:val="center"/>
            <w:tcMar>
              <w:top w:w="80" w:type="dxa"/>
              <w:start w:w="120" w:type="dxa"/>
              <w:bottom w:w="80" w:type="dxa"/>
              <w:end w:w="120" w:type="dxa"/>
            </w:tcMar>
          </w:tcPr>
          <w:p>
            <w:pPr>
              <w:spacing w:after="0"/>
              <w:jc w:val="left"/>
            </w:pPr>
            <w:r>
              <w:rPr>
                <w:rFonts w:ascii="Calibri" w:hAnsi="Calibri" w:eastAsia="Calibri"/>
                <w:color w:val="000000"/>
                <w:sz w:val="17"/>
              </w:rPr>
              <w:t>Submit a maintenance request</w:t>
            </w:r>
          </w:p>
        </w:tc>
        <w:tc>
          <w:tcPr>
            <w:tcW w:type="dxa" w:w="1300"/>
            <w:vAlign w:val="center"/>
            <w:tcMar>
              <w:top w:w="80" w:type="dxa"/>
              <w:start w:w="120" w:type="dxa"/>
              <w:bottom w:w="80" w:type="dxa"/>
              <w:end w:w="120" w:type="dxa"/>
            </w:tcMar>
          </w:tcPr>
          <w:p>
            <w:pPr>
              <w:spacing w:after="0"/>
              <w:jc w:val="center"/>
            </w:pPr>
            <w:r>
              <w:rPr>
                <w:rFonts w:ascii="Calibri" w:hAnsi="Calibri" w:eastAsia="Calibri"/>
                <w:color w:val="000000"/>
                <w:sz w:val="17"/>
              </w:rPr>
              <w:t>17.390 M</w:t>
            </w:r>
          </w:p>
        </w:tc>
        <w:tc>
          <w:tcPr>
            <w:tcW w:type="dxa" w:w="1350"/>
            <w:vAlign w:val="center"/>
            <w:tcMar>
              <w:top w:w="80" w:type="dxa"/>
              <w:start w:w="120" w:type="dxa"/>
              <w:bottom w:w="80" w:type="dxa"/>
              <w:end w:w="120" w:type="dxa"/>
            </w:tcMar>
          </w:tcPr>
          <w:p>
            <w:pPr>
              <w:spacing w:after="0"/>
              <w:jc w:val="center"/>
            </w:pPr>
            <w:r>
              <w:rPr>
                <w:rFonts w:ascii="Calibri" w:hAnsi="Calibri" w:eastAsia="Calibri"/>
                <w:color w:val="000000"/>
                <w:sz w:val="17"/>
              </w:rPr>
              <w:t>38m 57s</w:t>
            </w:r>
          </w:p>
        </w:tc>
        <w:tc>
          <w:tcPr>
            <w:tcW w:type="dxa" w:w="1810"/>
            <w:vAlign w:val="center"/>
            <w:tcMar>
              <w:top w:w="80" w:type="dxa"/>
              <w:start w:w="120" w:type="dxa"/>
              <w:bottom w:w="80" w:type="dxa"/>
              <w:end w:w="120" w:type="dxa"/>
            </w:tcMar>
          </w:tcPr>
          <w:p>
            <w:pPr>
              <w:spacing w:after="0"/>
              <w:jc w:val="center"/>
            </w:pPr>
            <w:r>
              <w:rPr>
                <w:rFonts w:ascii="Calibri" w:hAnsi="Calibri" w:eastAsia="Calibri"/>
                <w:color w:val="000000"/>
                <w:sz w:val="17"/>
              </w:rPr>
              <w:t>Measured</w:t>
            </w:r>
          </w:p>
        </w:tc>
      </w:tr>
      <w:tr>
        <w:trPr>
          <w:cantSplit/>
        </w:trPr>
        <w:tc>
          <w:tcPr>
            <w:tcW w:type="dxa" w:w="1450"/>
            <w:vAlign w:val="center"/>
            <w:tcMar>
              <w:top w:w="80" w:type="dxa"/>
              <w:start w:w="120" w:type="dxa"/>
              <w:bottom w:w="80" w:type="dxa"/>
              <w:end w:w="120" w:type="dxa"/>
            </w:tcMar>
          </w:tcPr>
          <w:p>
            <w:pPr>
              <w:spacing w:after="0"/>
              <w:jc w:val="left"/>
            </w:pPr>
            <w:r>
              <w:rPr>
                <w:rFonts w:ascii="Calibri" w:hAnsi="Calibri" w:eastAsia="Calibri"/>
                <w:color w:val="000000"/>
                <w:sz w:val="17"/>
              </w:rPr>
              <w:t>US-MAINT-02</w:t>
            </w:r>
          </w:p>
        </w:tc>
        <w:tc>
          <w:tcPr>
            <w:tcW w:type="dxa" w:w="3450"/>
            <w:vAlign w:val="center"/>
            <w:tcMar>
              <w:top w:w="80" w:type="dxa"/>
              <w:start w:w="120" w:type="dxa"/>
              <w:bottom w:w="80" w:type="dxa"/>
              <w:end w:w="120" w:type="dxa"/>
            </w:tcMar>
          </w:tcPr>
          <w:p>
            <w:pPr>
              <w:spacing w:after="0"/>
              <w:jc w:val="left"/>
            </w:pPr>
            <w:r>
              <w:rPr>
                <w:rFonts w:ascii="Calibri" w:hAnsi="Calibri" w:eastAsia="Calibri"/>
                <w:color w:val="000000"/>
                <w:sz w:val="17"/>
              </w:rPr>
              <w:t>View submitted maintenance requests</w:t>
            </w:r>
          </w:p>
        </w:tc>
        <w:tc>
          <w:tcPr>
            <w:tcW w:type="dxa" w:w="1300"/>
            <w:vAlign w:val="center"/>
            <w:tcMar>
              <w:top w:w="80" w:type="dxa"/>
              <w:start w:w="120" w:type="dxa"/>
              <w:bottom w:w="80" w:type="dxa"/>
              <w:end w:w="120" w:type="dxa"/>
            </w:tcMar>
          </w:tcPr>
          <w:p>
            <w:pPr>
              <w:spacing w:after="0"/>
              <w:jc w:val="center"/>
            </w:pPr>
            <w:r>
              <w:rPr>
                <w:rFonts w:ascii="Calibri" w:hAnsi="Calibri" w:eastAsia="Calibri"/>
                <w:color w:val="000000"/>
                <w:sz w:val="17"/>
              </w:rPr>
              <w:t>5.766 M</w:t>
            </w:r>
          </w:p>
        </w:tc>
        <w:tc>
          <w:tcPr>
            <w:tcW w:type="dxa" w:w="1350"/>
            <w:vAlign w:val="center"/>
            <w:tcMar>
              <w:top w:w="80" w:type="dxa"/>
              <w:start w:w="120" w:type="dxa"/>
              <w:bottom w:w="80" w:type="dxa"/>
              <w:end w:w="120" w:type="dxa"/>
            </w:tcMar>
          </w:tcPr>
          <w:p>
            <w:pPr>
              <w:spacing w:after="0"/>
              <w:jc w:val="center"/>
            </w:pPr>
            <w:r>
              <w:rPr>
                <w:rFonts w:ascii="Calibri" w:hAnsi="Calibri" w:eastAsia="Calibri"/>
                <w:color w:val="000000"/>
                <w:sz w:val="17"/>
              </w:rPr>
              <w:t>25m 31s</w:t>
            </w:r>
          </w:p>
        </w:tc>
        <w:tc>
          <w:tcPr>
            <w:tcW w:type="dxa" w:w="1810"/>
            <w:vAlign w:val="center"/>
            <w:tcMar>
              <w:top w:w="80" w:type="dxa"/>
              <w:start w:w="120" w:type="dxa"/>
              <w:bottom w:w="80" w:type="dxa"/>
              <w:end w:w="120" w:type="dxa"/>
            </w:tcMar>
          </w:tcPr>
          <w:p>
            <w:pPr>
              <w:spacing w:after="0"/>
              <w:jc w:val="center"/>
            </w:pPr>
            <w:r>
              <w:rPr>
                <w:rFonts w:ascii="Calibri" w:hAnsi="Calibri" w:eastAsia="Calibri"/>
                <w:color w:val="000000"/>
                <w:sz w:val="17"/>
              </w:rPr>
              <w:t>Estimated split</w:t>
            </w:r>
          </w:p>
        </w:tc>
      </w:tr>
      <w:tr>
        <w:trPr>
          <w:cantSplit/>
        </w:trPr>
        <w:tc>
          <w:tcPr>
            <w:tcW w:type="dxa" w:w="1450"/>
            <w:vAlign w:val="center"/>
            <w:tcMar>
              <w:top w:w="80" w:type="dxa"/>
              <w:start w:w="120" w:type="dxa"/>
              <w:bottom w:w="80" w:type="dxa"/>
              <w:end w:w="120" w:type="dxa"/>
            </w:tcMar>
          </w:tcPr>
          <w:p>
            <w:pPr>
              <w:spacing w:after="0"/>
              <w:jc w:val="left"/>
            </w:pPr>
            <w:r>
              <w:rPr>
                <w:rFonts w:ascii="Calibri" w:hAnsi="Calibri" w:eastAsia="Calibri"/>
                <w:color w:val="000000"/>
                <w:sz w:val="17"/>
              </w:rPr>
              <w:t>US-MAINT-03</w:t>
            </w:r>
          </w:p>
        </w:tc>
        <w:tc>
          <w:tcPr>
            <w:tcW w:type="dxa" w:w="3450"/>
            <w:vAlign w:val="center"/>
            <w:tcMar>
              <w:top w:w="80" w:type="dxa"/>
              <w:start w:w="120" w:type="dxa"/>
              <w:bottom w:w="80" w:type="dxa"/>
              <w:end w:w="120" w:type="dxa"/>
            </w:tcMar>
          </w:tcPr>
          <w:p>
            <w:pPr>
              <w:spacing w:after="0"/>
              <w:jc w:val="left"/>
            </w:pPr>
            <w:r>
              <w:rPr>
                <w:rFonts w:ascii="Calibri" w:hAnsi="Calibri" w:eastAsia="Calibri"/>
                <w:color w:val="000000"/>
                <w:sz w:val="17"/>
              </w:rPr>
              <w:t>Review maintenance requests</w:t>
            </w:r>
          </w:p>
        </w:tc>
        <w:tc>
          <w:tcPr>
            <w:tcW w:type="dxa" w:w="1300"/>
            <w:vAlign w:val="center"/>
            <w:tcMar>
              <w:top w:w="80" w:type="dxa"/>
              <w:start w:w="120" w:type="dxa"/>
              <w:bottom w:w="80" w:type="dxa"/>
              <w:end w:w="120" w:type="dxa"/>
            </w:tcMar>
          </w:tcPr>
          <w:p>
            <w:pPr>
              <w:spacing w:after="0"/>
              <w:jc w:val="center"/>
            </w:pPr>
            <w:r>
              <w:rPr>
                <w:rFonts w:ascii="Calibri" w:hAnsi="Calibri" w:eastAsia="Calibri"/>
                <w:color w:val="000000"/>
                <w:sz w:val="17"/>
              </w:rPr>
              <w:t>8.436 M</w:t>
            </w:r>
          </w:p>
        </w:tc>
        <w:tc>
          <w:tcPr>
            <w:tcW w:type="dxa" w:w="1350"/>
            <w:vAlign w:val="center"/>
            <w:tcMar>
              <w:top w:w="80" w:type="dxa"/>
              <w:start w:w="120" w:type="dxa"/>
              <w:bottom w:w="80" w:type="dxa"/>
              <w:end w:w="120" w:type="dxa"/>
            </w:tcMar>
          </w:tcPr>
          <w:p>
            <w:pPr>
              <w:spacing w:after="0"/>
              <w:jc w:val="center"/>
            </w:pPr>
            <w:r>
              <w:rPr>
                <w:rFonts w:ascii="Calibri" w:hAnsi="Calibri" w:eastAsia="Calibri"/>
                <w:color w:val="000000"/>
                <w:sz w:val="17"/>
              </w:rPr>
              <w:t>21m 43s</w:t>
            </w:r>
          </w:p>
        </w:tc>
        <w:tc>
          <w:tcPr>
            <w:tcW w:type="dxa" w:w="1810"/>
            <w:vAlign w:val="center"/>
            <w:tcMar>
              <w:top w:w="80" w:type="dxa"/>
              <w:start w:w="120" w:type="dxa"/>
              <w:bottom w:w="80" w:type="dxa"/>
              <w:end w:w="120" w:type="dxa"/>
            </w:tcMar>
          </w:tcPr>
          <w:p>
            <w:pPr>
              <w:spacing w:after="0"/>
              <w:jc w:val="center"/>
            </w:pPr>
            <w:r>
              <w:rPr>
                <w:rFonts w:ascii="Calibri" w:hAnsi="Calibri" w:eastAsia="Calibri"/>
                <w:color w:val="000000"/>
                <w:sz w:val="17"/>
              </w:rPr>
              <w:t>Estimated split</w:t>
            </w:r>
          </w:p>
        </w:tc>
      </w:tr>
      <w:tr>
        <w:trPr>
          <w:cantSplit/>
        </w:trPr>
        <w:tc>
          <w:tcPr>
            <w:tcW w:type="dxa" w:w="1450"/>
            <w:vAlign w:val="center"/>
            <w:tcMar>
              <w:top w:w="80" w:type="dxa"/>
              <w:start w:w="120" w:type="dxa"/>
              <w:bottom w:w="80" w:type="dxa"/>
              <w:end w:w="120" w:type="dxa"/>
            </w:tcMar>
          </w:tcPr>
          <w:p>
            <w:pPr>
              <w:spacing w:after="0"/>
              <w:jc w:val="left"/>
            </w:pPr>
            <w:r>
              <w:rPr>
                <w:rFonts w:ascii="Calibri" w:hAnsi="Calibri" w:eastAsia="Calibri"/>
                <w:color w:val="000000"/>
                <w:sz w:val="17"/>
              </w:rPr>
              <w:t>US-MAINT-04</w:t>
            </w:r>
          </w:p>
        </w:tc>
        <w:tc>
          <w:tcPr>
            <w:tcW w:type="dxa" w:w="3450"/>
            <w:vAlign w:val="center"/>
            <w:tcMar>
              <w:top w:w="80" w:type="dxa"/>
              <w:start w:w="120" w:type="dxa"/>
              <w:bottom w:w="80" w:type="dxa"/>
              <w:end w:w="120" w:type="dxa"/>
            </w:tcMar>
          </w:tcPr>
          <w:p>
            <w:pPr>
              <w:spacing w:after="0"/>
              <w:jc w:val="left"/>
            </w:pPr>
            <w:r>
              <w:rPr>
                <w:rFonts w:ascii="Calibri" w:hAnsi="Calibri" w:eastAsia="Calibri"/>
                <w:color w:val="000000"/>
                <w:sz w:val="17"/>
              </w:rPr>
              <w:t>Update maintenance status</w:t>
            </w:r>
          </w:p>
        </w:tc>
        <w:tc>
          <w:tcPr>
            <w:tcW w:type="dxa" w:w="1300"/>
            <w:vAlign w:val="center"/>
            <w:tcMar>
              <w:top w:w="80" w:type="dxa"/>
              <w:start w:w="120" w:type="dxa"/>
              <w:bottom w:w="80" w:type="dxa"/>
              <w:end w:w="120" w:type="dxa"/>
            </w:tcMar>
          </w:tcPr>
          <w:p>
            <w:pPr>
              <w:spacing w:after="0"/>
              <w:jc w:val="center"/>
            </w:pPr>
            <w:r>
              <w:rPr>
                <w:rFonts w:ascii="Calibri" w:hAnsi="Calibri" w:eastAsia="Calibri"/>
                <w:color w:val="000000"/>
                <w:sz w:val="17"/>
              </w:rPr>
              <w:t>11.730 M</w:t>
            </w:r>
          </w:p>
        </w:tc>
        <w:tc>
          <w:tcPr>
            <w:tcW w:type="dxa" w:w="1350"/>
            <w:vAlign w:val="center"/>
            <w:tcMar>
              <w:top w:w="80" w:type="dxa"/>
              <w:start w:w="120" w:type="dxa"/>
              <w:bottom w:w="80" w:type="dxa"/>
              <w:end w:w="120" w:type="dxa"/>
            </w:tcMar>
          </w:tcPr>
          <w:p>
            <w:pPr>
              <w:spacing w:after="0"/>
              <w:jc w:val="center"/>
            </w:pPr>
            <w:r>
              <w:rPr>
                <w:rFonts w:ascii="Calibri" w:hAnsi="Calibri" w:eastAsia="Calibri"/>
                <w:color w:val="000000"/>
                <w:sz w:val="17"/>
              </w:rPr>
              <w:t>35m 17s</w:t>
            </w:r>
          </w:p>
        </w:tc>
        <w:tc>
          <w:tcPr>
            <w:tcW w:type="dxa" w:w="1810"/>
            <w:vAlign w:val="center"/>
            <w:tcMar>
              <w:top w:w="80" w:type="dxa"/>
              <w:start w:w="120" w:type="dxa"/>
              <w:bottom w:w="80" w:type="dxa"/>
              <w:end w:w="120" w:type="dxa"/>
            </w:tcMar>
          </w:tcPr>
          <w:p>
            <w:pPr>
              <w:spacing w:after="0"/>
              <w:jc w:val="center"/>
            </w:pPr>
            <w:r>
              <w:rPr>
                <w:rFonts w:ascii="Calibri" w:hAnsi="Calibri" w:eastAsia="Calibri"/>
                <w:color w:val="000000"/>
                <w:sz w:val="17"/>
              </w:rPr>
              <w:t>Measured</w:t>
            </w:r>
          </w:p>
        </w:tc>
      </w:tr>
      <w:tr>
        <w:trPr>
          <w:cantSplit/>
        </w:trPr>
        <w:tc>
          <w:tcPr>
            <w:tcW w:type="dxa" w:w="1450"/>
            <w:vAlign w:val="center"/>
            <w:tcMar>
              <w:top w:w="80" w:type="dxa"/>
              <w:start w:w="120" w:type="dxa"/>
              <w:bottom w:w="80" w:type="dxa"/>
              <w:end w:w="120" w:type="dxa"/>
            </w:tcMar>
          </w:tcPr>
          <w:p>
            <w:pPr>
              <w:spacing w:after="0"/>
              <w:jc w:val="left"/>
            </w:pPr>
            <w:r>
              <w:rPr>
                <w:rFonts w:ascii="Calibri" w:hAnsi="Calibri" w:eastAsia="Calibri"/>
                <w:color w:val="000000"/>
                <w:sz w:val="17"/>
              </w:rPr>
              <w:t>US-MAINT-05</w:t>
            </w:r>
          </w:p>
        </w:tc>
        <w:tc>
          <w:tcPr>
            <w:tcW w:type="dxa" w:w="3450"/>
            <w:vAlign w:val="center"/>
            <w:tcMar>
              <w:top w:w="80" w:type="dxa"/>
              <w:start w:w="120" w:type="dxa"/>
              <w:bottom w:w="80" w:type="dxa"/>
              <w:end w:w="120" w:type="dxa"/>
            </w:tcMar>
          </w:tcPr>
          <w:p>
            <w:pPr>
              <w:spacing w:after="0"/>
              <w:jc w:val="left"/>
            </w:pPr>
            <w:r>
              <w:rPr>
                <w:rFonts w:ascii="Calibri" w:hAnsi="Calibri" w:eastAsia="Calibri"/>
                <w:color w:val="000000"/>
                <w:sz w:val="17"/>
              </w:rPr>
              <w:t>View maintenance history by room</w:t>
            </w:r>
          </w:p>
        </w:tc>
        <w:tc>
          <w:tcPr>
            <w:tcW w:type="dxa" w:w="1300"/>
            <w:vAlign w:val="center"/>
            <w:tcMar>
              <w:top w:w="80" w:type="dxa"/>
              <w:start w:w="120" w:type="dxa"/>
              <w:bottom w:w="80" w:type="dxa"/>
              <w:end w:w="120" w:type="dxa"/>
            </w:tcMar>
          </w:tcPr>
          <w:p>
            <w:pPr>
              <w:spacing w:after="0"/>
              <w:jc w:val="center"/>
            </w:pPr>
            <w:r>
              <w:rPr>
                <w:rFonts w:ascii="Calibri" w:hAnsi="Calibri" w:eastAsia="Calibri"/>
                <w:color w:val="000000"/>
                <w:sz w:val="17"/>
              </w:rPr>
              <w:t>13.243 M</w:t>
            </w:r>
          </w:p>
        </w:tc>
        <w:tc>
          <w:tcPr>
            <w:tcW w:type="dxa" w:w="1350"/>
            <w:vAlign w:val="center"/>
            <w:tcMar>
              <w:top w:w="80" w:type="dxa"/>
              <w:start w:w="120" w:type="dxa"/>
              <w:bottom w:w="80" w:type="dxa"/>
              <w:end w:w="120" w:type="dxa"/>
            </w:tcMar>
          </w:tcPr>
          <w:p>
            <w:pPr>
              <w:spacing w:after="0"/>
              <w:jc w:val="center"/>
            </w:pPr>
            <w:r>
              <w:rPr>
                <w:rFonts w:ascii="Calibri" w:hAnsi="Calibri" w:eastAsia="Calibri"/>
                <w:color w:val="000000"/>
                <w:sz w:val="17"/>
              </w:rPr>
              <w:t>21m 23s</w:t>
            </w:r>
          </w:p>
        </w:tc>
        <w:tc>
          <w:tcPr>
            <w:tcW w:type="dxa" w:w="1810"/>
            <w:vAlign w:val="center"/>
            <w:tcMar>
              <w:top w:w="80" w:type="dxa"/>
              <w:start w:w="120" w:type="dxa"/>
              <w:bottom w:w="80" w:type="dxa"/>
              <w:end w:w="120" w:type="dxa"/>
            </w:tcMar>
          </w:tcPr>
          <w:p>
            <w:pPr>
              <w:spacing w:after="0"/>
              <w:jc w:val="center"/>
            </w:pPr>
            <w:r>
              <w:rPr>
                <w:rFonts w:ascii="Calibri" w:hAnsi="Calibri" w:eastAsia="Calibri"/>
                <w:color w:val="000000"/>
                <w:sz w:val="17"/>
              </w:rPr>
              <w:t>Measured</w:t>
            </w:r>
          </w:p>
        </w:tc>
      </w:tr>
      <w:tr>
        <w:trPr>
          <w:cantSplit/>
        </w:trPr>
        <w:tc>
          <w:tcPr>
            <w:tcW w:type="dxa" w:w="1450"/>
            <w:vAlign w:val="center"/>
            <w:tcMar>
              <w:top w:w="80" w:type="dxa"/>
              <w:start w:w="120" w:type="dxa"/>
              <w:bottom w:w="80" w:type="dxa"/>
              <w:end w:w="120" w:type="dxa"/>
            </w:tcMar>
          </w:tcPr>
          <w:p>
            <w:pPr>
              <w:spacing w:after="0"/>
              <w:jc w:val="left"/>
            </w:pPr>
            <w:r>
              <w:rPr>
                <w:rFonts w:ascii="Calibri" w:hAnsi="Calibri" w:eastAsia="Calibri"/>
                <w:color w:val="000000"/>
                <w:sz w:val="17"/>
              </w:rPr>
              <w:t>TOTAL</w:t>
            </w:r>
          </w:p>
        </w:tc>
        <w:tc>
          <w:tcPr>
            <w:tcW w:type="dxa" w:w="3450"/>
            <w:vAlign w:val="center"/>
            <w:tcMar>
              <w:top w:w="80" w:type="dxa"/>
              <w:start w:w="120" w:type="dxa"/>
              <w:bottom w:w="80" w:type="dxa"/>
              <w:end w:w="120" w:type="dxa"/>
            </w:tcMar>
          </w:tcPr>
          <w:p>
            <w:pPr>
              <w:spacing w:after="0"/>
              <w:jc w:val="left"/>
            </w:pPr>
            <w:r>
              <w:rPr>
                <w:rFonts w:ascii="Calibri" w:hAnsi="Calibri" w:eastAsia="Calibri"/>
                <w:color w:val="000000"/>
                <w:sz w:val="17"/>
              </w:rPr>
              <w:t>5 maintenance stories</w:t>
            </w:r>
          </w:p>
        </w:tc>
        <w:tc>
          <w:tcPr>
            <w:tcW w:type="dxa" w:w="1300"/>
            <w:vAlign w:val="center"/>
            <w:tcMar>
              <w:top w:w="80" w:type="dxa"/>
              <w:start w:w="120" w:type="dxa"/>
              <w:bottom w:w="80" w:type="dxa"/>
              <w:end w:w="120" w:type="dxa"/>
            </w:tcMar>
          </w:tcPr>
          <w:p>
            <w:pPr>
              <w:spacing w:after="0"/>
              <w:jc w:val="center"/>
            </w:pPr>
            <w:r>
              <w:rPr>
                <w:rFonts w:ascii="Calibri" w:hAnsi="Calibri" w:eastAsia="Calibri"/>
                <w:color w:val="000000"/>
                <w:sz w:val="17"/>
              </w:rPr>
              <w:t>56.565 M</w:t>
            </w:r>
          </w:p>
        </w:tc>
        <w:tc>
          <w:tcPr>
            <w:tcW w:type="dxa" w:w="1350"/>
            <w:vAlign w:val="center"/>
            <w:tcMar>
              <w:top w:w="80" w:type="dxa"/>
              <w:start w:w="120" w:type="dxa"/>
              <w:bottom w:w="80" w:type="dxa"/>
              <w:end w:w="120" w:type="dxa"/>
            </w:tcMar>
          </w:tcPr>
          <w:p>
            <w:pPr>
              <w:spacing w:after="0"/>
              <w:jc w:val="center"/>
            </w:pPr>
            <w:r>
              <w:rPr>
                <w:rFonts w:ascii="Calibri" w:hAnsi="Calibri" w:eastAsia="Calibri"/>
                <w:color w:val="000000"/>
                <w:sz w:val="17"/>
              </w:rPr>
              <w:t>2h 22m 50s</w:t>
            </w:r>
          </w:p>
        </w:tc>
        <w:tc>
          <w:tcPr>
            <w:tcW w:type="dxa" w:w="1810"/>
            <w:vAlign w:val="center"/>
            <w:tcMar>
              <w:top w:w="80" w:type="dxa"/>
              <w:start w:w="120" w:type="dxa"/>
              <w:bottom w:w="80" w:type="dxa"/>
              <w:end w:w="120" w:type="dxa"/>
            </w:tcMar>
          </w:tcPr>
          <w:p>
            <w:pPr>
              <w:spacing w:after="0"/>
              <w:jc w:val="center"/>
            </w:pPr>
            <w:r>
              <w:rPr>
                <w:rFonts w:ascii="Calibri" w:hAnsi="Calibri" w:eastAsia="Calibri"/>
                <w:color w:val="000000"/>
                <w:sz w:val="17"/>
              </w:rPr>
              <w:t>Telemetry total</w:t>
            </w:r>
          </w:p>
        </w:tc>
      </w:tr>
    </w:tbl>
    <w:p>
      <w:pPr>
        <w:spacing w:after="20"/>
        <w:widowControl w:val="1"/>
      </w:pPr>
    </w:p>
    <w:p>
      <w:pPr>
        <w:pStyle w:val="Heading2"/>
        <w:widowControl w:val="1"/>
      </w:pPr>
      <w:r>
        <w:t>Đạt / BE2 batch detail - member-reported sample</w:t>
      </w:r>
    </w:p>
    <w:tbl>
      <w:tblPr>
        <w:tblStyle w:val="TableGrid"/>
        <w:tblW w:type="dxa" w:w="9360"/>
        <w:tblLayout w:type="fixed"/>
        <w:tblLook w:firstColumn="1" w:firstRow="1" w:lastColumn="0" w:lastRow="0" w:noHBand="0" w:noVBand="1" w:val="04A0"/>
        <w:jc w:val="left"/>
        <w:tblInd w:w="120" w:type="dxa"/>
      </w:tblPr>
      <w:tblGrid>
        <w:gridCol w:w="1000"/>
        <w:gridCol w:w="3500"/>
        <w:gridCol w:w="1050"/>
        <w:gridCol w:w="1200"/>
        <w:gridCol w:w="2610"/>
      </w:tblGrid>
      <w:tr>
        <w:trPr>
          <w:tblHeader w:val="true"/>
          <w:cantSplit/>
        </w:trPr>
        <w:tc>
          <w:tcPr>
            <w:tcW w:type="dxa" w:w="10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Batch</w:t>
            </w:r>
          </w:p>
        </w:tc>
        <w:tc>
          <w:tcPr>
            <w:tcW w:type="dxa" w:w="35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Assigned stories</w:t>
            </w:r>
          </w:p>
        </w:tc>
        <w:tc>
          <w:tcPr>
            <w:tcW w:type="dxa" w:w="10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Time</w:t>
            </w:r>
          </w:p>
        </w:tc>
        <w:tc>
          <w:tcPr>
            <w:tcW w:type="dxa" w:w="12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Tokens</w:t>
            </w:r>
          </w:p>
        </w:tc>
        <w:tc>
          <w:tcPr>
            <w:tcW w:type="dxa" w:w="261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Derived</w:t>
            </w:r>
          </w:p>
        </w:tc>
      </w:tr>
      <w:tr>
        <w:trPr>
          <w:cantSplit/>
        </w:trPr>
        <w:tc>
          <w:tcPr>
            <w:tcW w:type="dxa" w:w="1000"/>
            <w:vAlign w:val="center"/>
            <w:tcMar>
              <w:top w:w="80" w:type="dxa"/>
              <w:start w:w="120" w:type="dxa"/>
              <w:bottom w:w="80" w:type="dxa"/>
              <w:end w:w="120" w:type="dxa"/>
            </w:tcMar>
          </w:tcPr>
          <w:p>
            <w:pPr>
              <w:spacing w:after="0"/>
            </w:pPr>
            <w:r>
              <w:rPr>
                <w:rFonts w:ascii="Calibri" w:hAnsi="Calibri" w:eastAsia="Calibri"/>
                <w:color w:val="000000"/>
                <w:sz w:val="17"/>
              </w:rPr>
              <w:t>1</w:t>
            </w:r>
          </w:p>
        </w:tc>
        <w:tc>
          <w:tcPr>
            <w:tcW w:type="dxa" w:w="3500"/>
            <w:vAlign w:val="center"/>
            <w:tcMar>
              <w:top w:w="80" w:type="dxa"/>
              <w:start w:w="120" w:type="dxa"/>
              <w:bottom w:w="80" w:type="dxa"/>
              <w:end w:w="120" w:type="dxa"/>
            </w:tcMar>
          </w:tcPr>
          <w:p>
            <w:pPr>
              <w:spacing w:after="0"/>
            </w:pPr>
            <w:r>
              <w:rPr>
                <w:rFonts w:ascii="Calibri" w:hAnsi="Calibri" w:eastAsia="Calibri"/>
                <w:color w:val="000000"/>
                <w:sz w:val="17"/>
              </w:rPr>
              <w:t>Property 01–02; Room 01–03 (5)</w:t>
            </w:r>
          </w:p>
        </w:tc>
        <w:tc>
          <w:tcPr>
            <w:tcW w:type="dxa" w:w="1050"/>
            <w:vAlign w:val="center"/>
            <w:tcMar>
              <w:top w:w="80" w:type="dxa"/>
              <w:start w:w="120" w:type="dxa"/>
              <w:bottom w:w="80" w:type="dxa"/>
              <w:end w:w="120" w:type="dxa"/>
            </w:tcMar>
          </w:tcPr>
          <w:p>
            <w:pPr>
              <w:spacing w:after="0"/>
            </w:pPr>
            <w:r>
              <w:rPr>
                <w:rFonts w:ascii="Calibri" w:hAnsi="Calibri" w:eastAsia="Calibri"/>
                <w:color w:val="000000"/>
                <w:sz w:val="17"/>
              </w:rPr>
              <w:t>3 h</w:t>
            </w:r>
          </w:p>
        </w:tc>
        <w:tc>
          <w:tcPr>
            <w:tcW w:type="dxa" w:w="1200"/>
            <w:vAlign w:val="center"/>
            <w:tcMar>
              <w:top w:w="80" w:type="dxa"/>
              <w:start w:w="120" w:type="dxa"/>
              <w:bottom w:w="80" w:type="dxa"/>
              <w:end w:w="120" w:type="dxa"/>
            </w:tcMar>
          </w:tcPr>
          <w:p>
            <w:pPr>
              <w:spacing w:after="0"/>
            </w:pPr>
            <w:r>
              <w:rPr>
                <w:rFonts w:ascii="Calibri" w:hAnsi="Calibri" w:eastAsia="Calibri"/>
                <w:color w:val="000000"/>
                <w:sz w:val="17"/>
              </w:rPr>
              <w:t>6.3 M</w:t>
            </w:r>
          </w:p>
        </w:tc>
        <w:tc>
          <w:tcPr>
            <w:tcW w:type="dxa" w:w="2610"/>
            <w:vAlign w:val="center"/>
            <w:tcMar>
              <w:top w:w="80" w:type="dxa"/>
              <w:start w:w="120" w:type="dxa"/>
              <w:bottom w:w="80" w:type="dxa"/>
              <w:end w:w="120" w:type="dxa"/>
            </w:tcMar>
          </w:tcPr>
          <w:p>
            <w:pPr>
              <w:spacing w:after="0"/>
            </w:pPr>
            <w:r>
              <w:rPr>
                <w:rFonts w:ascii="Calibri" w:hAnsi="Calibri" w:eastAsia="Calibri"/>
                <w:color w:val="000000"/>
                <w:sz w:val="17"/>
              </w:rPr>
              <w:t>0.60 h/US; 1.26 M/US</w:t>
            </w:r>
          </w:p>
        </w:tc>
      </w:tr>
      <w:tr>
        <w:trPr>
          <w:cantSplit/>
        </w:trPr>
        <w:tc>
          <w:tcPr>
            <w:tcW w:type="dxa" w:w="1000"/>
            <w:vAlign w:val="center"/>
            <w:tcMar>
              <w:top w:w="80" w:type="dxa"/>
              <w:start w:w="120" w:type="dxa"/>
              <w:bottom w:w="80" w:type="dxa"/>
              <w:end w:w="120" w:type="dxa"/>
            </w:tcMar>
          </w:tcPr>
          <w:p>
            <w:pPr>
              <w:spacing w:after="0"/>
            </w:pPr>
            <w:r>
              <w:rPr>
                <w:rFonts w:ascii="Calibri" w:hAnsi="Calibri" w:eastAsia="Calibri"/>
                <w:color w:val="000000"/>
                <w:sz w:val="17"/>
              </w:rPr>
              <w:t>2 + 3</w:t>
            </w:r>
          </w:p>
        </w:tc>
        <w:tc>
          <w:tcPr>
            <w:tcW w:type="dxa" w:w="3500"/>
            <w:vAlign w:val="center"/>
            <w:tcMar>
              <w:top w:w="80" w:type="dxa"/>
              <w:start w:w="120" w:type="dxa"/>
              <w:bottom w:w="80" w:type="dxa"/>
              <w:end w:w="120" w:type="dxa"/>
            </w:tcMar>
          </w:tcPr>
          <w:p>
            <w:pPr>
              <w:spacing w:after="0"/>
            </w:pPr>
            <w:r>
              <w:rPr>
                <w:rFonts w:ascii="Calibri" w:hAnsi="Calibri" w:eastAsia="Calibri"/>
                <w:color w:val="000000"/>
                <w:sz w:val="17"/>
              </w:rPr>
              <w:t>Meter 01–03; Invoice 01–04 (7)</w:t>
            </w:r>
          </w:p>
        </w:tc>
        <w:tc>
          <w:tcPr>
            <w:tcW w:type="dxa" w:w="1050"/>
            <w:vAlign w:val="center"/>
            <w:tcMar>
              <w:top w:w="80" w:type="dxa"/>
              <w:start w:w="120" w:type="dxa"/>
              <w:bottom w:w="80" w:type="dxa"/>
              <w:end w:w="120" w:type="dxa"/>
            </w:tcMar>
          </w:tcPr>
          <w:p>
            <w:pPr>
              <w:spacing w:after="0"/>
            </w:pPr>
            <w:r>
              <w:rPr>
                <w:rFonts w:ascii="Calibri" w:hAnsi="Calibri" w:eastAsia="Calibri"/>
                <w:color w:val="000000"/>
                <w:sz w:val="17"/>
              </w:rPr>
              <w:t>5 h</w:t>
            </w:r>
          </w:p>
        </w:tc>
        <w:tc>
          <w:tcPr>
            <w:tcW w:type="dxa" w:w="1200"/>
            <w:vAlign w:val="center"/>
            <w:tcMar>
              <w:top w:w="80" w:type="dxa"/>
              <w:start w:w="120" w:type="dxa"/>
              <w:bottom w:w="80" w:type="dxa"/>
              <w:end w:w="120" w:type="dxa"/>
            </w:tcMar>
          </w:tcPr>
          <w:p>
            <w:pPr>
              <w:spacing w:after="0"/>
            </w:pPr>
            <w:r>
              <w:rPr>
                <w:rFonts w:ascii="Calibri" w:hAnsi="Calibri" w:eastAsia="Calibri"/>
                <w:color w:val="000000"/>
                <w:sz w:val="17"/>
              </w:rPr>
              <w:t>13.0 M</w:t>
            </w:r>
          </w:p>
        </w:tc>
        <w:tc>
          <w:tcPr>
            <w:tcW w:type="dxa" w:w="2610"/>
            <w:vAlign w:val="center"/>
            <w:tcMar>
              <w:top w:w="80" w:type="dxa"/>
              <w:start w:w="120" w:type="dxa"/>
              <w:bottom w:w="80" w:type="dxa"/>
              <w:end w:w="120" w:type="dxa"/>
            </w:tcMar>
          </w:tcPr>
          <w:p>
            <w:pPr>
              <w:spacing w:after="0"/>
            </w:pPr>
            <w:r>
              <w:rPr>
                <w:rFonts w:ascii="Calibri" w:hAnsi="Calibri" w:eastAsia="Calibri"/>
                <w:color w:val="000000"/>
                <w:sz w:val="17"/>
              </w:rPr>
              <w:t>0.71 h/US; 1.86 M/US</w:t>
            </w:r>
          </w:p>
        </w:tc>
      </w:tr>
      <w:tr>
        <w:trPr>
          <w:cantSplit/>
        </w:trPr>
        <w:tc>
          <w:tcPr>
            <w:tcW w:type="dxa" w:w="1000"/>
            <w:vAlign w:val="center"/>
            <w:tcMar>
              <w:top w:w="80" w:type="dxa"/>
              <w:start w:w="120" w:type="dxa"/>
              <w:bottom w:w="80" w:type="dxa"/>
              <w:end w:w="120" w:type="dxa"/>
            </w:tcMar>
          </w:tcPr>
          <w:p>
            <w:pPr>
              <w:spacing w:after="0"/>
            </w:pPr>
            <w:r>
              <w:rPr>
                <w:rFonts w:ascii="Calibri" w:hAnsi="Calibri" w:eastAsia="Calibri"/>
                <w:color w:val="000000"/>
                <w:sz w:val="17"/>
              </w:rPr>
              <w:t>4</w:t>
            </w:r>
          </w:p>
        </w:tc>
        <w:tc>
          <w:tcPr>
            <w:tcW w:type="dxa" w:w="3500"/>
            <w:vAlign w:val="center"/>
            <w:tcMar>
              <w:top w:w="80" w:type="dxa"/>
              <w:start w:w="120" w:type="dxa"/>
              <w:bottom w:w="80" w:type="dxa"/>
              <w:end w:w="120" w:type="dxa"/>
            </w:tcMar>
          </w:tcPr>
          <w:p>
            <w:pPr>
              <w:spacing w:after="0"/>
            </w:pPr>
            <w:r>
              <w:rPr>
                <w:rFonts w:ascii="Calibri" w:hAnsi="Calibri" w:eastAsia="Calibri"/>
                <w:color w:val="000000"/>
                <w:sz w:val="17"/>
              </w:rPr>
              <w:t>Dashboard 03–04 (2)</w:t>
            </w:r>
          </w:p>
        </w:tc>
        <w:tc>
          <w:tcPr>
            <w:tcW w:type="dxa" w:w="1050"/>
            <w:vAlign w:val="center"/>
            <w:tcMar>
              <w:top w:w="80" w:type="dxa"/>
              <w:start w:w="120" w:type="dxa"/>
              <w:bottom w:w="80" w:type="dxa"/>
              <w:end w:w="120" w:type="dxa"/>
            </w:tcMar>
          </w:tcPr>
          <w:p>
            <w:pPr>
              <w:spacing w:after="0"/>
            </w:pPr>
            <w:r>
              <w:rPr>
                <w:rFonts w:ascii="Calibri" w:hAnsi="Calibri" w:eastAsia="Calibri"/>
                <w:color w:val="000000"/>
                <w:sz w:val="17"/>
              </w:rPr>
              <w:t>2 h</w:t>
            </w:r>
          </w:p>
        </w:tc>
        <w:tc>
          <w:tcPr>
            <w:tcW w:type="dxa" w:w="1200"/>
            <w:vAlign w:val="center"/>
            <w:tcMar>
              <w:top w:w="80" w:type="dxa"/>
              <w:start w:w="120" w:type="dxa"/>
              <w:bottom w:w="80" w:type="dxa"/>
              <w:end w:w="120" w:type="dxa"/>
            </w:tcMar>
          </w:tcPr>
          <w:p>
            <w:pPr>
              <w:spacing w:after="0"/>
            </w:pPr>
            <w:r>
              <w:rPr>
                <w:rFonts w:ascii="Calibri" w:hAnsi="Calibri" w:eastAsia="Calibri"/>
                <w:color w:val="000000"/>
                <w:sz w:val="17"/>
              </w:rPr>
              <w:t>2.5 M</w:t>
            </w:r>
          </w:p>
        </w:tc>
        <w:tc>
          <w:tcPr>
            <w:tcW w:type="dxa" w:w="2610"/>
            <w:vAlign w:val="center"/>
            <w:tcMar>
              <w:top w:w="80" w:type="dxa"/>
              <w:start w:w="120" w:type="dxa"/>
              <w:bottom w:w="80" w:type="dxa"/>
              <w:end w:w="120" w:type="dxa"/>
            </w:tcMar>
          </w:tcPr>
          <w:p>
            <w:pPr>
              <w:spacing w:after="0"/>
            </w:pPr>
            <w:r>
              <w:rPr>
                <w:rFonts w:ascii="Calibri" w:hAnsi="Calibri" w:eastAsia="Calibri"/>
                <w:color w:val="000000"/>
                <w:sz w:val="17"/>
              </w:rPr>
              <w:t>1.00 h/US; 1.25 M/US</w:t>
            </w:r>
          </w:p>
        </w:tc>
      </w:tr>
      <w:tr>
        <w:trPr>
          <w:cantSplit/>
        </w:trPr>
        <w:tc>
          <w:tcPr>
            <w:tcW w:type="dxa" w:w="1000"/>
            <w:vAlign w:val="center"/>
            <w:tcMar>
              <w:top w:w="80" w:type="dxa"/>
              <w:start w:w="120" w:type="dxa"/>
              <w:bottom w:w="80" w:type="dxa"/>
              <w:end w:w="120" w:type="dxa"/>
            </w:tcMar>
          </w:tcPr>
          <w:p>
            <w:pPr>
              <w:spacing w:after="0"/>
            </w:pPr>
            <w:r>
              <w:rPr>
                <w:rFonts w:ascii="Calibri" w:hAnsi="Calibri" w:eastAsia="Calibri"/>
                <w:color w:val="000000"/>
                <w:sz w:val="17"/>
              </w:rPr>
              <w:t>TOTAL</w:t>
            </w:r>
          </w:p>
        </w:tc>
        <w:tc>
          <w:tcPr>
            <w:tcW w:type="dxa" w:w="3500"/>
            <w:vAlign w:val="center"/>
            <w:tcMar>
              <w:top w:w="80" w:type="dxa"/>
              <w:start w:w="120" w:type="dxa"/>
              <w:bottom w:w="80" w:type="dxa"/>
              <w:end w:w="120" w:type="dxa"/>
            </w:tcMar>
          </w:tcPr>
          <w:p>
            <w:pPr>
              <w:spacing w:after="0"/>
            </w:pPr>
            <w:r>
              <w:rPr>
                <w:rFonts w:ascii="Calibri" w:hAnsi="Calibri" w:eastAsia="Calibri"/>
                <w:color w:val="000000"/>
                <w:sz w:val="17"/>
              </w:rPr>
              <w:t>14 assigned stories</w:t>
            </w:r>
          </w:p>
        </w:tc>
        <w:tc>
          <w:tcPr>
            <w:tcW w:type="dxa" w:w="1050"/>
            <w:vAlign w:val="center"/>
            <w:tcMar>
              <w:top w:w="80" w:type="dxa"/>
              <w:start w:w="120" w:type="dxa"/>
              <w:bottom w:w="80" w:type="dxa"/>
              <w:end w:w="120" w:type="dxa"/>
            </w:tcMar>
          </w:tcPr>
          <w:p>
            <w:pPr>
              <w:spacing w:after="0"/>
            </w:pPr>
            <w:r>
              <w:rPr>
                <w:rFonts w:ascii="Calibri" w:hAnsi="Calibri" w:eastAsia="Calibri"/>
                <w:color w:val="000000"/>
                <w:sz w:val="17"/>
              </w:rPr>
              <w:t>10 h</w:t>
            </w:r>
          </w:p>
        </w:tc>
        <w:tc>
          <w:tcPr>
            <w:tcW w:type="dxa" w:w="1200"/>
            <w:vAlign w:val="center"/>
            <w:tcMar>
              <w:top w:w="80" w:type="dxa"/>
              <w:start w:w="120" w:type="dxa"/>
              <w:bottom w:w="80" w:type="dxa"/>
              <w:end w:w="120" w:type="dxa"/>
            </w:tcMar>
          </w:tcPr>
          <w:p>
            <w:pPr>
              <w:spacing w:after="0"/>
            </w:pPr>
            <w:r>
              <w:rPr>
                <w:rFonts w:ascii="Calibri" w:hAnsi="Calibri" w:eastAsia="Calibri"/>
                <w:color w:val="000000"/>
                <w:sz w:val="17"/>
              </w:rPr>
              <w:t>21.8 M</w:t>
            </w:r>
          </w:p>
        </w:tc>
        <w:tc>
          <w:tcPr>
            <w:tcW w:type="dxa" w:w="2610"/>
            <w:vAlign w:val="center"/>
            <w:tcMar>
              <w:top w:w="80" w:type="dxa"/>
              <w:start w:w="120" w:type="dxa"/>
              <w:bottom w:w="80" w:type="dxa"/>
              <w:end w:w="120" w:type="dxa"/>
            </w:tcMar>
          </w:tcPr>
          <w:p>
            <w:pPr>
              <w:spacing w:after="0"/>
            </w:pPr>
            <w:r>
              <w:rPr>
                <w:rFonts w:ascii="Calibri" w:hAnsi="Calibri" w:eastAsia="Calibri"/>
                <w:color w:val="000000"/>
                <w:sz w:val="17"/>
              </w:rPr>
              <w:t>0.71 h/US; 1.56 M/US</w:t>
            </w:r>
          </w:p>
        </w:tc>
      </w:tr>
    </w:tbl>
    <w:p>
      <w:pPr>
        <w:spacing w:after="20"/>
        <w:widowControl w:val="1"/>
      </w:pPr>
    </w:p>
    <w:p>
      <w:pPr>
        <w:widowControl w:val="1"/>
      </w:pPr>
      <w:r>
        <w:br w:type="page"/>
      </w:r>
    </w:p>
    <w:p>
      <w:pPr>
        <w:pStyle w:val="Heading1"/>
        <w:widowControl w:val="1"/>
      </w:pPr>
      <w:r>
        <w:t>4. Interpretation and productivity analysis</w:t>
      </w:r>
    </w:p>
    <w:p>
      <w:pPr>
        <w:pStyle w:val="Heading2"/>
        <w:widowControl w:val="1"/>
      </w:pPr>
      <w:r>
        <w:t>What the measurements do support</w:t>
      </w:r>
    </w:p>
    <w:p>
      <w:pPr>
        <w:pStyle w:val="ListBullet"/>
        <w:spacing w:after="100" w:line="280" w:lineRule="auto"/>
        <w:ind w:left="720" w:hanging="360"/>
        <w:widowControl w:val="1"/>
      </w:pPr>
      <w:r>
        <w:rPr>
          <w:rFonts w:ascii="Calibri" w:hAnsi="Calibri" w:eastAsia="Calibri"/>
          <w:color w:val="000000"/>
          <w:sz w:val="22"/>
        </w:rPr>
        <w:t>AI agents can complete bounded backend story packages in hours rather than the proposal's multi-week coding phases.</w:t>
      </w:r>
    </w:p>
    <w:p>
      <w:pPr>
        <w:pStyle w:val="ListBullet"/>
        <w:spacing w:after="100" w:line="280" w:lineRule="auto"/>
        <w:ind w:left="720" w:hanging="360"/>
        <w:widowControl w:val="1"/>
      </w:pPr>
      <w:r>
        <w:rPr>
          <w:rFonts w:ascii="Calibri" w:hAnsi="Calibri" w:eastAsia="Calibri"/>
          <w:color w:val="000000"/>
          <w:sz w:val="22"/>
        </w:rPr>
        <w:t>Batching by dependency domain allows parallel work: Auth, Property/Room and Billing Foundation can proceed independently in Batch 1.</w:t>
      </w:r>
    </w:p>
    <w:p>
      <w:pPr>
        <w:pStyle w:val="ListBullet"/>
        <w:spacing w:after="100" w:line="280" w:lineRule="auto"/>
        <w:ind w:left="720" w:hanging="360"/>
        <w:widowControl w:val="1"/>
      </w:pPr>
      <w:r>
        <w:rPr>
          <w:rFonts w:ascii="Calibri" w:hAnsi="Calibri" w:eastAsia="Calibri"/>
          <w:color w:val="000000"/>
          <w:sz w:val="22"/>
        </w:rPr>
        <w:t>The largest time package includes infrastructure, tests, frontend setup, bug fixing and documentation, demonstrating that non-story work materially affects delivery effort.</w:t>
      </w:r>
    </w:p>
    <w:p>
      <w:pPr>
        <w:pStyle w:val="Heading2"/>
        <w:widowControl w:val="1"/>
      </w:pPr>
      <w:r>
        <w:t>What the measurements do not support</w:t>
      </w:r>
    </w:p>
    <w:p>
      <w:pPr>
        <w:pStyle w:val="ListBullet"/>
        <w:spacing w:after="100" w:line="280" w:lineRule="auto"/>
        <w:ind w:left="720" w:hanging="360"/>
        <w:widowControl w:val="1"/>
      </w:pPr>
      <w:r>
        <w:rPr>
          <w:rFonts w:ascii="Calibri" w:hAnsi="Calibri" w:eastAsia="Calibri"/>
          <w:color w:val="000000"/>
          <w:sz w:val="22"/>
        </w:rPr>
        <w:t>They do not prove all acceptance criteria passed or that every story was deployed successfully.</w:t>
      </w:r>
    </w:p>
    <w:p>
      <w:pPr>
        <w:pStyle w:val="ListBullet"/>
        <w:spacing w:after="100" w:line="280" w:lineRule="auto"/>
        <w:ind w:left="720" w:hanging="360"/>
        <w:widowControl w:val="1"/>
      </w:pPr>
      <w:r>
        <w:rPr>
          <w:rFonts w:ascii="Calibri" w:hAnsi="Calibri" w:eastAsia="Calibri"/>
          <w:color w:val="000000"/>
          <w:sz w:val="22"/>
        </w:rPr>
        <w:t>They do not prove one model is more efficient: token definitions and task complexity differ.</w:t>
      </w:r>
    </w:p>
    <w:p>
      <w:pPr>
        <w:pStyle w:val="ListBullet"/>
        <w:spacing w:after="100" w:line="280" w:lineRule="auto"/>
        <w:ind w:left="720" w:hanging="360"/>
        <w:widowControl w:val="1"/>
      </w:pPr>
      <w:r>
        <w:rPr>
          <w:rFonts w:ascii="Calibri" w:hAnsi="Calibri" w:eastAsia="Calibri"/>
          <w:color w:val="000000"/>
          <w:sz w:val="22"/>
        </w:rPr>
        <w:t>They do not measure frontend, integration, stakeholder feedback, production operations or blocked time consistently.</w:t>
      </w:r>
    </w:p>
    <w:p>
      <w:pPr>
        <w:pStyle w:val="ListBullet"/>
        <w:spacing w:after="100" w:line="280" w:lineRule="auto"/>
        <w:ind w:left="720" w:hanging="360"/>
        <w:widowControl w:val="1"/>
      </w:pPr>
      <w:r>
        <w:rPr>
          <w:rFonts w:ascii="Calibri" w:hAnsi="Calibri" w:eastAsia="Calibri"/>
          <w:color w:val="000000"/>
          <w:sz w:val="22"/>
        </w:rPr>
        <w:t>They do not justify multiplying a single average across the whole backlog without complexity and dependency buffers.</w:t>
      </w:r>
    </w:p>
    <w:p>
      <w:pPr>
        <w:pStyle w:val="Heading2"/>
        <w:widowControl w:val="1"/>
      </w:pPr>
      <w:r>
        <w:t>Reference rates</w:t>
      </w:r>
    </w:p>
    <w:tbl>
      <w:tblPr>
        <w:tblStyle w:val="TableGrid"/>
        <w:tblW w:type="dxa" w:w="9360"/>
        <w:tblLayout w:type="fixed"/>
        <w:tblLook w:firstColumn="1" w:firstRow="1" w:lastColumn="0" w:lastRow="0" w:noHBand="0" w:noVBand="1" w:val="04A0"/>
        <w:jc w:val="left"/>
        <w:tblInd w:w="120" w:type="dxa"/>
      </w:tblPr>
      <w:tblGrid>
        <w:gridCol w:w="2100"/>
        <w:gridCol w:w="1800"/>
        <w:gridCol w:w="2870"/>
        <w:gridCol w:w="2590"/>
      </w:tblGrid>
      <w:tr>
        <w:trPr>
          <w:tblHeader w:val="true"/>
          <w:cantSplit/>
        </w:trPr>
        <w:tc>
          <w:tcPr>
            <w:tcW w:type="dxa" w:w="21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Rate</w:t>
            </w:r>
          </w:p>
        </w:tc>
        <w:tc>
          <w:tcPr>
            <w:tcW w:type="dxa" w:w="18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Value</w:t>
            </w:r>
          </w:p>
        </w:tc>
        <w:tc>
          <w:tcPr>
            <w:tcW w:type="dxa" w:w="287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Use</w:t>
            </w:r>
          </w:p>
        </w:tc>
        <w:tc>
          <w:tcPr>
            <w:tcW w:type="dxa" w:w="259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Caution</w:t>
            </w:r>
          </w:p>
        </w:tc>
      </w:tr>
      <w:tr>
        <w:trPr>
          <w:cantSplit/>
        </w:trPr>
        <w:tc>
          <w:tcPr>
            <w:tcW w:type="dxa" w:w="2100"/>
            <w:vAlign w:val="center"/>
            <w:tcMar>
              <w:top w:w="80" w:type="dxa"/>
              <w:start w:w="120" w:type="dxa"/>
              <w:bottom w:w="80" w:type="dxa"/>
              <w:end w:w="120" w:type="dxa"/>
            </w:tcMar>
          </w:tcPr>
          <w:p>
            <w:pPr>
              <w:spacing w:after="0"/>
            </w:pPr>
            <w:r>
              <w:rPr>
                <w:rFonts w:ascii="Calibri" w:hAnsi="Calibri" w:eastAsia="Calibri"/>
                <w:color w:val="000000"/>
                <w:sz w:val="17"/>
              </w:rPr>
              <w:t>Story-only weighted rate</w:t>
            </w:r>
          </w:p>
        </w:tc>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0.65 h/US</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Optimistic backend coding benchmark from Minh + Đạt</w:t>
            </w:r>
          </w:p>
        </w:tc>
        <w:tc>
          <w:tcPr>
            <w:tcW w:type="dxa" w:w="2590"/>
            <w:vAlign w:val="center"/>
            <w:tcMar>
              <w:top w:w="80" w:type="dxa"/>
              <w:start w:w="120" w:type="dxa"/>
              <w:bottom w:w="80" w:type="dxa"/>
              <w:end w:w="120" w:type="dxa"/>
            </w:tcMar>
          </w:tcPr>
          <w:p>
            <w:pPr>
              <w:spacing w:after="0"/>
            </w:pPr>
            <w:r>
              <w:rPr>
                <w:rFonts w:ascii="Calibri" w:hAnsi="Calibri" w:eastAsia="Calibri"/>
                <w:color w:val="000000"/>
                <w:sz w:val="17"/>
              </w:rPr>
              <w:t>Excludes Chí's technical overhead and full DoD</w:t>
            </w:r>
          </w:p>
        </w:tc>
      </w:tr>
      <w:tr>
        <w:trPr>
          <w:cantSplit/>
        </w:trPr>
        <w:tc>
          <w:tcPr>
            <w:tcW w:type="dxa" w:w="2100"/>
            <w:vAlign w:val="center"/>
            <w:tcMar>
              <w:top w:w="80" w:type="dxa"/>
              <w:start w:w="120" w:type="dxa"/>
              <w:bottom w:w="80" w:type="dxa"/>
              <w:end w:w="120" w:type="dxa"/>
            </w:tcMar>
          </w:tcPr>
          <w:p>
            <w:pPr>
              <w:spacing w:after="0"/>
            </w:pPr>
            <w:r>
              <w:rPr>
                <w:rFonts w:ascii="Calibri" w:hAnsi="Calibri" w:eastAsia="Calibri"/>
                <w:color w:val="000000"/>
                <w:sz w:val="17"/>
              </w:rPr>
              <w:t>Team blended rate</w:t>
            </w:r>
          </w:p>
        </w:tc>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1.39 h/claimed US</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Most-likely planning anchor for 34 provisional stories</w:t>
            </w:r>
          </w:p>
        </w:tc>
        <w:tc>
          <w:tcPr>
            <w:tcW w:type="dxa" w:w="2590"/>
            <w:vAlign w:val="center"/>
            <w:tcMar>
              <w:top w:w="80" w:type="dxa"/>
              <w:start w:w="120" w:type="dxa"/>
              <w:bottom w:w="80" w:type="dxa"/>
              <w:end w:w="120" w:type="dxa"/>
            </w:tcMar>
          </w:tcPr>
          <w:p>
            <w:pPr>
              <w:spacing w:after="0"/>
            </w:pPr>
            <w:r>
              <w:rPr>
                <w:rFonts w:ascii="Calibri" w:hAnsi="Calibri" w:eastAsia="Calibri"/>
                <w:color w:val="000000"/>
                <w:sz w:val="17"/>
              </w:rPr>
              <w:t>Depends on provisional story count</w:t>
            </w:r>
          </w:p>
        </w:tc>
      </w:tr>
      <w:tr>
        <w:trPr>
          <w:cantSplit/>
        </w:trPr>
        <w:tc>
          <w:tcPr>
            <w:tcW w:type="dxa" w:w="2100"/>
            <w:vAlign w:val="center"/>
            <w:tcMar>
              <w:top w:w="80" w:type="dxa"/>
              <w:start w:w="120" w:type="dxa"/>
              <w:bottom w:w="80" w:type="dxa"/>
              <w:end w:w="120" w:type="dxa"/>
            </w:tcMar>
          </w:tcPr>
          <w:p>
            <w:pPr>
              <w:spacing w:after="0"/>
            </w:pPr>
            <w:r>
              <w:rPr>
                <w:rFonts w:ascii="Calibri" w:hAnsi="Calibri" w:eastAsia="Calibri"/>
                <w:color w:val="000000"/>
                <w:sz w:val="17"/>
              </w:rPr>
              <w:t>Overhead-heavy rate</w:t>
            </w:r>
          </w:p>
        </w:tc>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2.33 h/US-equivalent</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Pessimistic bound from Chí's mixed package</w:t>
            </w:r>
          </w:p>
        </w:tc>
        <w:tc>
          <w:tcPr>
            <w:tcW w:type="dxa" w:w="2590"/>
            <w:vAlign w:val="center"/>
            <w:tcMar>
              <w:top w:w="80" w:type="dxa"/>
              <w:start w:w="120" w:type="dxa"/>
              <w:bottom w:w="80" w:type="dxa"/>
              <w:end w:w="120" w:type="dxa"/>
            </w:tcMar>
          </w:tcPr>
          <w:p>
            <w:pPr>
              <w:spacing w:after="0"/>
            </w:pPr>
            <w:r>
              <w:rPr>
                <w:rFonts w:ascii="Calibri" w:hAnsi="Calibri" w:eastAsia="Calibri"/>
                <w:color w:val="000000"/>
                <w:sz w:val="17"/>
              </w:rPr>
              <w:t>Not a pure per-story measure</w:t>
            </w:r>
          </w:p>
        </w:tc>
      </w:tr>
      <w:tr>
        <w:trPr>
          <w:cantSplit/>
        </w:trPr>
        <w:tc>
          <w:tcPr>
            <w:tcW w:type="dxa" w:w="2100"/>
            <w:vAlign w:val="center"/>
            <w:tcMar>
              <w:top w:w="80" w:type="dxa"/>
              <w:start w:w="120" w:type="dxa"/>
              <w:bottom w:w="80" w:type="dxa"/>
              <w:end w:w="120" w:type="dxa"/>
            </w:tcMar>
          </w:tcPr>
          <w:p>
            <w:pPr>
              <w:spacing w:after="0"/>
            </w:pPr>
            <w:r>
              <w:rPr>
                <w:rFonts w:ascii="Calibri" w:hAnsi="Calibri" w:eastAsia="Calibri"/>
                <w:color w:val="000000"/>
                <w:sz w:val="17"/>
              </w:rPr>
              <w:t>Token central reference</w:t>
            </w:r>
          </w:p>
        </w:tc>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4.12 M/US</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Minh + Đạt story-only aggregate</w:t>
            </w:r>
          </w:p>
        </w:tc>
        <w:tc>
          <w:tcPr>
            <w:tcW w:type="dxa" w:w="2590"/>
            <w:vAlign w:val="center"/>
            <w:tcMar>
              <w:top w:w="80" w:type="dxa"/>
              <w:start w:w="120" w:type="dxa"/>
              <w:bottom w:w="80" w:type="dxa"/>
              <w:end w:w="120" w:type="dxa"/>
            </w:tcMar>
          </w:tcPr>
          <w:p>
            <w:pPr>
              <w:spacing w:after="0"/>
            </w:pPr>
            <w:r>
              <w:rPr>
                <w:rFonts w:ascii="Calibri" w:hAnsi="Calibri" w:eastAsia="Calibri"/>
                <w:color w:val="000000"/>
                <w:sz w:val="17"/>
              </w:rPr>
              <w:t>Very wide observed range; not a cost quote</w:t>
            </w:r>
          </w:p>
        </w:tc>
      </w:tr>
    </w:tbl>
    <w:p>
      <w:pPr>
        <w:spacing w:after="20"/>
        <w:widowControl w:val="1"/>
      </w:pPr>
    </w:p>
    <w:p>
      <w:pPr>
        <w:pStyle w:val="Heading2"/>
        <w:widowControl w:val="1"/>
      </w:pPr>
      <w:r>
        <w:t>Three-point estimate</w:t>
      </w:r>
    </w:p>
    <w:p>
      <w:pPr>
        <w:spacing w:after="120"/>
        <w:widowControl w:val="1"/>
      </w:pPr>
      <w:r>
        <w:rPr>
          <w:rFonts w:ascii="Calibri" w:hAnsi="Calibri" w:eastAsia="Calibri"/>
          <w:i w:val="0"/>
          <w:color w:val="000000"/>
          <w:sz w:val="22"/>
        </w:rPr>
        <w:t>For planning only, use O = 0.65 h/US, M = 1.39 h/US and P = 2.33 h/US. PERT expected effort is (O + 4M + P) / 6 = 1.42 h per remaining backend story before integration and contingency.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17365D"/>
                <w:sz w:val="21"/>
              </w:rPr>
              <w:t xml:space="preserve">Recommended estimator. </w:t>
            </w:r>
            <w:r>
              <w:rPr>
                <w:rFonts w:ascii="Calibri" w:hAnsi="Calibri" w:eastAsia="Calibri"/>
                <w:color w:val="000000"/>
                <w:sz w:val="21"/>
              </w:rPr>
              <w:t>Use user-story throughput for schedule, token volume for AI capacity/cost monitoring, and quality/deployment evidence for completion. Do not use token count alone as a proxy for progress.</w:t>
            </w:r>
          </w:p>
        </w:tc>
      </w:tr>
    </w:tbl>
    <w:p>
      <w:pPr>
        <w:spacing w:after="20"/>
        <w:widowControl w:val="1"/>
      </w:pPr>
    </w:p>
    <w:p>
      <w:pPr>
        <w:widowControl w:val="1"/>
      </w:pPr>
      <w:r>
        <w:br w:type="page"/>
      </w:r>
    </w:p>
    <w:p>
      <w:pPr>
        <w:pStyle w:val="Heading1"/>
        <w:widowControl w:val="1"/>
      </w:pPr>
      <w:r>
        <w:t>5. Forward estimate and resource plan</w:t>
      </w:r>
    </w:p>
    <w:p>
      <w:pPr>
        <w:spacing w:after="120"/>
        <w:widowControl w:val="1"/>
      </w:pPr>
      <w:r>
        <w:rPr>
          <w:rFonts w:ascii="Calibri" w:hAnsi="Calibri" w:eastAsia="Calibri"/>
          <w:i w:val="0"/>
          <w:color w:val="000000"/>
          <w:sz w:val="22"/>
        </w:rPr>
        <w:t>A provisional 34 of 55 backend stories are represented by the supplied work claims: Minh 5 Maintenance; Đạt 14 assigned stories; Chí 3 named Auth stories plus 12 Batch-2 Tenant/Lease stories. This leaves 21 nominal stories. The count must be reconciled against PR, test and deployment evidence.</w:t>
      </w:r>
    </w:p>
    <w:tbl>
      <w:tblPr>
        <w:tblStyle w:val="TableGrid"/>
        <w:tblW w:type="dxa" w:w="9360"/>
        <w:tblLayout w:type="fixed"/>
        <w:tblLook w:firstColumn="1" w:firstRow="1" w:lastColumn="0" w:lastRow="0" w:noHBand="0" w:noVBand="1" w:val="04A0"/>
        <w:jc w:val="left"/>
        <w:tblInd w:w="120" w:type="dxa"/>
      </w:tblPr>
      <w:tblGrid>
        <w:gridCol w:w="1800"/>
        <w:gridCol w:w="2000"/>
        <w:gridCol w:w="1350"/>
        <w:gridCol w:w="4210"/>
      </w:tblGrid>
      <w:tr>
        <w:trPr>
          <w:tblHeader w:val="true"/>
          <w:cantSplit/>
        </w:trPr>
        <w:tc>
          <w:tcPr>
            <w:tcW w:type="dxa" w:w="18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Forecast layer</w:t>
            </w:r>
          </w:p>
        </w:tc>
        <w:tc>
          <w:tcPr>
            <w:tcW w:type="dxa" w:w="20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Formula</w:t>
            </w:r>
          </w:p>
        </w:tc>
        <w:tc>
          <w:tcPr>
            <w:tcW w:type="dxa" w:w="13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Effort</w:t>
            </w:r>
          </w:p>
        </w:tc>
        <w:tc>
          <w:tcPr>
            <w:tcW w:type="dxa" w:w="421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Meaning</w:t>
            </w:r>
          </w:p>
        </w:tc>
      </w:tr>
      <w:tr>
        <w:trPr>
          <w:cantSplit/>
        </w:trPr>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Base coding</w:t>
            </w:r>
          </w:p>
        </w:tc>
        <w:tc>
          <w:tcPr>
            <w:tcW w:type="dxa" w:w="2000"/>
            <w:vAlign w:val="center"/>
            <w:tcMar>
              <w:top w:w="80" w:type="dxa"/>
              <w:start w:w="120" w:type="dxa"/>
              <w:bottom w:w="80" w:type="dxa"/>
              <w:end w:w="120" w:type="dxa"/>
            </w:tcMar>
          </w:tcPr>
          <w:p>
            <w:pPr>
              <w:spacing w:after="0"/>
            </w:pPr>
            <w:r>
              <w:rPr>
                <w:rFonts w:ascii="Calibri" w:hAnsi="Calibri" w:eastAsia="Calibri"/>
                <w:color w:val="000000"/>
                <w:sz w:val="17"/>
              </w:rPr>
              <w:t>21 × 1.42 h</w:t>
            </w:r>
          </w:p>
        </w:tc>
        <w:tc>
          <w:tcPr>
            <w:tcW w:type="dxa" w:w="1350"/>
            <w:vAlign w:val="center"/>
            <w:tcMar>
              <w:top w:w="80" w:type="dxa"/>
              <w:start w:w="120" w:type="dxa"/>
              <w:bottom w:w="80" w:type="dxa"/>
              <w:end w:w="120" w:type="dxa"/>
            </w:tcMar>
          </w:tcPr>
          <w:p>
            <w:pPr>
              <w:spacing w:after="0"/>
            </w:pPr>
            <w:r>
              <w:rPr>
                <w:rFonts w:ascii="Calibri" w:hAnsi="Calibri" w:eastAsia="Calibri"/>
                <w:color w:val="000000"/>
                <w:sz w:val="17"/>
              </w:rPr>
              <w:t>29.8 h</w:t>
            </w:r>
          </w:p>
        </w:tc>
        <w:tc>
          <w:tcPr>
            <w:tcW w:type="dxa" w:w="4210"/>
            <w:vAlign w:val="center"/>
            <w:tcMar>
              <w:top w:w="80" w:type="dxa"/>
              <w:start w:w="120" w:type="dxa"/>
              <w:bottom w:w="80" w:type="dxa"/>
              <w:end w:w="120" w:type="dxa"/>
            </w:tcMar>
          </w:tcPr>
          <w:p>
            <w:pPr>
              <w:spacing w:after="0"/>
            </w:pPr>
            <w:r>
              <w:rPr>
                <w:rFonts w:ascii="Calibri" w:hAnsi="Calibri" w:eastAsia="Calibri"/>
                <w:color w:val="000000"/>
                <w:sz w:val="17"/>
              </w:rPr>
              <w:t>Expected agent-supported implementation</w:t>
            </w:r>
          </w:p>
        </w:tc>
      </w:tr>
      <w:tr>
        <w:trPr>
          <w:cantSplit/>
        </w:trPr>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Integration &amp; DoD</w:t>
            </w:r>
          </w:p>
        </w:tc>
        <w:tc>
          <w:tcPr>
            <w:tcW w:type="dxa" w:w="2000"/>
            <w:vAlign w:val="center"/>
            <w:tcMar>
              <w:top w:w="80" w:type="dxa"/>
              <w:start w:w="120" w:type="dxa"/>
              <w:bottom w:w="80" w:type="dxa"/>
              <w:end w:w="120" w:type="dxa"/>
            </w:tcMar>
          </w:tcPr>
          <w:p>
            <w:pPr>
              <w:spacing w:after="0"/>
            </w:pPr>
            <w:r>
              <w:rPr>
                <w:rFonts w:ascii="Calibri" w:hAnsi="Calibri" w:eastAsia="Calibri"/>
                <w:color w:val="000000"/>
                <w:sz w:val="17"/>
              </w:rPr>
              <w:t>Base × 1.30</w:t>
            </w:r>
          </w:p>
        </w:tc>
        <w:tc>
          <w:tcPr>
            <w:tcW w:type="dxa" w:w="1350"/>
            <w:vAlign w:val="center"/>
            <w:tcMar>
              <w:top w:w="80" w:type="dxa"/>
              <w:start w:w="120" w:type="dxa"/>
              <w:bottom w:w="80" w:type="dxa"/>
              <w:end w:w="120" w:type="dxa"/>
            </w:tcMar>
          </w:tcPr>
          <w:p>
            <w:pPr>
              <w:spacing w:after="0"/>
            </w:pPr>
            <w:r>
              <w:rPr>
                <w:rFonts w:ascii="Calibri" w:hAnsi="Calibri" w:eastAsia="Calibri"/>
                <w:color w:val="000000"/>
                <w:sz w:val="17"/>
              </w:rPr>
              <w:t>38.8 h</w:t>
            </w:r>
          </w:p>
        </w:tc>
        <w:tc>
          <w:tcPr>
            <w:tcW w:type="dxa" w:w="4210"/>
            <w:vAlign w:val="center"/>
            <w:tcMar>
              <w:top w:w="80" w:type="dxa"/>
              <w:start w:w="120" w:type="dxa"/>
              <w:bottom w:w="80" w:type="dxa"/>
              <w:end w:w="120" w:type="dxa"/>
            </w:tcMar>
          </w:tcPr>
          <w:p>
            <w:pPr>
              <w:spacing w:after="0"/>
            </w:pPr>
            <w:r>
              <w:rPr>
                <w:rFonts w:ascii="Calibri" w:hAnsi="Calibri" w:eastAsia="Calibri"/>
                <w:color w:val="000000"/>
                <w:sz w:val="17"/>
              </w:rPr>
              <w:t>Review, tests, migrations, integration, deployment verification</w:t>
            </w:r>
          </w:p>
        </w:tc>
      </w:tr>
      <w:tr>
        <w:trPr>
          <w:cantSplit/>
        </w:trPr>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Planning commitment</w:t>
            </w:r>
          </w:p>
        </w:tc>
        <w:tc>
          <w:tcPr>
            <w:tcW w:type="dxa" w:w="2000"/>
            <w:vAlign w:val="center"/>
            <w:tcMar>
              <w:top w:w="80" w:type="dxa"/>
              <w:start w:w="120" w:type="dxa"/>
              <w:bottom w:w="80" w:type="dxa"/>
              <w:end w:w="120" w:type="dxa"/>
            </w:tcMar>
          </w:tcPr>
          <w:p>
            <w:pPr>
              <w:spacing w:after="0"/>
            </w:pPr>
            <w:r>
              <w:rPr>
                <w:rFonts w:ascii="Calibri" w:hAnsi="Calibri" w:eastAsia="Calibri"/>
                <w:color w:val="000000"/>
                <w:sz w:val="17"/>
              </w:rPr>
              <w:t>Integrated × 1.20</w:t>
            </w:r>
          </w:p>
        </w:tc>
        <w:tc>
          <w:tcPr>
            <w:tcW w:type="dxa" w:w="1350"/>
            <w:vAlign w:val="center"/>
            <w:tcMar>
              <w:top w:w="80" w:type="dxa"/>
              <w:start w:w="120" w:type="dxa"/>
              <w:bottom w:w="80" w:type="dxa"/>
              <w:end w:w="120" w:type="dxa"/>
            </w:tcMar>
          </w:tcPr>
          <w:p>
            <w:pPr>
              <w:spacing w:after="0"/>
            </w:pPr>
            <w:r>
              <w:rPr>
                <w:rFonts w:ascii="Calibri" w:hAnsi="Calibri" w:eastAsia="Calibri"/>
                <w:color w:val="000000"/>
                <w:sz w:val="17"/>
              </w:rPr>
              <w:t>46.5 h</w:t>
            </w:r>
          </w:p>
        </w:tc>
        <w:tc>
          <w:tcPr>
            <w:tcW w:type="dxa" w:w="4210"/>
            <w:vAlign w:val="center"/>
            <w:tcMar>
              <w:top w:w="80" w:type="dxa"/>
              <w:start w:w="120" w:type="dxa"/>
              <w:bottom w:w="80" w:type="dxa"/>
              <w:end w:w="120" w:type="dxa"/>
            </w:tcMar>
          </w:tcPr>
          <w:p>
            <w:pPr>
              <w:spacing w:after="0"/>
            </w:pPr>
            <w:r>
              <w:rPr>
                <w:rFonts w:ascii="Calibri" w:hAnsi="Calibri" w:eastAsia="Calibri"/>
                <w:color w:val="000000"/>
                <w:sz w:val="17"/>
              </w:rPr>
              <w:t>Risk reserve for ambiguity, defects and rework</w:t>
            </w:r>
          </w:p>
        </w:tc>
      </w:tr>
      <w:tr>
        <w:trPr>
          <w:cantSplit/>
        </w:trPr>
        <w:tc>
          <w:tcPr>
            <w:tcW w:type="dxa" w:w="1800"/>
            <w:vAlign w:val="center"/>
            <w:tcMar>
              <w:top w:w="80" w:type="dxa"/>
              <w:start w:w="120" w:type="dxa"/>
              <w:bottom w:w="80" w:type="dxa"/>
              <w:end w:w="120" w:type="dxa"/>
            </w:tcMar>
          </w:tcPr>
          <w:p>
            <w:pPr>
              <w:spacing w:after="0"/>
            </w:pPr>
            <w:r>
              <w:rPr>
                <w:rFonts w:ascii="Calibri" w:hAnsi="Calibri" w:eastAsia="Calibri"/>
                <w:color w:val="000000"/>
                <w:sz w:val="17"/>
              </w:rPr>
              <w:t>Ideal 3-BE parallel lead time</w:t>
            </w:r>
          </w:p>
        </w:tc>
        <w:tc>
          <w:tcPr>
            <w:tcW w:type="dxa" w:w="2000"/>
            <w:vAlign w:val="center"/>
            <w:tcMar>
              <w:top w:w="80" w:type="dxa"/>
              <w:start w:w="120" w:type="dxa"/>
              <w:bottom w:w="80" w:type="dxa"/>
              <w:end w:w="120" w:type="dxa"/>
            </w:tcMar>
          </w:tcPr>
          <w:p>
            <w:pPr>
              <w:spacing w:after="0"/>
            </w:pPr>
            <w:r>
              <w:rPr>
                <w:rFonts w:ascii="Calibri" w:hAnsi="Calibri" w:eastAsia="Calibri"/>
                <w:color w:val="000000"/>
                <w:sz w:val="17"/>
              </w:rPr>
              <w:t>Commitment ÷ 3</w:t>
            </w:r>
          </w:p>
        </w:tc>
        <w:tc>
          <w:tcPr>
            <w:tcW w:type="dxa" w:w="1350"/>
            <w:vAlign w:val="center"/>
            <w:tcMar>
              <w:top w:w="80" w:type="dxa"/>
              <w:start w:w="120" w:type="dxa"/>
              <w:bottom w:w="80" w:type="dxa"/>
              <w:end w:w="120" w:type="dxa"/>
            </w:tcMar>
          </w:tcPr>
          <w:p>
            <w:pPr>
              <w:spacing w:after="0"/>
            </w:pPr>
            <w:r>
              <w:rPr>
                <w:rFonts w:ascii="Calibri" w:hAnsi="Calibri" w:eastAsia="Calibri"/>
                <w:color w:val="000000"/>
                <w:sz w:val="17"/>
              </w:rPr>
              <w:t>15.5 h</w:t>
            </w:r>
          </w:p>
        </w:tc>
        <w:tc>
          <w:tcPr>
            <w:tcW w:type="dxa" w:w="4210"/>
            <w:vAlign w:val="center"/>
            <w:tcMar>
              <w:top w:w="80" w:type="dxa"/>
              <w:start w:w="120" w:type="dxa"/>
              <w:bottom w:w="80" w:type="dxa"/>
              <w:end w:w="120" w:type="dxa"/>
            </w:tcMar>
          </w:tcPr>
          <w:p>
            <w:pPr>
              <w:spacing w:after="0"/>
            </w:pPr>
            <w:r>
              <w:rPr>
                <w:rFonts w:ascii="Calibri" w:hAnsi="Calibri" w:eastAsia="Calibri"/>
                <w:color w:val="000000"/>
                <w:sz w:val="17"/>
              </w:rPr>
              <w:t>Theoretical; dependency and review queues increase calendar time</w:t>
            </w:r>
          </w:p>
        </w:tc>
      </w:tr>
    </w:tbl>
    <w:p>
      <w:pPr>
        <w:spacing w:after="20"/>
        <w:widowControl w:val="1"/>
      </w:pPr>
    </w:p>
    <w:p>
      <w:pPr>
        <w:spacing w:after="120"/>
        <w:widowControl w:val="1"/>
      </w:pPr>
      <w:r>
        <w:rPr>
          <w:rFonts w:ascii="Calibri" w:hAnsi="Calibri" w:eastAsia="Calibri"/>
          <w:b/>
          <w:color w:val="000000"/>
          <w:sz w:val="22"/>
        </w:rPr>
        <w:t>Recommended calendar commitment for remaining backend scope:</w:t>
      </w:r>
      <w:r>
        <w:rPr>
          <w:rFonts w:ascii="Calibri" w:hAnsi="Calibri" w:eastAsia="Calibri"/>
          <w:i w:val="0"/>
          <w:color w:val="000000"/>
          <w:sz w:val="22"/>
        </w:rPr>
        <w:t xml:space="preserve"> 3–5 focused working days with three backend members, provided API contracts are frozen and no high-severity integration defect appears. This forecast excludes unmeasured frontend completion, pilot feedback and long-running operational support.</w:t>
      </w:r>
    </w:p>
    <w:p>
      <w:pPr>
        <w:pStyle w:val="Heading2"/>
        <w:widowControl w:val="1"/>
      </w:pPr>
      <w:r>
        <w:t>Token capacity forecast</w:t>
      </w:r>
    </w:p>
    <w:tbl>
      <w:tblPr>
        <w:tblStyle w:val="TableGrid"/>
        <w:tblW w:type="dxa" w:w="9360"/>
        <w:tblLayout w:type="fixed"/>
        <w:tblLook w:firstColumn="1" w:firstRow="1" w:lastColumn="0" w:lastRow="0" w:noHBand="0" w:noVBand="1" w:val="04A0"/>
        <w:jc w:val="left"/>
        <w:tblInd w:w="120" w:type="dxa"/>
      </w:tblPr>
      <w:tblGrid>
        <w:gridCol w:w="1550"/>
        <w:gridCol w:w="1700"/>
        <w:gridCol w:w="2100"/>
        <w:gridCol w:w="4010"/>
      </w:tblGrid>
      <w:tr>
        <w:trPr>
          <w:tblHeader w:val="true"/>
          <w:cantSplit/>
        </w:trPr>
        <w:tc>
          <w:tcPr>
            <w:tcW w:type="dxa" w:w="155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Scenario</w:t>
            </w:r>
          </w:p>
        </w:tc>
        <w:tc>
          <w:tcPr>
            <w:tcW w:type="dxa" w:w="17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Rate</w:t>
            </w:r>
          </w:p>
        </w:tc>
        <w:tc>
          <w:tcPr>
            <w:tcW w:type="dxa" w:w="21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21-story volume</w:t>
            </w:r>
          </w:p>
        </w:tc>
        <w:tc>
          <w:tcPr>
            <w:tcW w:type="dxa" w:w="401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Use</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8"/>
              </w:rPr>
              <w:t>Low</w:t>
            </w:r>
          </w:p>
        </w:tc>
        <w:tc>
          <w:tcPr>
            <w:tcW w:type="dxa" w:w="1700"/>
            <w:vAlign w:val="center"/>
            <w:tcMar>
              <w:top w:w="80" w:type="dxa"/>
              <w:start w:w="120" w:type="dxa"/>
              <w:bottom w:w="80" w:type="dxa"/>
              <w:end w:w="120" w:type="dxa"/>
            </w:tcMar>
          </w:tcPr>
          <w:p>
            <w:pPr>
              <w:spacing w:after="0"/>
            </w:pPr>
            <w:r>
              <w:rPr>
                <w:rFonts w:ascii="Calibri" w:hAnsi="Calibri" w:eastAsia="Calibri"/>
                <w:color w:val="000000"/>
                <w:sz w:val="18"/>
              </w:rPr>
              <w:t>1.56 M/US</w:t>
            </w:r>
          </w:p>
        </w:tc>
        <w:tc>
          <w:tcPr>
            <w:tcW w:type="dxa" w:w="2100"/>
            <w:vAlign w:val="center"/>
            <w:tcMar>
              <w:top w:w="80" w:type="dxa"/>
              <w:start w:w="120" w:type="dxa"/>
              <w:bottom w:w="80" w:type="dxa"/>
              <w:end w:w="120" w:type="dxa"/>
            </w:tcMar>
          </w:tcPr>
          <w:p>
            <w:pPr>
              <w:spacing w:after="0"/>
            </w:pPr>
            <w:r>
              <w:rPr>
                <w:rFonts w:ascii="Calibri" w:hAnsi="Calibri" w:eastAsia="Calibri"/>
                <w:color w:val="000000"/>
                <w:sz w:val="18"/>
              </w:rPr>
              <w:t>≈ 32.8 M</w:t>
            </w:r>
          </w:p>
        </w:tc>
        <w:tc>
          <w:tcPr>
            <w:tcW w:type="dxa" w:w="4010"/>
            <w:vAlign w:val="center"/>
            <w:tcMar>
              <w:top w:w="80" w:type="dxa"/>
              <w:start w:w="120" w:type="dxa"/>
              <w:bottom w:w="80" w:type="dxa"/>
              <w:end w:w="120" w:type="dxa"/>
            </w:tcMar>
          </w:tcPr>
          <w:p>
            <w:pPr>
              <w:spacing w:after="0"/>
            </w:pPr>
            <w:r>
              <w:rPr>
                <w:rFonts w:ascii="Calibri" w:hAnsi="Calibri" w:eastAsia="Calibri"/>
                <w:color w:val="000000"/>
                <w:sz w:val="18"/>
              </w:rPr>
              <w:t>Compact contexts and CRUD-like stories</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8"/>
              </w:rPr>
              <w:t>Central</w:t>
            </w:r>
          </w:p>
        </w:tc>
        <w:tc>
          <w:tcPr>
            <w:tcW w:type="dxa" w:w="1700"/>
            <w:vAlign w:val="center"/>
            <w:tcMar>
              <w:top w:w="80" w:type="dxa"/>
              <w:start w:w="120" w:type="dxa"/>
              <w:bottom w:w="80" w:type="dxa"/>
              <w:end w:w="120" w:type="dxa"/>
            </w:tcMar>
          </w:tcPr>
          <w:p>
            <w:pPr>
              <w:spacing w:after="0"/>
            </w:pPr>
            <w:r>
              <w:rPr>
                <w:rFonts w:ascii="Calibri" w:hAnsi="Calibri" w:eastAsia="Calibri"/>
                <w:color w:val="000000"/>
                <w:sz w:val="18"/>
              </w:rPr>
              <w:t>4.12 M/US</w:t>
            </w:r>
          </w:p>
        </w:tc>
        <w:tc>
          <w:tcPr>
            <w:tcW w:type="dxa" w:w="2100"/>
            <w:vAlign w:val="center"/>
            <w:tcMar>
              <w:top w:w="80" w:type="dxa"/>
              <w:start w:w="120" w:type="dxa"/>
              <w:bottom w:w="80" w:type="dxa"/>
              <w:end w:w="120" w:type="dxa"/>
            </w:tcMar>
          </w:tcPr>
          <w:p>
            <w:pPr>
              <w:spacing w:after="0"/>
            </w:pPr>
            <w:r>
              <w:rPr>
                <w:rFonts w:ascii="Calibri" w:hAnsi="Calibri" w:eastAsia="Calibri"/>
                <w:color w:val="000000"/>
                <w:sz w:val="18"/>
              </w:rPr>
              <w:t>≈ 86.6 M</w:t>
            </w:r>
          </w:p>
        </w:tc>
        <w:tc>
          <w:tcPr>
            <w:tcW w:type="dxa" w:w="4010"/>
            <w:vAlign w:val="center"/>
            <w:tcMar>
              <w:top w:w="80" w:type="dxa"/>
              <w:start w:w="120" w:type="dxa"/>
              <w:bottom w:w="80" w:type="dxa"/>
              <w:end w:w="120" w:type="dxa"/>
            </w:tcMar>
          </w:tcPr>
          <w:p>
            <w:pPr>
              <w:spacing w:after="0"/>
            </w:pPr>
            <w:r>
              <w:rPr>
                <w:rFonts w:ascii="Calibri" w:hAnsi="Calibri" w:eastAsia="Calibri"/>
                <w:color w:val="000000"/>
                <w:sz w:val="18"/>
              </w:rPr>
              <w:t>Story-only observed aggregate</w:t>
            </w:r>
          </w:p>
        </w:tc>
      </w:tr>
      <w:tr>
        <w:trPr>
          <w:cantSplit/>
        </w:trPr>
        <w:tc>
          <w:tcPr>
            <w:tcW w:type="dxa" w:w="1550"/>
            <w:vAlign w:val="center"/>
            <w:tcMar>
              <w:top w:w="80" w:type="dxa"/>
              <w:start w:w="120" w:type="dxa"/>
              <w:bottom w:w="80" w:type="dxa"/>
              <w:end w:w="120" w:type="dxa"/>
            </w:tcMar>
          </w:tcPr>
          <w:p>
            <w:pPr>
              <w:spacing w:after="0"/>
            </w:pPr>
            <w:r>
              <w:rPr>
                <w:rFonts w:ascii="Calibri" w:hAnsi="Calibri" w:eastAsia="Calibri"/>
                <w:color w:val="000000"/>
                <w:sz w:val="18"/>
              </w:rPr>
              <w:t>High</w:t>
            </w:r>
          </w:p>
        </w:tc>
        <w:tc>
          <w:tcPr>
            <w:tcW w:type="dxa" w:w="1700"/>
            <w:vAlign w:val="center"/>
            <w:tcMar>
              <w:top w:w="80" w:type="dxa"/>
              <w:start w:w="120" w:type="dxa"/>
              <w:bottom w:w="80" w:type="dxa"/>
              <w:end w:w="120" w:type="dxa"/>
            </w:tcMar>
          </w:tcPr>
          <w:p>
            <w:pPr>
              <w:spacing w:after="0"/>
            </w:pPr>
            <w:r>
              <w:rPr>
                <w:rFonts w:ascii="Calibri" w:hAnsi="Calibri" w:eastAsia="Calibri"/>
                <w:color w:val="000000"/>
                <w:sz w:val="18"/>
              </w:rPr>
              <w:t>11.31 M/US</w:t>
            </w:r>
          </w:p>
        </w:tc>
        <w:tc>
          <w:tcPr>
            <w:tcW w:type="dxa" w:w="2100"/>
            <w:vAlign w:val="center"/>
            <w:tcMar>
              <w:top w:w="80" w:type="dxa"/>
              <w:start w:w="120" w:type="dxa"/>
              <w:bottom w:w="80" w:type="dxa"/>
              <w:end w:w="120" w:type="dxa"/>
            </w:tcMar>
          </w:tcPr>
          <w:p>
            <w:pPr>
              <w:spacing w:after="0"/>
            </w:pPr>
            <w:r>
              <w:rPr>
                <w:rFonts w:ascii="Calibri" w:hAnsi="Calibri" w:eastAsia="Calibri"/>
                <w:color w:val="000000"/>
                <w:sz w:val="18"/>
              </w:rPr>
              <w:t>≈ 237.6 M</w:t>
            </w:r>
          </w:p>
        </w:tc>
        <w:tc>
          <w:tcPr>
            <w:tcW w:type="dxa" w:w="4010"/>
            <w:vAlign w:val="center"/>
            <w:tcMar>
              <w:top w:w="80" w:type="dxa"/>
              <w:start w:w="120" w:type="dxa"/>
              <w:bottom w:w="80" w:type="dxa"/>
              <w:end w:w="120" w:type="dxa"/>
            </w:tcMar>
          </w:tcPr>
          <w:p>
            <w:pPr>
              <w:spacing w:after="0"/>
            </w:pPr>
            <w:r>
              <w:rPr>
                <w:rFonts w:ascii="Calibri" w:hAnsi="Calibri" w:eastAsia="Calibri"/>
                <w:color w:val="000000"/>
                <w:sz w:val="18"/>
              </w:rPr>
              <w:t>Large cached contexts, repeated review/debug cycles</w:t>
            </w:r>
          </w:p>
        </w:tc>
      </w:tr>
    </w:tbl>
    <w:p>
      <w:pPr>
        <w:spacing w:after="20"/>
        <w:widowControl w:val="1"/>
      </w:pPr>
    </w:p>
    <w:p>
      <w:pPr>
        <w:spacing w:after="120"/>
        <w:widowControl w:val="1"/>
      </w:pPr>
      <w:r>
        <w:rPr>
          <w:rFonts w:ascii="Calibri" w:hAnsi="Calibri" w:eastAsia="Calibri"/>
          <w:i/>
          <w:color w:val="666666"/>
          <w:sz w:val="22"/>
        </w:rPr>
        <w:t>The range is intentionally wide. It should be narrowed after another 5–10 stories are measured using one telemetry schema and the same definition of total token.</w:t>
      </w:r>
    </w:p>
    <w:p>
      <w:pPr>
        <w:pStyle w:val="Heading2"/>
        <w:widowControl w:val="1"/>
      </w:pPr>
      <w:r>
        <w:t>Resource allocation</w:t>
      </w:r>
    </w:p>
    <w:tbl>
      <w:tblPr>
        <w:tblStyle w:val="TableGrid"/>
        <w:tblW w:type="dxa" w:w="9360"/>
        <w:tblLayout w:type="fixed"/>
        <w:tblLook w:firstColumn="1" w:firstRow="1" w:lastColumn="0" w:lastRow="0" w:noHBand="0" w:noVBand="1" w:val="04A0"/>
        <w:jc w:val="left"/>
        <w:tblInd w:w="120" w:type="dxa"/>
      </w:tblPr>
      <w:tblGrid>
        <w:gridCol w:w="1750"/>
        <w:gridCol w:w="3900"/>
        <w:gridCol w:w="3710"/>
      </w:tblGrid>
      <w:tr>
        <w:trPr>
          <w:tblHeader w:val="true"/>
          <w:cantSplit/>
        </w:trPr>
        <w:tc>
          <w:tcPr>
            <w:tcW w:type="dxa" w:w="175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Resource</w:t>
            </w:r>
          </w:p>
        </w:tc>
        <w:tc>
          <w:tcPr>
            <w:tcW w:type="dxa" w:w="39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Current role</w:t>
            </w:r>
          </w:p>
        </w:tc>
        <w:tc>
          <w:tcPr>
            <w:tcW w:type="dxa" w:w="371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Planning control</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7"/>
              </w:rPr>
              <w:t>BE1 Chí</w:t>
            </w:r>
          </w:p>
        </w:tc>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Auth; Tenant/Lease; Dashboard 01–02; integration support</w:t>
            </w:r>
          </w:p>
        </w:tc>
        <w:tc>
          <w:tcPr>
            <w:tcW w:type="dxa" w:w="3710"/>
            <w:vAlign w:val="center"/>
            <w:tcMar>
              <w:top w:w="80" w:type="dxa"/>
              <w:start w:w="120" w:type="dxa"/>
              <w:bottom w:w="80" w:type="dxa"/>
              <w:end w:w="120" w:type="dxa"/>
            </w:tcMar>
          </w:tcPr>
          <w:p>
            <w:pPr>
              <w:spacing w:after="0"/>
            </w:pPr>
            <w:r>
              <w:rPr>
                <w:rFonts w:ascii="Calibri" w:hAnsi="Calibri" w:eastAsia="Calibri"/>
                <w:color w:val="000000"/>
                <w:sz w:val="17"/>
              </w:rPr>
              <w:t>Limit WIP to one story plus one review item</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7"/>
              </w:rPr>
              <w:t>BE2 Đạt</w:t>
            </w:r>
          </w:p>
        </w:tc>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Property/Room; Meter; Invoice; Dashboard 03–04</w:t>
            </w:r>
          </w:p>
        </w:tc>
        <w:tc>
          <w:tcPr>
            <w:tcW w:type="dxa" w:w="3710"/>
            <w:vAlign w:val="center"/>
            <w:tcMar>
              <w:top w:w="80" w:type="dxa"/>
              <w:start w:w="120" w:type="dxa"/>
              <w:bottom w:w="80" w:type="dxa"/>
              <w:end w:w="120" w:type="dxa"/>
            </w:tcMar>
          </w:tcPr>
          <w:p>
            <w:pPr>
              <w:spacing w:after="0"/>
            </w:pPr>
            <w:r>
              <w:rPr>
                <w:rFonts w:ascii="Calibri" w:hAnsi="Calibri" w:eastAsia="Calibri"/>
                <w:color w:val="000000"/>
                <w:sz w:val="17"/>
              </w:rPr>
              <w:t>Own Batch 3 invoice integration gate</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7"/>
              </w:rPr>
              <w:t>BE3 Minh</w:t>
            </w:r>
          </w:p>
        </w:tc>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Utility/Charge; Maintenance; Payment/Reminder; Report</w:t>
            </w:r>
          </w:p>
        </w:tc>
        <w:tc>
          <w:tcPr>
            <w:tcW w:type="dxa" w:w="3710"/>
            <w:vAlign w:val="center"/>
            <w:tcMar>
              <w:top w:w="80" w:type="dxa"/>
              <w:start w:w="120" w:type="dxa"/>
              <w:bottom w:w="80" w:type="dxa"/>
              <w:end w:w="120" w:type="dxa"/>
            </w:tcMar>
          </w:tcPr>
          <w:p>
            <w:pPr>
              <w:spacing w:after="0"/>
            </w:pPr>
            <w:r>
              <w:rPr>
                <w:rFonts w:ascii="Calibri" w:hAnsi="Calibri" w:eastAsia="Calibri"/>
                <w:color w:val="000000"/>
                <w:sz w:val="17"/>
              </w:rPr>
              <w:t>Own telemetry and report data quality</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7"/>
              </w:rPr>
              <w:t>FE1/FE2</w:t>
            </w:r>
          </w:p>
        </w:tc>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Mobile UI and integration</w:t>
            </w:r>
          </w:p>
        </w:tc>
        <w:tc>
          <w:tcPr>
            <w:tcW w:type="dxa" w:w="3710"/>
            <w:vAlign w:val="center"/>
            <w:tcMar>
              <w:top w:w="80" w:type="dxa"/>
              <w:start w:w="120" w:type="dxa"/>
              <w:bottom w:w="80" w:type="dxa"/>
              <w:end w:w="120" w:type="dxa"/>
            </w:tcMar>
          </w:tcPr>
          <w:p>
            <w:pPr>
              <w:spacing w:after="0"/>
            </w:pPr>
            <w:r>
              <w:rPr>
                <w:rFonts w:ascii="Calibri" w:hAnsi="Calibri" w:eastAsia="Calibri"/>
                <w:color w:val="000000"/>
                <w:sz w:val="17"/>
              </w:rPr>
              <w:t>Record separate FE story time; do not merge with BE throughput</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7"/>
              </w:rPr>
              <w:t>AI assistants</w:t>
            </w:r>
          </w:p>
        </w:tc>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Generate/refine code, tests, docs and diagnostics</w:t>
            </w:r>
          </w:p>
        </w:tc>
        <w:tc>
          <w:tcPr>
            <w:tcW w:type="dxa" w:w="3710"/>
            <w:vAlign w:val="center"/>
            <w:tcMar>
              <w:top w:w="80" w:type="dxa"/>
              <w:start w:w="120" w:type="dxa"/>
              <w:bottom w:w="80" w:type="dxa"/>
              <w:end w:w="120" w:type="dxa"/>
            </w:tcMar>
          </w:tcPr>
          <w:p>
            <w:pPr>
              <w:spacing w:after="0"/>
            </w:pPr>
            <w:r>
              <w:rPr>
                <w:rFonts w:ascii="Calibri" w:hAnsi="Calibri" w:eastAsia="Calibri"/>
                <w:color w:val="000000"/>
                <w:sz w:val="17"/>
              </w:rPr>
              <w:t>One story per task; human review required</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7"/>
              </w:rPr>
              <w:t>Platform</w:t>
            </w:r>
          </w:p>
        </w:tc>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GitHub, PostgreSQL, Docker/cloud, CI, telemetry</w:t>
            </w:r>
          </w:p>
        </w:tc>
        <w:tc>
          <w:tcPr>
            <w:tcW w:type="dxa" w:w="3710"/>
            <w:vAlign w:val="center"/>
            <w:tcMar>
              <w:top w:w="80" w:type="dxa"/>
              <w:start w:w="120" w:type="dxa"/>
              <w:bottom w:w="80" w:type="dxa"/>
              <w:end w:w="120" w:type="dxa"/>
            </w:tcMar>
          </w:tcPr>
          <w:p>
            <w:pPr>
              <w:spacing w:after="0"/>
            </w:pPr>
            <w:r>
              <w:rPr>
                <w:rFonts w:ascii="Calibri" w:hAnsi="Calibri" w:eastAsia="Calibri"/>
                <w:color w:val="000000"/>
                <w:sz w:val="17"/>
              </w:rPr>
              <w:t>Track uptime, deploy cost and service consumption</w:t>
            </w:r>
          </w:p>
        </w:tc>
      </w:tr>
    </w:tbl>
    <w:p>
      <w:pPr>
        <w:spacing w:after="20"/>
        <w:widowControl w:val="1"/>
      </w:pPr>
    </w:p>
    <w:p>
      <w:pPr>
        <w:widowControl w:val="1"/>
      </w:pPr>
      <w:r>
        <w:br w:type="page"/>
      </w:r>
    </w:p>
    <w:p>
      <w:pPr>
        <w:pStyle w:val="Heading1"/>
        <w:widowControl w:val="1"/>
      </w:pPr>
      <w:r>
        <w:t>6. Cost model</w:t>
      </w:r>
    </w:p>
    <w:p>
      <w:pPr>
        <w:pStyle w:val="Heading2"/>
        <w:widowControl w:val="1"/>
      </w:pPr>
      <w:r>
        <w:t>Observed cash cost</w:t>
      </w:r>
    </w:p>
    <w:p>
      <w:pPr>
        <w:spacing w:after="120"/>
        <w:widowControl w:val="1"/>
      </w:pPr>
      <w:r>
        <w:rPr>
          <w:rFonts w:ascii="Calibri" w:hAnsi="Calibri" w:eastAsia="Calibri"/>
          <w:i w:val="0"/>
          <w:color w:val="000000"/>
          <w:sz w:val="22"/>
        </w:rPr>
        <w:t>For the measured work, the incremental AI assistant cash cost is recorded as 0 VND: GPT-5.6 Sol was accessed through a one-month Plus trial and Hy3 was reported as free. Subscription entitlement has no verified post-trial price in the supplied evidence.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eastAsia="Calibri"/>
                <w:b/>
                <w:color w:val="17365D"/>
                <w:sz w:val="21"/>
              </w:rPr>
              <w:t xml:space="preserve">Cost statement. </w:t>
            </w:r>
            <w:r>
              <w:rPr>
                <w:rFonts w:ascii="Calibri" w:hAnsi="Calibri" w:eastAsia="Calibri"/>
                <w:color w:val="000000"/>
                <w:sz w:val="21"/>
              </w:rPr>
              <w:t>Free trial means zero current cash outflow, not zero resource consumption. Tokens, developer time, compute, hosting and future subscription renewal remain economically relevant.</w:t>
            </w:r>
          </w:p>
        </w:tc>
      </w:tr>
    </w:tbl>
    <w:p>
      <w:pPr>
        <w:spacing w:after="20"/>
        <w:widowControl w:val="1"/>
      </w:pPr>
    </w:p>
    <w:p>
      <w:pPr>
        <w:pStyle w:val="Heading2"/>
        <w:widowControl w:val="1"/>
      </w:pPr>
      <w:r>
        <w:t>Shadow labor scenarios</w:t>
      </w:r>
    </w:p>
    <w:tbl>
      <w:tblPr>
        <w:tblStyle w:val="TableGrid"/>
        <w:tblW w:type="dxa" w:w="9360"/>
        <w:tblLayout w:type="fixed"/>
        <w:tblLook w:firstColumn="1" w:firstRow="1" w:lastColumn="0" w:lastRow="0" w:noHBand="0" w:noVBand="1" w:val="04A0"/>
        <w:jc w:val="left"/>
        <w:tblInd w:w="120" w:type="dxa"/>
      </w:tblPr>
      <w:tblGrid>
        <w:gridCol w:w="1900"/>
        <w:gridCol w:w="2400"/>
        <w:gridCol w:w="2400"/>
        <w:gridCol w:w="2660"/>
      </w:tblGrid>
      <w:tr>
        <w:trPr>
          <w:tblHeader w:val="true"/>
          <w:cantSplit/>
        </w:trPr>
        <w:tc>
          <w:tcPr>
            <w:tcW w:type="dxa" w:w="19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Hourly rate</w:t>
            </w:r>
          </w:p>
        </w:tc>
        <w:tc>
          <w:tcPr>
            <w:tcW w:type="dxa" w:w="24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Observed 47.38 h</w:t>
            </w:r>
          </w:p>
        </w:tc>
        <w:tc>
          <w:tcPr>
            <w:tcW w:type="dxa" w:w="24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Forecast 46.5 h</w:t>
            </w:r>
          </w:p>
        </w:tc>
        <w:tc>
          <w:tcPr>
            <w:tcW w:type="dxa" w:w="266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Combined</w:t>
            </w:r>
          </w:p>
        </w:tc>
      </w:tr>
      <w:tr>
        <w:trPr>
          <w:cantSplit/>
        </w:trPr>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50.000 VND/h</w:t>
            </w:r>
          </w:p>
        </w:tc>
        <w:tc>
          <w:tcPr>
            <w:tcW w:type="dxa" w:w="2400"/>
            <w:vAlign w:val="center"/>
            <w:tcMar>
              <w:top w:w="80" w:type="dxa"/>
              <w:start w:w="120" w:type="dxa"/>
              <w:bottom w:w="80" w:type="dxa"/>
              <w:end w:w="120" w:type="dxa"/>
            </w:tcMar>
          </w:tcPr>
          <w:p>
            <w:pPr>
              <w:spacing w:after="0"/>
              <w:jc w:val="center"/>
            </w:pPr>
            <w:r>
              <w:rPr>
                <w:rFonts w:ascii="Calibri" w:hAnsi="Calibri" w:eastAsia="Calibri"/>
                <w:color w:val="000000"/>
                <w:sz w:val="18"/>
              </w:rPr>
              <w:t>2.369.017 VND</w:t>
            </w:r>
          </w:p>
        </w:tc>
        <w:tc>
          <w:tcPr>
            <w:tcW w:type="dxa" w:w="2400"/>
            <w:vAlign w:val="center"/>
            <w:tcMar>
              <w:top w:w="80" w:type="dxa"/>
              <w:start w:w="120" w:type="dxa"/>
              <w:bottom w:w="80" w:type="dxa"/>
              <w:end w:w="120" w:type="dxa"/>
            </w:tcMar>
          </w:tcPr>
          <w:p>
            <w:pPr>
              <w:spacing w:after="0"/>
              <w:jc w:val="center"/>
            </w:pPr>
            <w:r>
              <w:rPr>
                <w:rFonts w:ascii="Calibri" w:hAnsi="Calibri" w:eastAsia="Calibri"/>
                <w:color w:val="000000"/>
                <w:sz w:val="18"/>
              </w:rPr>
              <w:t>2.325.960 VND</w:t>
            </w:r>
          </w:p>
        </w:tc>
        <w:tc>
          <w:tcPr>
            <w:tcW w:type="dxa" w:w="2660"/>
            <w:vAlign w:val="center"/>
            <w:tcMar>
              <w:top w:w="80" w:type="dxa"/>
              <w:start w:w="120" w:type="dxa"/>
              <w:bottom w:w="80" w:type="dxa"/>
              <w:end w:w="120" w:type="dxa"/>
            </w:tcMar>
          </w:tcPr>
          <w:p>
            <w:pPr>
              <w:spacing w:after="0"/>
              <w:jc w:val="center"/>
            </w:pPr>
            <w:r>
              <w:rPr>
                <w:rFonts w:ascii="Calibri" w:hAnsi="Calibri" w:eastAsia="Calibri"/>
                <w:color w:val="000000"/>
                <w:sz w:val="18"/>
              </w:rPr>
              <w:t>4.694.977 VND</w:t>
            </w:r>
          </w:p>
        </w:tc>
      </w:tr>
      <w:tr>
        <w:trPr>
          <w:cantSplit/>
        </w:trPr>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100.000 VND/h</w:t>
            </w:r>
          </w:p>
        </w:tc>
        <w:tc>
          <w:tcPr>
            <w:tcW w:type="dxa" w:w="2400"/>
            <w:vAlign w:val="center"/>
            <w:tcMar>
              <w:top w:w="80" w:type="dxa"/>
              <w:start w:w="120" w:type="dxa"/>
              <w:bottom w:w="80" w:type="dxa"/>
              <w:end w:w="120" w:type="dxa"/>
            </w:tcMar>
          </w:tcPr>
          <w:p>
            <w:pPr>
              <w:spacing w:after="0"/>
              <w:jc w:val="center"/>
            </w:pPr>
            <w:r>
              <w:rPr>
                <w:rFonts w:ascii="Calibri" w:hAnsi="Calibri" w:eastAsia="Calibri"/>
                <w:color w:val="000000"/>
                <w:sz w:val="18"/>
              </w:rPr>
              <w:t>4.738.033 VND</w:t>
            </w:r>
          </w:p>
        </w:tc>
        <w:tc>
          <w:tcPr>
            <w:tcW w:type="dxa" w:w="2400"/>
            <w:vAlign w:val="center"/>
            <w:tcMar>
              <w:top w:w="80" w:type="dxa"/>
              <w:start w:w="120" w:type="dxa"/>
              <w:bottom w:w="80" w:type="dxa"/>
              <w:end w:w="120" w:type="dxa"/>
            </w:tcMar>
          </w:tcPr>
          <w:p>
            <w:pPr>
              <w:spacing w:after="0"/>
              <w:jc w:val="center"/>
            </w:pPr>
            <w:r>
              <w:rPr>
                <w:rFonts w:ascii="Calibri" w:hAnsi="Calibri" w:eastAsia="Calibri"/>
                <w:color w:val="000000"/>
                <w:sz w:val="18"/>
              </w:rPr>
              <w:t>4.651.920 VND</w:t>
            </w:r>
          </w:p>
        </w:tc>
        <w:tc>
          <w:tcPr>
            <w:tcW w:type="dxa" w:w="2660"/>
            <w:vAlign w:val="center"/>
            <w:tcMar>
              <w:top w:w="80" w:type="dxa"/>
              <w:start w:w="120" w:type="dxa"/>
              <w:bottom w:w="80" w:type="dxa"/>
              <w:end w:w="120" w:type="dxa"/>
            </w:tcMar>
          </w:tcPr>
          <w:p>
            <w:pPr>
              <w:spacing w:after="0"/>
              <w:jc w:val="center"/>
            </w:pPr>
            <w:r>
              <w:rPr>
                <w:rFonts w:ascii="Calibri" w:hAnsi="Calibri" w:eastAsia="Calibri"/>
                <w:color w:val="000000"/>
                <w:sz w:val="18"/>
              </w:rPr>
              <w:t>9.389.953 VND</w:t>
            </w:r>
          </w:p>
        </w:tc>
      </w:tr>
      <w:tr>
        <w:trPr>
          <w:cantSplit/>
        </w:trPr>
        <w:tc>
          <w:tcPr>
            <w:tcW w:type="dxa" w:w="1900"/>
            <w:vAlign w:val="center"/>
            <w:tcMar>
              <w:top w:w="80" w:type="dxa"/>
              <w:start w:w="120" w:type="dxa"/>
              <w:bottom w:w="80" w:type="dxa"/>
              <w:end w:w="120" w:type="dxa"/>
            </w:tcMar>
          </w:tcPr>
          <w:p>
            <w:pPr>
              <w:spacing w:after="0"/>
              <w:jc w:val="center"/>
            </w:pPr>
            <w:r>
              <w:rPr>
                <w:rFonts w:ascii="Calibri" w:hAnsi="Calibri" w:eastAsia="Calibri"/>
                <w:color w:val="000000"/>
                <w:sz w:val="18"/>
              </w:rPr>
              <w:t>150.000 VND/h</w:t>
            </w:r>
          </w:p>
        </w:tc>
        <w:tc>
          <w:tcPr>
            <w:tcW w:type="dxa" w:w="2400"/>
            <w:vAlign w:val="center"/>
            <w:tcMar>
              <w:top w:w="80" w:type="dxa"/>
              <w:start w:w="120" w:type="dxa"/>
              <w:bottom w:w="80" w:type="dxa"/>
              <w:end w:w="120" w:type="dxa"/>
            </w:tcMar>
          </w:tcPr>
          <w:p>
            <w:pPr>
              <w:spacing w:after="0"/>
              <w:jc w:val="center"/>
            </w:pPr>
            <w:r>
              <w:rPr>
                <w:rFonts w:ascii="Calibri" w:hAnsi="Calibri" w:eastAsia="Calibri"/>
                <w:color w:val="000000"/>
                <w:sz w:val="18"/>
              </w:rPr>
              <w:t>7.107.050 VND</w:t>
            </w:r>
          </w:p>
        </w:tc>
        <w:tc>
          <w:tcPr>
            <w:tcW w:type="dxa" w:w="2400"/>
            <w:vAlign w:val="center"/>
            <w:tcMar>
              <w:top w:w="80" w:type="dxa"/>
              <w:start w:w="120" w:type="dxa"/>
              <w:bottom w:w="80" w:type="dxa"/>
              <w:end w:w="120" w:type="dxa"/>
            </w:tcMar>
          </w:tcPr>
          <w:p>
            <w:pPr>
              <w:spacing w:after="0"/>
              <w:jc w:val="center"/>
            </w:pPr>
            <w:r>
              <w:rPr>
                <w:rFonts w:ascii="Calibri" w:hAnsi="Calibri" w:eastAsia="Calibri"/>
                <w:color w:val="000000"/>
                <w:sz w:val="18"/>
              </w:rPr>
              <w:t>6.977.880 VND</w:t>
            </w:r>
          </w:p>
        </w:tc>
        <w:tc>
          <w:tcPr>
            <w:tcW w:type="dxa" w:w="2660"/>
            <w:vAlign w:val="center"/>
            <w:tcMar>
              <w:top w:w="80" w:type="dxa"/>
              <w:start w:w="120" w:type="dxa"/>
              <w:bottom w:w="80" w:type="dxa"/>
              <w:end w:w="120" w:type="dxa"/>
            </w:tcMar>
          </w:tcPr>
          <w:p>
            <w:pPr>
              <w:spacing w:after="0"/>
              <w:jc w:val="center"/>
            </w:pPr>
            <w:r>
              <w:rPr>
                <w:rFonts w:ascii="Calibri" w:hAnsi="Calibri" w:eastAsia="Calibri"/>
                <w:color w:val="000000"/>
                <w:sz w:val="18"/>
              </w:rPr>
              <w:t>14.084.930 VND</w:t>
            </w:r>
          </w:p>
        </w:tc>
      </w:tr>
    </w:tbl>
    <w:p>
      <w:pPr>
        <w:spacing w:after="20"/>
        <w:widowControl w:val="1"/>
      </w:pPr>
    </w:p>
    <w:p>
      <w:pPr>
        <w:spacing w:after="120"/>
        <w:widowControl w:val="1"/>
      </w:pPr>
      <w:r>
        <w:rPr>
          <w:rFonts w:ascii="Calibri" w:hAnsi="Calibri" w:eastAsia="Calibri"/>
          <w:i/>
          <w:color w:val="666666"/>
          <w:sz w:val="22"/>
        </w:rPr>
        <w:t>These are economic comparison scenarios, not amounts owed to student team members. The SOW must state whether labor is donated, graded coursework, or commercially billable.</w:t>
      </w:r>
    </w:p>
    <w:p>
      <w:pPr>
        <w:pStyle w:val="Heading2"/>
        <w:widowControl w:val="1"/>
      </w:pPr>
      <w:r>
        <w:t>AI/API cost formula</w:t>
      </w:r>
    </w:p>
    <w:p>
      <w:pPr>
        <w:spacing w:after="120"/>
        <w:widowControl w:val="1"/>
      </w:pPr>
      <w:r>
        <w:rPr>
          <w:rFonts w:ascii="Calibri" w:hAnsi="Calibri" w:eastAsia="Calibri"/>
          <w:i w:val="0"/>
          <w:color w:val="000000"/>
          <w:sz w:val="22"/>
        </w:rPr>
        <w:t>For subscription access: AI cash cost = subscription fees + overage fees. For API access: cost = Σ[(uncached input × input rate) + (cached input × cache rate) + (output × output rate)] / 1,000,000. Total tokens alone are insufficient because input, cached input and output rates differ.</w:t>
      </w:r>
    </w:p>
    <w:p>
      <w:pPr>
        <w:pStyle w:val="Heading2"/>
        <w:widowControl w:val="1"/>
      </w:pPr>
      <w:r>
        <w:t>Proposal budget reconciliation</w:t>
      </w:r>
    </w:p>
    <w:tbl>
      <w:tblPr>
        <w:tblStyle w:val="TableGrid"/>
        <w:tblW w:type="dxa" w:w="9360"/>
        <w:tblLayout w:type="fixed"/>
        <w:tblLook w:firstColumn="1" w:firstRow="1" w:lastColumn="0" w:lastRow="0" w:noHBand="0" w:noVBand="1" w:val="04A0"/>
        <w:jc w:val="left"/>
        <w:tblInd w:w="120" w:type="dxa"/>
      </w:tblPr>
      <w:tblGrid>
        <w:gridCol w:w="1900"/>
        <w:gridCol w:w="1300"/>
        <w:gridCol w:w="2870"/>
        <w:gridCol w:w="3290"/>
      </w:tblGrid>
      <w:tr>
        <w:trPr>
          <w:tblHeader w:val="true"/>
          <w:cantSplit/>
        </w:trPr>
        <w:tc>
          <w:tcPr>
            <w:tcW w:type="dxa" w:w="19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Proposal item</w:t>
            </w:r>
          </w:p>
        </w:tc>
        <w:tc>
          <w:tcPr>
            <w:tcW w:type="dxa" w:w="13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Budget</w:t>
            </w:r>
          </w:p>
        </w:tc>
        <w:tc>
          <w:tcPr>
            <w:tcW w:type="dxa" w:w="287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Actual status</w:t>
            </w:r>
          </w:p>
        </w:tc>
        <w:tc>
          <w:tcPr>
            <w:tcW w:type="dxa" w:w="329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Action</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7"/>
              </w:rPr>
              <w:t>AI development tools</w:t>
            </w:r>
          </w:p>
        </w:tc>
        <w:tc>
          <w:tcPr>
            <w:tcW w:type="dxa" w:w="1300"/>
            <w:vAlign w:val="center"/>
            <w:tcMar>
              <w:top w:w="80" w:type="dxa"/>
              <w:start w:w="120" w:type="dxa"/>
              <w:bottom w:w="80" w:type="dxa"/>
              <w:end w:w="120" w:type="dxa"/>
            </w:tcMar>
          </w:tcPr>
          <w:p>
            <w:pPr>
              <w:spacing w:after="0"/>
            </w:pPr>
            <w:r>
              <w:rPr>
                <w:rFonts w:ascii="Calibri" w:hAnsi="Calibri" w:eastAsia="Calibri"/>
                <w:color w:val="000000"/>
                <w:sz w:val="17"/>
              </w:rPr>
              <w:t>1.60 M VND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Measured samples used free/trial access</w:t>
            </w:r>
          </w:p>
        </w:tc>
        <w:tc>
          <w:tcPr>
            <w:tcW w:type="dxa" w:w="3290"/>
            <w:vAlign w:val="center"/>
            <w:tcMar>
              <w:top w:w="80" w:type="dxa"/>
              <w:start w:w="120" w:type="dxa"/>
              <w:bottom w:w="80" w:type="dxa"/>
              <w:end w:w="120" w:type="dxa"/>
            </w:tcMar>
          </w:tcPr>
          <w:p>
            <w:pPr>
              <w:spacing w:after="0"/>
            </w:pPr>
            <w:r>
              <w:rPr>
                <w:rFonts w:ascii="Calibri" w:hAnsi="Calibri" w:eastAsia="Calibri"/>
                <w:color w:val="000000"/>
                <w:sz w:val="17"/>
              </w:rPr>
              <w:t>Insert renewal date, seats and verified post-trial price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7"/>
              </w:rPr>
              <w:t>In-product LLM API</w:t>
            </w:r>
          </w:p>
        </w:tc>
        <w:tc>
          <w:tcPr>
            <w:tcW w:type="dxa" w:w="1300"/>
            <w:vAlign w:val="center"/>
            <w:tcMar>
              <w:top w:w="80" w:type="dxa"/>
              <w:start w:w="120" w:type="dxa"/>
              <w:bottom w:w="80" w:type="dxa"/>
              <w:end w:w="120" w:type="dxa"/>
            </w:tcMar>
          </w:tcPr>
          <w:p>
            <w:pPr>
              <w:spacing w:after="0"/>
            </w:pPr>
            <w:r>
              <w:rPr>
                <w:rFonts w:ascii="Calibri" w:hAnsi="Calibri" w:eastAsia="Calibri"/>
                <w:color w:val="000000"/>
                <w:sz w:val="17"/>
              </w:rPr>
              <w:t>0.90 M VND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Not evidenced in current backlog MVP</w:t>
            </w:r>
          </w:p>
        </w:tc>
        <w:tc>
          <w:tcPr>
            <w:tcW w:type="dxa" w:w="3290"/>
            <w:vAlign w:val="center"/>
            <w:tcMar>
              <w:top w:w="80" w:type="dxa"/>
              <w:start w:w="120" w:type="dxa"/>
              <w:bottom w:w="80" w:type="dxa"/>
              <w:end w:w="120" w:type="dxa"/>
            </w:tcMar>
          </w:tcPr>
          <w:p>
            <w:pPr>
              <w:spacing w:after="0"/>
            </w:pPr>
            <w:r>
              <w:rPr>
                <w:rFonts w:ascii="Calibri" w:hAnsi="Calibri" w:eastAsia="Calibri"/>
                <w:color w:val="000000"/>
                <w:sz w:val="17"/>
              </w:rPr>
              <w:t>Remove or approve as scope change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7"/>
              </w:rPr>
              <w:t>Cloud server + database</w:t>
            </w:r>
          </w:p>
        </w:tc>
        <w:tc>
          <w:tcPr>
            <w:tcW w:type="dxa" w:w="1300"/>
            <w:vAlign w:val="center"/>
            <w:tcMar>
              <w:top w:w="80" w:type="dxa"/>
              <w:start w:w="120" w:type="dxa"/>
              <w:bottom w:w="80" w:type="dxa"/>
              <w:end w:w="120" w:type="dxa"/>
            </w:tcMar>
          </w:tcPr>
          <w:p>
            <w:pPr>
              <w:spacing w:after="0"/>
            </w:pPr>
            <w:r>
              <w:rPr>
                <w:rFonts w:ascii="Calibri" w:hAnsi="Calibri" w:eastAsia="Calibri"/>
                <w:color w:val="000000"/>
                <w:sz w:val="17"/>
              </w:rPr>
              <w:t>0.80 M VND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Actual invoices/credits not supplied</w:t>
            </w:r>
          </w:p>
        </w:tc>
        <w:tc>
          <w:tcPr>
            <w:tcW w:type="dxa" w:w="3290"/>
            <w:vAlign w:val="center"/>
            <w:tcMar>
              <w:top w:w="80" w:type="dxa"/>
              <w:start w:w="120" w:type="dxa"/>
              <w:bottom w:w="80" w:type="dxa"/>
              <w:end w:w="120" w:type="dxa"/>
            </w:tcMar>
          </w:tcPr>
          <w:p>
            <w:pPr>
              <w:spacing w:after="0"/>
            </w:pPr>
            <w:r>
              <w:rPr>
                <w:rFonts w:ascii="Calibri" w:hAnsi="Calibri" w:eastAsia="Calibri"/>
                <w:color w:val="000000"/>
                <w:sz w:val="17"/>
              </w:rPr>
              <w:t>Attach provider, tier, period and invoice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7"/>
              </w:rPr>
              <w:t>Domain + SSL</w:t>
            </w:r>
          </w:p>
        </w:tc>
        <w:tc>
          <w:tcPr>
            <w:tcW w:type="dxa" w:w="1300"/>
            <w:vAlign w:val="center"/>
            <w:tcMar>
              <w:top w:w="80" w:type="dxa"/>
              <w:start w:w="120" w:type="dxa"/>
              <w:bottom w:w="80" w:type="dxa"/>
              <w:end w:w="120" w:type="dxa"/>
            </w:tcMar>
          </w:tcPr>
          <w:p>
            <w:pPr>
              <w:spacing w:after="0"/>
            </w:pPr>
            <w:r>
              <w:rPr>
                <w:rFonts w:ascii="Calibri" w:hAnsi="Calibri" w:eastAsia="Calibri"/>
                <w:color w:val="000000"/>
                <w:sz w:val="17"/>
              </w:rPr>
              <w:t>0.45 M VND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Actual purchase not supplied</w:t>
            </w:r>
          </w:p>
        </w:tc>
        <w:tc>
          <w:tcPr>
            <w:tcW w:type="dxa" w:w="3290"/>
            <w:vAlign w:val="center"/>
            <w:tcMar>
              <w:top w:w="80" w:type="dxa"/>
              <w:start w:w="120" w:type="dxa"/>
              <w:bottom w:w="80" w:type="dxa"/>
              <w:end w:w="120" w:type="dxa"/>
            </w:tcMar>
          </w:tcPr>
          <w:p>
            <w:pPr>
              <w:spacing w:after="0"/>
            </w:pPr>
            <w:r>
              <w:rPr>
                <w:rFonts w:ascii="Calibri" w:hAnsi="Calibri" w:eastAsia="Calibri"/>
                <w:color w:val="000000"/>
                <w:sz w:val="17"/>
              </w:rPr>
              <w:t>Note that managed SSL may be free; record invoice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7"/>
              </w:rPr>
              <w:t>Contingency</w:t>
            </w:r>
          </w:p>
        </w:tc>
        <w:tc>
          <w:tcPr>
            <w:tcW w:type="dxa" w:w="1300"/>
            <w:vAlign w:val="center"/>
            <w:tcMar>
              <w:top w:w="80" w:type="dxa"/>
              <w:start w:w="120" w:type="dxa"/>
              <w:bottom w:w="80" w:type="dxa"/>
              <w:end w:w="120" w:type="dxa"/>
            </w:tcMar>
          </w:tcPr>
          <w:p>
            <w:pPr>
              <w:spacing w:after="0"/>
            </w:pPr>
            <w:r>
              <w:rPr>
                <w:rFonts w:ascii="Calibri" w:hAnsi="Calibri" w:eastAsia="Calibri"/>
                <w:color w:val="000000"/>
                <w:sz w:val="17"/>
              </w:rPr>
              <w:t>0.50 M VND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Unspent/unknown</w:t>
            </w:r>
          </w:p>
        </w:tc>
        <w:tc>
          <w:tcPr>
            <w:tcW w:type="dxa" w:w="3290"/>
            <w:vAlign w:val="center"/>
            <w:tcMar>
              <w:top w:w="80" w:type="dxa"/>
              <w:start w:w="120" w:type="dxa"/>
              <w:bottom w:w="80" w:type="dxa"/>
              <w:end w:w="120" w:type="dxa"/>
            </w:tcMar>
          </w:tcPr>
          <w:p>
            <w:pPr>
              <w:spacing w:after="0"/>
            </w:pPr>
            <w:r>
              <w:rPr>
                <w:rFonts w:ascii="Calibri" w:hAnsi="Calibri" w:eastAsia="Calibri"/>
                <w:color w:val="000000"/>
                <w:sz w:val="17"/>
              </w:rPr>
              <w:t>Define release authority and threshold</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7"/>
              </w:rPr>
              <w:t>TOTAL</w:t>
            </w:r>
          </w:p>
        </w:tc>
        <w:tc>
          <w:tcPr>
            <w:tcW w:type="dxa" w:w="1300"/>
            <w:vAlign w:val="center"/>
            <w:tcMar>
              <w:top w:w="80" w:type="dxa"/>
              <w:start w:w="120" w:type="dxa"/>
              <w:bottom w:w="80" w:type="dxa"/>
              <w:end w:w="120" w:type="dxa"/>
            </w:tcMar>
          </w:tcPr>
          <w:p>
            <w:pPr>
              <w:spacing w:after="0"/>
            </w:pPr>
            <w:r>
              <w:rPr>
                <w:rFonts w:ascii="Calibri" w:hAnsi="Calibri" w:eastAsia="Calibri"/>
                <w:color w:val="000000"/>
                <w:sz w:val="17"/>
              </w:rPr>
              <w:t>4.25 M VND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7"/>
              </w:rPr>
              <w:t>Planning baseline, not actual burn</w:t>
            </w:r>
          </w:p>
        </w:tc>
        <w:tc>
          <w:tcPr>
            <w:tcW w:type="dxa" w:w="3290"/>
            <w:vAlign w:val="center"/>
            <w:tcMar>
              <w:top w:w="80" w:type="dxa"/>
              <w:start w:w="120" w:type="dxa"/>
              <w:bottom w:w="80" w:type="dxa"/>
              <w:end w:w="120" w:type="dxa"/>
            </w:tcMar>
          </w:tcPr>
          <w:p>
            <w:pPr>
              <w:spacing w:after="0"/>
            </w:pPr>
            <w:r>
              <w:rPr>
                <w:rFonts w:ascii="Calibri" w:hAnsi="Calibri" w:eastAsia="Calibri"/>
                <w:color w:val="000000"/>
                <w:sz w:val="17"/>
              </w:rPr>
              <w:t>Maintain planned / committed / actual / forecast-at-completion columns</w:t>
            </w:r>
          </w:p>
        </w:tc>
      </w:tr>
    </w:tbl>
    <w:p>
      <w:pPr>
        <w:spacing w:after="20"/>
        <w:widowControl w:val="1"/>
      </w:pPr>
    </w:p>
    <w:p>
      <w:pPr>
        <w:widowControl w:val="1"/>
      </w:pPr>
      <w:r>
        <w:br w:type="page"/>
      </w:r>
    </w:p>
    <w:p>
      <w:pPr>
        <w:pStyle w:val="Heading1"/>
        <w:widowControl w:val="1"/>
      </w:pPr>
      <w:r>
        <w:t>7. Project planning approach</w:t>
      </w:r>
    </w:p>
    <w:p>
      <w:pPr>
        <w:spacing w:after="120"/>
        <w:widowControl w:val="1"/>
      </w:pPr>
      <w:r>
        <w:rPr>
          <w:rFonts w:ascii="Calibri" w:hAnsi="Calibri" w:eastAsia="Calibri"/>
          <w:i w:val="0"/>
          <w:color w:val="000000"/>
          <w:sz w:val="22"/>
        </w:rPr>
        <w:t>A hybrid Kanban-by-batch model is the best fit. User stories flow on a Kanban board, while batch boundaries enforce dependency order and integration gates. This preserves fast AI execution without losing project control.</w:t>
      </w:r>
    </w:p>
    <w:p>
      <w:pPr>
        <w:pStyle w:val="Heading2"/>
        <w:widowControl w:val="1"/>
      </w:pPr>
      <w:r>
        <w:t>Board states and controls</w:t>
      </w:r>
    </w:p>
    <w:tbl>
      <w:tblPr>
        <w:tblStyle w:val="TableGrid"/>
        <w:tblW w:type="dxa" w:w="9360"/>
        <w:tblLayout w:type="fixed"/>
        <w:tblLook w:firstColumn="1" w:firstRow="1" w:lastColumn="0" w:lastRow="0" w:noHBand="0" w:noVBand="1" w:val="04A0"/>
        <w:jc w:val="left"/>
        <w:tblInd w:w="120" w:type="dxa"/>
      </w:tblPr>
      <w:tblGrid>
        <w:gridCol w:w="1350"/>
        <w:gridCol w:w="2870"/>
        <w:gridCol w:w="3570"/>
        <w:gridCol w:w="1570"/>
      </w:tblGrid>
      <w:tr>
        <w:trPr>
          <w:tblHeader w:val="true"/>
          <w:cantSplit/>
        </w:trPr>
        <w:tc>
          <w:tcPr>
            <w:tcW w:type="dxa" w:w="135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State</w:t>
            </w:r>
          </w:p>
        </w:tc>
        <w:tc>
          <w:tcPr>
            <w:tcW w:type="dxa" w:w="287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Entry condition</w:t>
            </w:r>
          </w:p>
        </w:tc>
        <w:tc>
          <w:tcPr>
            <w:tcW w:type="dxa" w:w="357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Exit evidence</w:t>
            </w:r>
          </w:p>
        </w:tc>
        <w:tc>
          <w:tcPr>
            <w:tcW w:type="dxa" w:w="157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WIP rule</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Backlog</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6"/>
              </w:rPr>
              <w:t>Story exists in product backlog</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6"/>
              </w:rPr>
              <w:t>Product decision resolved</w:t>
            </w:r>
          </w:p>
        </w:tc>
        <w:tc>
          <w:tcPr>
            <w:tcW w:type="dxa" w:w="1570"/>
            <w:vAlign w:val="center"/>
            <w:tcMar>
              <w:top w:w="80" w:type="dxa"/>
              <w:start w:w="120" w:type="dxa"/>
              <w:bottom w:w="80" w:type="dxa"/>
              <w:end w:w="120" w:type="dxa"/>
            </w:tcMar>
          </w:tcPr>
          <w:p>
            <w:pPr>
              <w:spacing w:after="0"/>
            </w:pPr>
            <w:r>
              <w:rPr>
                <w:rFonts w:ascii="Calibri" w:hAnsi="Calibri" w:eastAsia="Calibri"/>
                <w:color w:val="000000"/>
                <w:sz w:val="16"/>
              </w:rPr>
              <w:t>Unlimited</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Ready</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6"/>
              </w:rPr>
              <w:t>AC reviewed; dependency/API contract available</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6"/>
              </w:rPr>
              <w:t>Owner and test plan assigned</w:t>
            </w:r>
          </w:p>
        </w:tc>
        <w:tc>
          <w:tcPr>
            <w:tcW w:type="dxa" w:w="1570"/>
            <w:vAlign w:val="center"/>
            <w:tcMar>
              <w:top w:w="80" w:type="dxa"/>
              <w:start w:w="120" w:type="dxa"/>
              <w:bottom w:w="80" w:type="dxa"/>
              <w:end w:w="120" w:type="dxa"/>
            </w:tcMar>
          </w:tcPr>
          <w:p>
            <w:pPr>
              <w:spacing w:after="0"/>
            </w:pPr>
            <w:r>
              <w:rPr>
                <w:rFonts w:ascii="Calibri" w:hAnsi="Calibri" w:eastAsia="Calibri"/>
                <w:color w:val="000000"/>
                <w:sz w:val="16"/>
              </w:rPr>
              <w:t>Max 2 ready per owner</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In progress</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6"/>
              </w:rPr>
              <w:t>Owner starts one Codex task for one story</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6"/>
              </w:rPr>
              <w:t>Code + automated tests locally pass</w:t>
            </w:r>
          </w:p>
        </w:tc>
        <w:tc>
          <w:tcPr>
            <w:tcW w:type="dxa" w:w="1570"/>
            <w:vAlign w:val="center"/>
            <w:tcMar>
              <w:top w:w="80" w:type="dxa"/>
              <w:start w:w="120" w:type="dxa"/>
              <w:bottom w:w="80" w:type="dxa"/>
              <w:end w:w="120" w:type="dxa"/>
            </w:tcMar>
          </w:tcPr>
          <w:p>
            <w:pPr>
              <w:spacing w:after="0"/>
            </w:pPr>
            <w:r>
              <w:rPr>
                <w:rFonts w:ascii="Calibri" w:hAnsi="Calibri" w:eastAsia="Calibri"/>
                <w:color w:val="000000"/>
                <w:sz w:val="16"/>
              </w:rPr>
              <w:t>Max 1 per owner</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Review</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6"/>
              </w:rPr>
              <w:t>PR opened; traceability attached</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6"/>
              </w:rPr>
              <w:t>Review approved; CI green</w:t>
            </w:r>
          </w:p>
        </w:tc>
        <w:tc>
          <w:tcPr>
            <w:tcW w:type="dxa" w:w="1570"/>
            <w:vAlign w:val="center"/>
            <w:tcMar>
              <w:top w:w="80" w:type="dxa"/>
              <w:start w:w="120" w:type="dxa"/>
              <w:bottom w:w="80" w:type="dxa"/>
              <w:end w:w="120" w:type="dxa"/>
            </w:tcMar>
          </w:tcPr>
          <w:p>
            <w:pPr>
              <w:spacing w:after="0"/>
            </w:pPr>
            <w:r>
              <w:rPr>
                <w:rFonts w:ascii="Calibri" w:hAnsi="Calibri" w:eastAsia="Calibri"/>
                <w:color w:val="000000"/>
                <w:sz w:val="16"/>
              </w:rPr>
              <w:t>Max 1 per reviewer</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Integrated</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6"/>
              </w:rPr>
              <w:t>Merged and migration reproducible</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6"/>
              </w:rPr>
              <w:t>Cross-module/API test passes</w:t>
            </w:r>
          </w:p>
        </w:tc>
        <w:tc>
          <w:tcPr>
            <w:tcW w:type="dxa" w:w="1570"/>
            <w:vAlign w:val="center"/>
            <w:tcMar>
              <w:top w:w="80" w:type="dxa"/>
              <w:start w:w="120" w:type="dxa"/>
              <w:bottom w:w="80" w:type="dxa"/>
              <w:end w:w="120" w:type="dxa"/>
            </w:tcMar>
          </w:tcPr>
          <w:p>
            <w:pPr>
              <w:spacing w:after="0"/>
            </w:pPr>
            <w:r>
              <w:rPr>
                <w:rFonts w:ascii="Calibri" w:hAnsi="Calibri" w:eastAsia="Calibri"/>
                <w:color w:val="000000"/>
                <w:sz w:val="16"/>
              </w:rPr>
              <w:t>Batch gate applies</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Done</w:t>
            </w:r>
          </w:p>
        </w:tc>
        <w:tc>
          <w:tcPr>
            <w:tcW w:type="dxa" w:w="2870"/>
            <w:vAlign w:val="center"/>
            <w:tcMar>
              <w:top w:w="80" w:type="dxa"/>
              <w:start w:w="120" w:type="dxa"/>
              <w:bottom w:w="80" w:type="dxa"/>
              <w:end w:w="120" w:type="dxa"/>
            </w:tcMar>
          </w:tcPr>
          <w:p>
            <w:pPr>
              <w:spacing w:after="0"/>
            </w:pPr>
            <w:r>
              <w:rPr>
                <w:rFonts w:ascii="Calibri" w:hAnsi="Calibri" w:eastAsia="Calibri"/>
                <w:color w:val="000000"/>
                <w:sz w:val="16"/>
              </w:rPr>
              <w:t>Deployed to agreed environment</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6"/>
              </w:rPr>
              <w:t>Acceptance criteria verified; no critical/high defect</w:t>
            </w:r>
          </w:p>
        </w:tc>
        <w:tc>
          <w:tcPr>
            <w:tcW w:type="dxa" w:w="1570"/>
            <w:vAlign w:val="center"/>
            <w:tcMar>
              <w:top w:w="80" w:type="dxa"/>
              <w:start w:w="120" w:type="dxa"/>
              <w:bottom w:w="80" w:type="dxa"/>
              <w:end w:w="120" w:type="dxa"/>
            </w:tcMar>
          </w:tcPr>
          <w:p>
            <w:pPr>
              <w:spacing w:after="0"/>
            </w:pPr>
            <w:r>
              <w:rPr>
                <w:rFonts w:ascii="Calibri" w:hAnsi="Calibri" w:eastAsia="Calibri"/>
                <w:color w:val="000000"/>
                <w:sz w:val="16"/>
              </w:rPr>
              <w:t>Only then count throughput</w:t>
            </w:r>
          </w:p>
        </w:tc>
      </w:tr>
    </w:tbl>
    <w:p>
      <w:pPr>
        <w:spacing w:after="20"/>
        <w:widowControl w:val="1"/>
      </w:pPr>
    </w:p>
    <w:p>
      <w:pPr>
        <w:pStyle w:val="Heading2"/>
        <w:widowControl w:val="1"/>
      </w:pPr>
      <w:r>
        <w:t>Batch gates</w:t>
      </w:r>
    </w:p>
    <w:tbl>
      <w:tblPr>
        <w:tblStyle w:val="TableGrid"/>
        <w:tblW w:type="dxa" w:w="9360"/>
        <w:tblLayout w:type="fixed"/>
        <w:tblLook w:firstColumn="1" w:firstRow="1" w:lastColumn="0" w:lastRow="0" w:noHBand="0" w:noVBand="1" w:val="04A0"/>
        <w:jc w:val="left"/>
        <w:tblInd w:w="120" w:type="dxa"/>
      </w:tblPr>
      <w:tblGrid>
        <w:gridCol w:w="1750"/>
        <w:gridCol w:w="7610"/>
      </w:tblGrid>
      <w:tr>
        <w:trPr>
          <w:tblHeader w:val="true"/>
          <w:cantSplit/>
        </w:trPr>
        <w:tc>
          <w:tcPr>
            <w:tcW w:type="dxa" w:w="175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Gate</w:t>
            </w:r>
          </w:p>
        </w:tc>
        <w:tc>
          <w:tcPr>
            <w:tcW w:type="dxa" w:w="761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Minimum evidence</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8"/>
              </w:rPr>
              <w:t>Batch 1 → 2</w:t>
            </w:r>
          </w:p>
        </w:tc>
        <w:tc>
          <w:tcPr>
            <w:tcW w:type="dxa" w:w="7610"/>
            <w:vAlign w:val="center"/>
            <w:tcMar>
              <w:top w:w="80" w:type="dxa"/>
              <w:start w:w="120" w:type="dxa"/>
              <w:bottom w:w="80" w:type="dxa"/>
              <w:end w:w="120" w:type="dxa"/>
            </w:tcMar>
          </w:tcPr>
          <w:p>
            <w:pPr>
              <w:spacing w:after="0"/>
            </w:pPr>
            <w:r>
              <w:rPr>
                <w:rFonts w:ascii="Calibri" w:hAnsi="Calibri" w:eastAsia="Calibri"/>
                <w:color w:val="000000"/>
                <w:sz w:val="18"/>
              </w:rPr>
              <w:t>Auth/ownership contract; property-room identifiers; utility/charge schemas; migrations reproducible</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8"/>
              </w:rPr>
              <w:t>Batch 2 → 3</w:t>
            </w:r>
          </w:p>
        </w:tc>
        <w:tc>
          <w:tcPr>
            <w:tcW w:type="dxa" w:w="7610"/>
            <w:vAlign w:val="center"/>
            <w:tcMar>
              <w:top w:w="80" w:type="dxa"/>
              <w:start w:w="120" w:type="dxa"/>
              <w:bottom w:w="80" w:type="dxa"/>
              <w:end w:w="120" w:type="dxa"/>
            </w:tcMar>
          </w:tcPr>
          <w:p>
            <w:pPr>
              <w:spacing w:after="0"/>
            </w:pPr>
            <w:r>
              <w:rPr>
                <w:rFonts w:ascii="Calibri" w:hAnsi="Calibri" w:eastAsia="Calibri"/>
                <w:color w:val="000000"/>
                <w:sz w:val="18"/>
              </w:rPr>
              <w:t>Tenant/lease lifecycle, meter/maintenance APIs and integration fixtures available</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8"/>
              </w:rPr>
              <w:t>Batch 3 → 4</w:t>
            </w:r>
          </w:p>
        </w:tc>
        <w:tc>
          <w:tcPr>
            <w:tcW w:type="dxa" w:w="7610"/>
            <w:vAlign w:val="center"/>
            <w:tcMar>
              <w:top w:w="80" w:type="dxa"/>
              <w:start w:w="120" w:type="dxa"/>
              <w:bottom w:w="80" w:type="dxa"/>
              <w:end w:w="120" w:type="dxa"/>
            </w:tcMar>
          </w:tcPr>
          <w:p>
            <w:pPr>
              <w:spacing w:after="0"/>
            </w:pPr>
            <w:r>
              <w:rPr>
                <w:rFonts w:ascii="Calibri" w:hAnsi="Calibri" w:eastAsia="Calibri"/>
                <w:color w:val="000000"/>
                <w:sz w:val="18"/>
              </w:rPr>
              <w:t>Invoice states, payment/VietQR/reminder behavior, data seeds and audit rules verified</w:t>
            </w:r>
          </w:p>
        </w:tc>
      </w:tr>
      <w:tr>
        <w:trPr>
          <w:cantSplit/>
        </w:trPr>
        <w:tc>
          <w:tcPr>
            <w:tcW w:type="dxa" w:w="1750"/>
            <w:vAlign w:val="center"/>
            <w:tcMar>
              <w:top w:w="80" w:type="dxa"/>
              <w:start w:w="120" w:type="dxa"/>
              <w:bottom w:w="80" w:type="dxa"/>
              <w:end w:w="120" w:type="dxa"/>
            </w:tcMar>
          </w:tcPr>
          <w:p>
            <w:pPr>
              <w:spacing w:after="0"/>
            </w:pPr>
            <w:r>
              <w:rPr>
                <w:rFonts w:ascii="Calibri" w:hAnsi="Calibri" w:eastAsia="Calibri"/>
                <w:color w:val="000000"/>
                <w:sz w:val="18"/>
              </w:rPr>
              <w:t>Release gate</w:t>
            </w:r>
          </w:p>
        </w:tc>
        <w:tc>
          <w:tcPr>
            <w:tcW w:type="dxa" w:w="7610"/>
            <w:vAlign w:val="center"/>
            <w:tcMar>
              <w:top w:w="80" w:type="dxa"/>
              <w:start w:w="120" w:type="dxa"/>
              <w:bottom w:w="80" w:type="dxa"/>
              <w:end w:w="120" w:type="dxa"/>
            </w:tcMar>
          </w:tcPr>
          <w:p>
            <w:pPr>
              <w:spacing w:after="0"/>
            </w:pPr>
            <w:r>
              <w:rPr>
                <w:rFonts w:ascii="Calibri" w:hAnsi="Calibri" w:eastAsia="Calibri"/>
                <w:color w:val="000000"/>
                <w:sz w:val="18"/>
              </w:rPr>
              <w:t>Mobile E2E critical paths, deployment smoke test, rollback notes, known-risk acceptance</w:t>
            </w:r>
          </w:p>
        </w:tc>
      </w:tr>
    </w:tbl>
    <w:p>
      <w:pPr>
        <w:spacing w:after="20"/>
        <w:widowControl w:val="1"/>
      </w:pPr>
    </w:p>
    <w:p>
      <w:pPr>
        <w:pStyle w:val="Heading2"/>
        <w:widowControl w:val="1"/>
      </w:pPr>
      <w:r>
        <w:t>Plan cadence</w:t>
      </w:r>
    </w:p>
    <w:p>
      <w:pPr>
        <w:pStyle w:val="ListBullet"/>
        <w:spacing w:after="100" w:line="280" w:lineRule="auto"/>
        <w:ind w:left="720" w:hanging="360"/>
        <w:widowControl w:val="1"/>
      </w:pPr>
      <w:r>
        <w:rPr>
          <w:rFonts w:ascii="Calibri" w:hAnsi="Calibri" w:eastAsia="Calibri"/>
          <w:color w:val="000000"/>
          <w:sz w:val="22"/>
        </w:rPr>
        <w:t>Daily asynchronous update: Done / next / blocked / telemetry mapping.</w:t>
      </w:r>
    </w:p>
    <w:p>
      <w:pPr>
        <w:pStyle w:val="ListBullet"/>
        <w:spacing w:after="100" w:line="280" w:lineRule="auto"/>
        <w:ind w:left="720" w:hanging="360"/>
        <w:widowControl w:val="1"/>
      </w:pPr>
      <w:r>
        <w:rPr>
          <w:rFonts w:ascii="Calibri" w:hAnsi="Calibri" w:eastAsia="Calibri"/>
          <w:color w:val="000000"/>
          <w:sz w:val="22"/>
        </w:rPr>
        <w:t>Per-story completion: run tests, map telemetry, attach PR and acceptance evidence.</w:t>
      </w:r>
    </w:p>
    <w:p>
      <w:pPr>
        <w:pStyle w:val="ListBullet"/>
        <w:spacing w:after="100" w:line="280" w:lineRule="auto"/>
        <w:ind w:left="720" w:hanging="360"/>
        <w:widowControl w:val="1"/>
      </w:pPr>
      <w:r>
        <w:rPr>
          <w:rFonts w:ascii="Calibri" w:hAnsi="Calibri" w:eastAsia="Calibri"/>
          <w:color w:val="000000"/>
          <w:sz w:val="22"/>
        </w:rPr>
        <w:t>Per-batch integration review: 30–45 minutes focused only on API/data/dependency defects.</w:t>
      </w:r>
    </w:p>
    <w:p>
      <w:pPr>
        <w:pStyle w:val="ListBullet"/>
        <w:spacing w:after="100" w:line="280" w:lineRule="auto"/>
        <w:ind w:left="720" w:hanging="360"/>
        <w:widowControl w:val="1"/>
      </w:pPr>
      <w:r>
        <w:rPr>
          <w:rFonts w:ascii="Calibri" w:hAnsi="Calibri" w:eastAsia="Calibri"/>
          <w:color w:val="000000"/>
          <w:sz w:val="22"/>
        </w:rPr>
        <w:t>Twice-weekly sponsor checkpoint: scope, SOW variance, forecast and decisions; no routine meeting when no decision is needed.</w:t>
      </w:r>
    </w:p>
    <w:p>
      <w:pPr>
        <w:widowControl w:val="1"/>
      </w:pPr>
      <w:r>
        <w:br w:type="page"/>
      </w:r>
    </w:p>
    <w:p>
      <w:pPr>
        <w:pStyle w:val="Heading1"/>
        <w:widowControl w:val="1"/>
      </w:pPr>
      <w:r>
        <w:t>8. Monitoring and control</w:t>
      </w:r>
    </w:p>
    <w:p>
      <w:pPr>
        <w:pStyle w:val="Heading2"/>
        <w:widowControl w:val="1"/>
      </w:pPr>
      <w:r>
        <w:t>Status dashboard</w:t>
      </w:r>
    </w:p>
    <w:tbl>
      <w:tblPr>
        <w:tblStyle w:val="TableGrid"/>
        <w:tblW w:type="dxa" w:w="9360"/>
        <w:tblLayout w:type="fixed"/>
        <w:tblLook w:firstColumn="1" w:firstRow="1" w:lastColumn="0" w:lastRow="0" w:noHBand="0" w:noVBand="1" w:val="04A0"/>
        <w:jc w:val="left"/>
        <w:tblInd w:w="120" w:type="dxa"/>
      </w:tblPr>
      <w:tblGrid>
        <w:gridCol w:w="1350"/>
        <w:gridCol w:w="2200"/>
        <w:gridCol w:w="3190"/>
        <w:gridCol w:w="2620"/>
      </w:tblGrid>
      <w:tr>
        <w:trPr>
          <w:tblHeader w:val="true"/>
          <w:cantSplit/>
        </w:trPr>
        <w:tc>
          <w:tcPr>
            <w:tcW w:type="dxa" w:w="135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Dimension</w:t>
            </w:r>
          </w:p>
        </w:tc>
        <w:tc>
          <w:tcPr>
            <w:tcW w:type="dxa" w:w="220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KPI</w:t>
            </w:r>
          </w:p>
        </w:tc>
        <w:tc>
          <w:tcPr>
            <w:tcW w:type="dxa" w:w="319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Calculation</w:t>
            </w:r>
          </w:p>
        </w:tc>
        <w:tc>
          <w:tcPr>
            <w:tcW w:type="dxa" w:w="262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Control threshold</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Scope</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Done stories / committed stories</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Count only global-DoD stories</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Any unapproved story added → scope review</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Flow</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Cycle time</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In progress → Done</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&gt; 2× rolling median → investigate</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Quality</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First-pass acceptance</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Stories passing without rework / reviewed</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&lt; 80% → reduce WIP and refine AC</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Defects</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High/critical open</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Count by severity</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&gt; 0 blocks release</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AI resource</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Tokens per Done story</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Normalized token fields / Done stories</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&gt; 2× median → inspect context/rework</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Time</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Forecast variance</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(EAC − baseline) / baseline</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&gt; 15% → reforecast</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Cost</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Burn variance</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Actual − planned to date</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&gt; 10% or free trial expiry → decision</w:t>
            </w:r>
          </w:p>
        </w:tc>
      </w:tr>
      <w:tr>
        <w:trPr>
          <w:cantSplit/>
        </w:trPr>
        <w:tc>
          <w:tcPr>
            <w:tcW w:type="dxa" w:w="1350"/>
            <w:vAlign w:val="center"/>
            <w:tcMar>
              <w:top w:w="80" w:type="dxa"/>
              <w:start w:w="120" w:type="dxa"/>
              <w:bottom w:w="80" w:type="dxa"/>
              <w:end w:w="120" w:type="dxa"/>
            </w:tcMar>
          </w:tcPr>
          <w:p>
            <w:pPr>
              <w:spacing w:after="0"/>
            </w:pPr>
            <w:r>
              <w:rPr>
                <w:rFonts w:ascii="Calibri" w:hAnsi="Calibri" w:eastAsia="Calibri"/>
                <w:color w:val="000000"/>
                <w:sz w:val="16"/>
              </w:rPr>
              <w:t>Delivery</w:t>
            </w:r>
          </w:p>
        </w:tc>
        <w:tc>
          <w:tcPr>
            <w:tcW w:type="dxa" w:w="2200"/>
            <w:vAlign w:val="center"/>
            <w:tcMar>
              <w:top w:w="80" w:type="dxa"/>
              <w:start w:w="120" w:type="dxa"/>
              <w:bottom w:w="80" w:type="dxa"/>
              <w:end w:w="120" w:type="dxa"/>
            </w:tcMar>
          </w:tcPr>
          <w:p>
            <w:pPr>
              <w:spacing w:after="0"/>
            </w:pPr>
            <w:r>
              <w:rPr>
                <w:rFonts w:ascii="Calibri" w:hAnsi="Calibri" w:eastAsia="Calibri"/>
                <w:color w:val="000000"/>
                <w:sz w:val="16"/>
              </w:rPr>
              <w:t>Deployment success</w:t>
            </w:r>
          </w:p>
        </w:tc>
        <w:tc>
          <w:tcPr>
            <w:tcW w:type="dxa" w:w="3190"/>
            <w:vAlign w:val="center"/>
            <w:tcMar>
              <w:top w:w="80" w:type="dxa"/>
              <w:start w:w="120" w:type="dxa"/>
              <w:bottom w:w="80" w:type="dxa"/>
              <w:end w:w="120" w:type="dxa"/>
            </w:tcMar>
          </w:tcPr>
          <w:p>
            <w:pPr>
              <w:spacing w:after="0"/>
            </w:pPr>
            <w:r>
              <w:rPr>
                <w:rFonts w:ascii="Calibri" w:hAnsi="Calibri" w:eastAsia="Calibri"/>
                <w:color w:val="000000"/>
                <w:sz w:val="16"/>
              </w:rPr>
              <w:t>Successful deployments / attempts</w:t>
            </w:r>
          </w:p>
        </w:tc>
        <w:tc>
          <w:tcPr>
            <w:tcW w:type="dxa" w:w="2620"/>
            <w:vAlign w:val="center"/>
            <w:tcMar>
              <w:top w:w="80" w:type="dxa"/>
              <w:start w:w="120" w:type="dxa"/>
              <w:bottom w:w="80" w:type="dxa"/>
              <w:end w:w="120" w:type="dxa"/>
            </w:tcMar>
          </w:tcPr>
          <w:p>
            <w:pPr>
              <w:spacing w:after="0"/>
            </w:pPr>
            <w:r>
              <w:rPr>
                <w:rFonts w:ascii="Calibri" w:hAnsi="Calibri" w:eastAsia="Calibri"/>
                <w:color w:val="000000"/>
                <w:sz w:val="16"/>
              </w:rPr>
              <w:t>Any rollback → root-cause note</w:t>
            </w:r>
          </w:p>
        </w:tc>
      </w:tr>
    </w:tbl>
    <w:p>
      <w:pPr>
        <w:spacing w:after="20"/>
        <w:widowControl w:val="1"/>
      </w:pPr>
    </w:p>
    <w:p>
      <w:pPr>
        <w:pStyle w:val="Heading2"/>
        <w:widowControl w:val="1"/>
      </w:pPr>
      <w:r>
        <w:t>Demo: collecting evidence for a project status report</w:t>
      </w:r>
    </w:p>
    <w:p>
      <w:pPr>
        <w:pStyle w:val="ListNumber"/>
        <w:spacing w:after="100" w:line="280" w:lineRule="auto"/>
        <w:ind w:left="720" w:hanging="360"/>
        <w:widowControl w:val="1"/>
      </w:pPr>
      <w:r>
        <w:rPr>
          <w:rFonts w:ascii="Calibri" w:hAnsi="Calibri" w:eastAsia="Calibri"/>
          <w:color w:val="000000"/>
          <w:sz w:val="22"/>
        </w:rPr>
        <w:t>Create one Codex task for one US and include the US-ID in the task title/prompt.</w:t>
      </w:r>
    </w:p>
    <w:p>
      <w:pPr>
        <w:pStyle w:val="ListNumber"/>
        <w:spacing w:after="100" w:line="280" w:lineRule="auto"/>
        <w:ind w:left="720" w:hanging="360"/>
        <w:widowControl w:val="1"/>
      </w:pPr>
      <w:r>
        <w:rPr>
          <w:rFonts w:ascii="Calibri" w:hAnsi="Calibri" w:eastAsia="Calibri"/>
          <w:color w:val="000000"/>
          <w:sz w:val="22"/>
        </w:rPr>
        <w:t>Implement against the story acceptance criteria; run unit/API/integration tests.</w:t>
      </w:r>
    </w:p>
    <w:p>
      <w:pPr>
        <w:pStyle w:val="ListNumber"/>
        <w:spacing w:after="100" w:line="280" w:lineRule="auto"/>
        <w:ind w:left="720" w:hanging="360"/>
        <w:widowControl w:val="1"/>
      </w:pPr>
      <w:r>
        <w:rPr>
          <w:rFonts w:ascii="Calibri" w:hAnsi="Calibri" w:eastAsia="Calibri"/>
          <w:color w:val="000000"/>
          <w:sz w:val="22"/>
        </w:rPr>
        <w:t>After completion, run Complete-US.cmd &lt;US-ID&gt; to map turn-level telemetry.</w:t>
      </w:r>
    </w:p>
    <w:p>
      <w:pPr>
        <w:pStyle w:val="ListNumber"/>
        <w:spacing w:after="100" w:line="280" w:lineRule="auto"/>
        <w:ind w:left="720" w:hanging="360"/>
        <w:widowControl w:val="1"/>
      </w:pPr>
      <w:r>
        <w:rPr>
          <w:rFonts w:ascii="Calibri" w:hAnsi="Calibri" w:eastAsia="Calibri"/>
          <w:color w:val="000000"/>
          <w:sz w:val="22"/>
        </w:rPr>
        <w:t>Open usage-by-turn.csv / usage-by-conversation.csv / index.html and show tokens and elapsed time.</w:t>
      </w:r>
    </w:p>
    <w:p>
      <w:pPr>
        <w:pStyle w:val="ListNumber"/>
        <w:spacing w:after="100" w:line="280" w:lineRule="auto"/>
        <w:ind w:left="720" w:hanging="360"/>
        <w:widowControl w:val="1"/>
      </w:pPr>
      <w:r>
        <w:rPr>
          <w:rFonts w:ascii="Calibri" w:hAnsi="Calibri" w:eastAsia="Calibri"/>
          <w:color w:val="000000"/>
          <w:sz w:val="22"/>
        </w:rPr>
        <w:t>Attach commit, PR, CI result and deployment verification. Only then move the story to Done.</w:t>
      </w:r>
    </w:p>
    <w:p>
      <w:pPr>
        <w:pStyle w:val="ListNumber"/>
        <w:spacing w:after="100" w:line="280" w:lineRule="auto"/>
        <w:ind w:left="720" w:hanging="360"/>
        <w:widowControl w:val="1"/>
      </w:pPr>
      <w:r>
        <w:rPr>
          <w:rFonts w:ascii="Calibri" w:hAnsi="Calibri" w:eastAsia="Calibri"/>
          <w:color w:val="000000"/>
          <w:sz w:val="22"/>
        </w:rPr>
        <w:t>Refresh the dashboard: throughput, cycle time, tokens, defects, planned/actual cost and forecast-at-completion.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17365D"/>
                <w:sz w:val="21"/>
              </w:rPr>
              <w:t xml:space="preserve">Demo evidence path. </w:t>
            </w:r>
            <w:r>
              <w:rPr>
                <w:rFonts w:ascii="Calibri" w:hAnsi="Calibri" w:eastAsia="Calibri"/>
                <w:color w:val="000000"/>
                <w:sz w:val="21"/>
              </w:rPr>
              <w:t>C:\Users\admin\codex-telemetry\reports\index.html is the readable telemetry view. The raw JSON and CSV files provide auditability; GitHub/CI/deployment evidence proves delivery quality.</w:t>
            </w:r>
          </w:p>
        </w:tc>
      </w:tr>
    </w:tbl>
    <w:p>
      <w:pPr>
        <w:spacing w:after="20"/>
        <w:widowControl w:val="1"/>
      </w:pPr>
    </w:p>
    <w:p>
      <w:pPr>
        <w:pStyle w:val="Heading2"/>
        <w:widowControl w:val="1"/>
      </w:pPr>
      <w:r>
        <w:t>Variance response</w:t>
      </w:r>
    </w:p>
    <w:p>
      <w:pPr>
        <w:pStyle w:val="ListBullet"/>
        <w:spacing w:after="100" w:line="280" w:lineRule="auto"/>
        <w:ind w:left="720" w:hanging="360"/>
        <w:widowControl w:val="1"/>
      </w:pPr>
      <w:r>
        <w:rPr>
          <w:rFonts w:ascii="Calibri" w:hAnsi="Calibri" w:eastAsia="Calibri"/>
          <w:color w:val="000000"/>
          <w:sz w:val="22"/>
        </w:rPr>
        <w:t>Scope variance: update SOW/change log before implementation.</w:t>
      </w:r>
    </w:p>
    <w:p>
      <w:pPr>
        <w:pStyle w:val="ListBullet"/>
        <w:spacing w:after="100" w:line="280" w:lineRule="auto"/>
        <w:ind w:left="720" w:hanging="360"/>
        <w:widowControl w:val="1"/>
      </w:pPr>
      <w:r>
        <w:rPr>
          <w:rFonts w:ascii="Calibri" w:hAnsi="Calibri" w:eastAsia="Calibri"/>
          <w:color w:val="000000"/>
          <w:sz w:val="22"/>
        </w:rPr>
        <w:t>Time variance: split oversized stories, reduce WIP, remove blockers, re-estimate remaining work.</w:t>
      </w:r>
    </w:p>
    <w:p>
      <w:pPr>
        <w:pStyle w:val="ListBullet"/>
        <w:spacing w:after="100" w:line="280" w:lineRule="auto"/>
        <w:ind w:left="720" w:hanging="360"/>
        <w:widowControl w:val="1"/>
      </w:pPr>
      <w:r>
        <w:rPr>
          <w:rFonts w:ascii="Calibri" w:hAnsi="Calibri" w:eastAsia="Calibri"/>
          <w:color w:val="000000"/>
          <w:sz w:val="22"/>
        </w:rPr>
        <w:t>Token variance: start a clean task, reduce context, avoid repeated broad scans, inspect test/rework loops.</w:t>
      </w:r>
    </w:p>
    <w:p>
      <w:pPr>
        <w:pStyle w:val="ListBullet"/>
        <w:spacing w:after="100" w:line="280" w:lineRule="auto"/>
        <w:ind w:left="720" w:hanging="360"/>
        <w:widowControl w:val="1"/>
      </w:pPr>
      <w:r>
        <w:rPr>
          <w:rFonts w:ascii="Calibri" w:hAnsi="Calibri" w:eastAsia="Calibri"/>
          <w:color w:val="000000"/>
          <w:sz w:val="22"/>
        </w:rPr>
        <w:t>Quality variance: stop starting work; fix acceptance criteria, fixtures and integration tests.</w:t>
      </w:r>
    </w:p>
    <w:p>
      <w:pPr>
        <w:pStyle w:val="ListBullet"/>
        <w:spacing w:after="100" w:line="280" w:lineRule="auto"/>
        <w:ind w:left="720" w:hanging="360"/>
        <w:widowControl w:val="1"/>
      </w:pPr>
      <w:r>
        <w:rPr>
          <w:rFonts w:ascii="Calibri" w:hAnsi="Calibri" w:eastAsia="Calibri"/>
          <w:color w:val="000000"/>
          <w:sz w:val="22"/>
        </w:rPr>
        <w:t>Cost variance: use approved free tier, cap API spend, or obtain sponsor approval before overage.</w:t>
      </w:r>
    </w:p>
    <w:p>
      <w:pPr>
        <w:widowControl w:val="1"/>
      </w:pPr>
      <w:r>
        <w:br w:type="page"/>
      </w:r>
    </w:p>
    <w:p>
      <w:pPr>
        <w:pStyle w:val="Heading1"/>
        <w:widowControl w:val="1"/>
      </w:pPr>
      <w:r>
        <w:t>9. Statement of Work and oral-defense narrative</w:t>
      </w:r>
    </w:p>
    <w:p>
      <w:pPr>
        <w:pStyle w:val="Heading2"/>
        <w:widowControl w:val="1"/>
      </w:pPr>
      <w:r>
        <w:t>Meaning of the Statement of Work</w:t>
      </w:r>
    </w:p>
    <w:p>
      <w:pPr>
        <w:spacing w:after="120"/>
        <w:widowControl w:val="1"/>
      </w:pPr>
      <w:r>
        <w:rPr>
          <w:rFonts w:ascii="Calibri" w:hAnsi="Calibri" w:eastAsia="Calibri"/>
          <w:i w:val="0"/>
          <w:color w:val="000000"/>
          <w:sz w:val="22"/>
        </w:rPr>
        <w:t>The Statement of Work (SOW) is the agreement baseline between sponsor and development team. It states what will be delivered, what is excluded, who is responsible, what acceptance evidence is required, the schedule/milestones, assumptions, dependencies, cost basis and change-control process. If sponsor expectations and the backlog differ, the team must reconcile them before treating the SOW as approved.</w:t>
      </w:r>
    </w:p>
    <w:p>
      <w:pPr>
        <w:pStyle w:val="Heading2"/>
        <w:widowControl w:val="1"/>
      </w:pPr>
      <w:r>
        <w:t>Minimum SOW fields for RosiHome</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Section</w:t>
            </w:r>
          </w:p>
        </w:tc>
        <w:tc>
          <w:tcPr>
            <w:tcW w:type="dxa" w:w="746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Required decision</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Scope</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55 backend stories? Mobile only? Which AI product features, if any?</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Deliverables</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Backend APIs, mobile app, tests, migrations, deployment, documents and demo data</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Acceptance</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Global DoD + story AC + integration environment + approver</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Schedule</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Batch milestones, dependency gates and 8–10 week outer deadline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Resources</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Five members, AI tools/models, repository, CI, database, hosting</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Cost</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Cash budget, donated labor, shadow labor and recurring post-trial services</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Change control</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Who approves new stories, AI features, Web scope or budget variance</w:t>
            </w:r>
          </w:p>
        </w:tc>
      </w:tr>
      <w:tr>
        <w:trPr>
          <w:cantSplit/>
        </w:trPr>
        <w:tc>
          <w:tcPr>
            <w:tcW w:type="dxa" w:w="1900"/>
            <w:vAlign w:val="center"/>
            <w:tcMar>
              <w:top w:w="80" w:type="dxa"/>
              <w:start w:w="120" w:type="dxa"/>
              <w:bottom w:w="80" w:type="dxa"/>
              <w:end w:w="120" w:type="dxa"/>
            </w:tcMar>
          </w:tcPr>
          <w:p>
            <w:pPr>
              <w:spacing w:after="0"/>
            </w:pPr>
            <w:r>
              <w:rPr>
                <w:rFonts w:ascii="Calibri" w:hAnsi="Calibri" w:eastAsia="Calibri"/>
                <w:color w:val="000000"/>
                <w:sz w:val="18"/>
              </w:rPr>
              <w:t>Operations</w:t>
            </w:r>
          </w:p>
        </w:tc>
        <w:tc>
          <w:tcPr>
            <w:tcW w:type="dxa" w:w="7460"/>
            <w:vAlign w:val="center"/>
            <w:tcMar>
              <w:top w:w="80" w:type="dxa"/>
              <w:start w:w="120" w:type="dxa"/>
              <w:bottom w:w="80" w:type="dxa"/>
              <w:end w:w="120" w:type="dxa"/>
            </w:tcMar>
          </w:tcPr>
          <w:p>
            <w:pPr>
              <w:spacing w:after="0"/>
            </w:pPr>
            <w:r>
              <w:rPr>
                <w:rFonts w:ascii="Calibri" w:hAnsi="Calibri" w:eastAsia="Calibri"/>
                <w:color w:val="000000"/>
                <w:sz w:val="18"/>
              </w:rPr>
              <w:t>Pilot owner, data/privacy limits, maintenance or shutdown after course</w:t>
            </w:r>
          </w:p>
        </w:tc>
      </w:tr>
    </w:tbl>
    <w:p>
      <w:pPr>
        <w:spacing w:after="20"/>
        <w:widowControl w:val="1"/>
      </w:pPr>
    </w:p>
    <w:p>
      <w:pPr>
        <w:pStyle w:val="Heading2"/>
        <w:widowControl w:val="1"/>
      </w:pPr>
      <w:r>
        <w:t>High-risk scope inconsistencies to resolve</w:t>
      </w:r>
    </w:p>
    <w:tbl>
      <w:tblPr>
        <w:tblStyle w:val="TableGrid"/>
        <w:tblW w:type="dxa" w:w="9360"/>
        <w:tblLayout w:type="fixed"/>
        <w:tblLook w:firstColumn="1" w:firstRow="1" w:lastColumn="0" w:lastRow="0" w:noHBand="0" w:noVBand="1" w:val="04A0"/>
        <w:jc w:val="left"/>
        <w:tblInd w:w="120" w:type="dxa"/>
      </w:tblPr>
      <w:tblGrid>
        <w:gridCol w:w="2200"/>
        <w:gridCol w:w="3570"/>
        <w:gridCol w:w="3590"/>
      </w:tblGrid>
      <w:tr>
        <w:trPr>
          <w:tblHeader w:val="true"/>
          <w:cantSplit/>
        </w:trPr>
        <w:tc>
          <w:tcPr>
            <w:tcW w:type="dxa" w:w="22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Conflict</w:t>
            </w:r>
          </w:p>
        </w:tc>
        <w:tc>
          <w:tcPr>
            <w:tcW w:type="dxa" w:w="357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Current evidence</w:t>
            </w:r>
          </w:p>
        </w:tc>
        <w:tc>
          <w:tcPr>
            <w:tcW w:type="dxa" w:w="359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Required resolution</w:t>
            </w:r>
          </w:p>
        </w:tc>
      </w:tr>
      <w:tr>
        <w:trPr>
          <w:cantSplit/>
        </w:trPr>
        <w:tc>
          <w:tcPr>
            <w:tcW w:type="dxa" w:w="2200"/>
            <w:vAlign w:val="center"/>
            <w:tcMar>
              <w:top w:w="80" w:type="dxa"/>
              <w:start w:w="120" w:type="dxa"/>
              <w:bottom w:w="80" w:type="dxa"/>
              <w:end w:w="120" w:type="dxa"/>
            </w:tcMar>
          </w:tcPr>
          <w:p>
            <w:pPr>
              <w:spacing w:after="0"/>
            </w:pPr>
            <w:r>
              <w:rPr>
                <w:rFonts w:ascii="Calibri" w:hAnsi="Calibri" w:eastAsia="Calibri"/>
                <w:color w:val="000000"/>
                <w:sz w:val="17"/>
              </w:rPr>
              <w:t>Mobile vs Web</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7"/>
              </w:rPr>
              <w:t>Backlog PD-07 says Mobile only; proposal timeline says Web + Backend</w:t>
            </w:r>
          </w:p>
        </w:tc>
        <w:tc>
          <w:tcPr>
            <w:tcW w:type="dxa" w:w="3590"/>
            <w:vAlign w:val="center"/>
            <w:tcMar>
              <w:top w:w="80" w:type="dxa"/>
              <w:start w:w="120" w:type="dxa"/>
              <w:bottom w:w="80" w:type="dxa"/>
              <w:end w:w="120" w:type="dxa"/>
            </w:tcMar>
          </w:tcPr>
          <w:p>
            <w:pPr>
              <w:spacing w:after="0"/>
            </w:pPr>
            <w:r>
              <w:rPr>
                <w:rFonts w:ascii="Calibri" w:hAnsi="Calibri" w:eastAsia="Calibri"/>
                <w:color w:val="000000"/>
                <w:sz w:val="17"/>
              </w:rPr>
              <w:t>Remove Web from SOW or approve it with effort/budget</w:t>
            </w:r>
          </w:p>
        </w:tc>
      </w:tr>
      <w:tr>
        <w:trPr>
          <w:cantSplit/>
        </w:trPr>
        <w:tc>
          <w:tcPr>
            <w:tcW w:type="dxa" w:w="2200"/>
            <w:vAlign w:val="center"/>
            <w:tcMar>
              <w:top w:w="80" w:type="dxa"/>
              <w:start w:w="120" w:type="dxa"/>
              <w:bottom w:w="80" w:type="dxa"/>
              <w:end w:w="120" w:type="dxa"/>
            </w:tcMar>
          </w:tcPr>
          <w:p>
            <w:pPr>
              <w:spacing w:after="0"/>
            </w:pPr>
            <w:r>
              <w:rPr>
                <w:rFonts w:ascii="Calibri" w:hAnsi="Calibri" w:eastAsia="Calibri"/>
                <w:color w:val="000000"/>
                <w:sz w:val="17"/>
              </w:rPr>
              <w:t>In-product AI</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7"/>
              </w:rPr>
              <w:t>Proposal budget includes meter-photo AI and weekly AI report; backlog MVP does not define these stories</w:t>
            </w:r>
          </w:p>
        </w:tc>
        <w:tc>
          <w:tcPr>
            <w:tcW w:type="dxa" w:w="3590"/>
            <w:vAlign w:val="center"/>
            <w:tcMar>
              <w:top w:w="80" w:type="dxa"/>
              <w:start w:w="120" w:type="dxa"/>
              <w:bottom w:w="80" w:type="dxa"/>
              <w:end w:w="120" w:type="dxa"/>
            </w:tcMar>
          </w:tcPr>
          <w:p>
            <w:pPr>
              <w:spacing w:after="0"/>
            </w:pPr>
            <w:r>
              <w:rPr>
                <w:rFonts w:ascii="Calibri" w:hAnsi="Calibri" w:eastAsia="Calibri"/>
                <w:color w:val="000000"/>
                <w:sz w:val="17"/>
              </w:rPr>
              <w:t>Remove 0.9 M API item or create/refine/approve stories</w:t>
            </w:r>
          </w:p>
        </w:tc>
      </w:tr>
      <w:tr>
        <w:trPr>
          <w:cantSplit/>
        </w:trPr>
        <w:tc>
          <w:tcPr>
            <w:tcW w:type="dxa" w:w="2200"/>
            <w:vAlign w:val="center"/>
            <w:tcMar>
              <w:top w:w="80" w:type="dxa"/>
              <w:start w:w="120" w:type="dxa"/>
              <w:bottom w:w="80" w:type="dxa"/>
              <w:end w:w="120" w:type="dxa"/>
            </w:tcMar>
          </w:tcPr>
          <w:p>
            <w:pPr>
              <w:spacing w:after="0"/>
            </w:pPr>
            <w:r>
              <w:rPr>
                <w:rFonts w:ascii="Calibri" w:hAnsi="Calibri" w:eastAsia="Calibri"/>
                <w:color w:val="000000"/>
                <w:sz w:val="17"/>
              </w:rPr>
              <w:t>Done vs coding complete</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7"/>
              </w:rPr>
              <w:t>Member reports describe coding batches; global DoD requires deploy and verification</w:t>
            </w:r>
          </w:p>
        </w:tc>
        <w:tc>
          <w:tcPr>
            <w:tcW w:type="dxa" w:w="3590"/>
            <w:vAlign w:val="center"/>
            <w:tcMar>
              <w:top w:w="80" w:type="dxa"/>
              <w:start w:w="120" w:type="dxa"/>
              <w:bottom w:w="80" w:type="dxa"/>
              <w:end w:w="120" w:type="dxa"/>
            </w:tcMar>
          </w:tcPr>
          <w:p>
            <w:pPr>
              <w:spacing w:after="0"/>
            </w:pPr>
            <w:r>
              <w:rPr>
                <w:rFonts w:ascii="Calibri" w:hAnsi="Calibri" w:eastAsia="Calibri"/>
                <w:color w:val="000000"/>
                <w:sz w:val="17"/>
              </w:rPr>
              <w:t>Publish a story evidence matrix</w:t>
            </w:r>
          </w:p>
        </w:tc>
      </w:tr>
      <w:tr>
        <w:trPr>
          <w:cantSplit/>
        </w:trPr>
        <w:tc>
          <w:tcPr>
            <w:tcW w:type="dxa" w:w="2200"/>
            <w:vAlign w:val="center"/>
            <w:tcMar>
              <w:top w:w="80" w:type="dxa"/>
              <w:start w:w="120" w:type="dxa"/>
              <w:bottom w:w="80" w:type="dxa"/>
              <w:end w:w="120" w:type="dxa"/>
            </w:tcMar>
          </w:tcPr>
          <w:p>
            <w:pPr>
              <w:spacing w:after="0"/>
            </w:pPr>
            <w:r>
              <w:rPr>
                <w:rFonts w:ascii="Calibri" w:hAnsi="Calibri" w:eastAsia="Calibri"/>
                <w:color w:val="000000"/>
                <w:sz w:val="17"/>
              </w:rPr>
              <w:t>Free tool cost</w:t>
            </w:r>
          </w:p>
        </w:tc>
        <w:tc>
          <w:tcPr>
            <w:tcW w:type="dxa" w:w="3570"/>
            <w:vAlign w:val="center"/>
            <w:tcMar>
              <w:top w:w="80" w:type="dxa"/>
              <w:start w:w="120" w:type="dxa"/>
              <w:bottom w:w="80" w:type="dxa"/>
              <w:end w:w="120" w:type="dxa"/>
            </w:tcMar>
          </w:tcPr>
          <w:p>
            <w:pPr>
              <w:spacing w:after="0"/>
            </w:pPr>
            <w:r>
              <w:rPr>
                <w:rFonts w:ascii="Calibri" w:hAnsi="Calibri" w:eastAsia="Calibri"/>
                <w:color w:val="000000"/>
                <w:sz w:val="17"/>
              </w:rPr>
              <w:t>Current period is trial/free; proposal budgets paid tools</w:t>
            </w:r>
          </w:p>
        </w:tc>
        <w:tc>
          <w:tcPr>
            <w:tcW w:type="dxa" w:w="3590"/>
            <w:vAlign w:val="center"/>
            <w:tcMar>
              <w:top w:w="80" w:type="dxa"/>
              <w:start w:w="120" w:type="dxa"/>
              <w:bottom w:w="80" w:type="dxa"/>
              <w:end w:w="120" w:type="dxa"/>
            </w:tcMar>
          </w:tcPr>
          <w:p>
            <w:pPr>
              <w:spacing w:after="0"/>
            </w:pPr>
            <w:r>
              <w:rPr>
                <w:rFonts w:ascii="Calibri" w:hAnsi="Calibri" w:eastAsia="Calibri"/>
                <w:color w:val="000000"/>
                <w:sz w:val="17"/>
              </w:rPr>
              <w:t>Add renewal dates and forecast-at-completion</w:t>
            </w:r>
          </w:p>
        </w:tc>
      </w:tr>
    </w:tbl>
    <w:p>
      <w:pPr>
        <w:spacing w:after="20"/>
        <w:widowControl w:val="1"/>
      </w:pPr>
    </w:p>
    <w:p>
      <w:pPr>
        <w:pStyle w:val="Heading2"/>
        <w:widowControl w:val="1"/>
      </w:pPr>
      <w:r>
        <w:t>Suggested 90-second oral answer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17365D"/>
                <w:sz w:val="21"/>
              </w:rPr>
              <w:t xml:space="preserve">Answer structure. </w:t>
            </w:r>
            <w:r>
              <w:rPr>
                <w:rFonts w:ascii="Calibri" w:hAnsi="Calibri" w:eastAsia="Calibri"/>
                <w:color w:val="000000"/>
                <w:sz w:val="21"/>
              </w:rPr>
              <w:t>We began with an 8–10 week sponsor/proposal estimate and a 4.25 million VND tools-and-hosting budget. We then calibrated it using actual AI-assisted backend evidence: 47.38 reported hours and 213.36 million tokens across three work packages. Because token accounting and task types differ, we estimate schedule from Done-story throughput and use tokens only for resource/cost control. Our current three-point backend estimate is 1.42 hours per remaining story before integration; with DoD and risk buffers, 21 nominal stories require about 46.5 agent-supported hours. We manage the work using Kanban inside four dependency batches, and count a story only after tests, review, merge and deployment verification. The SOW is the control baseline that reconciles sponsor scope with backlog scope, especially Mobile versus Web and whether in-product AI is included.</w:t>
            </w:r>
          </w:p>
        </w:tc>
      </w:tr>
    </w:tbl>
    <w:p>
      <w:pPr>
        <w:spacing w:after="20"/>
        <w:widowControl w:val="1"/>
      </w:pPr>
    </w:p>
    <w:p>
      <w:pPr>
        <w:widowControl w:val="1"/>
      </w:pPr>
      <w:r>
        <w:br w:type="page"/>
      </w:r>
    </w:p>
    <w:p>
      <w:pPr>
        <w:pStyle w:val="Heading1"/>
        <w:widowControl w:val="1"/>
      </w:pPr>
      <w:r>
        <w:t>10. Risks, assumptions and actions</w:t>
      </w:r>
    </w:p>
    <w:tbl>
      <w:tblPr>
        <w:tblStyle w:val="TableGrid"/>
        <w:tblW w:type="dxa" w:w="9360"/>
        <w:tblLayout w:type="fixed"/>
        <w:tblLook w:firstColumn="1" w:firstRow="1" w:lastColumn="0" w:lastRow="0" w:noHBand="0" w:noVBand="1" w:val="04A0"/>
        <w:jc w:val="left"/>
        <w:tblInd w:w="120" w:type="dxa"/>
      </w:tblPr>
      <w:tblGrid>
        <w:gridCol w:w="700"/>
        <w:gridCol w:w="3270"/>
        <w:gridCol w:w="2160"/>
        <w:gridCol w:w="3230"/>
      </w:tblGrid>
      <w:tr>
        <w:trPr>
          <w:tblHeader w:val="true"/>
          <w:cantSplit/>
        </w:trPr>
        <w:tc>
          <w:tcPr>
            <w:tcW w:type="dxa" w:w="70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ID</w:t>
            </w:r>
          </w:p>
        </w:tc>
        <w:tc>
          <w:tcPr>
            <w:tcW w:type="dxa" w:w="327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Risk / assumption</w:t>
            </w:r>
          </w:p>
        </w:tc>
        <w:tc>
          <w:tcPr>
            <w:tcW w:type="dxa" w:w="216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Impact</w:t>
            </w:r>
          </w:p>
        </w:tc>
        <w:tc>
          <w:tcPr>
            <w:tcW w:type="dxa" w:w="3230"/>
            <w:vAlign w:val="center"/>
            <w:tcMar>
              <w:top w:w="80" w:type="dxa"/>
              <w:start w:w="120" w:type="dxa"/>
              <w:bottom w:w="80" w:type="dxa"/>
              <w:end w:w="120" w:type="dxa"/>
            </w:tcMar>
            <w:shd w:fill="F2F4F7"/>
          </w:tcPr>
          <w:p>
            <w:pPr>
              <w:spacing w:after="0"/>
              <w:jc w:val="center"/>
            </w:pPr>
            <w:r>
              <w:rPr>
                <w:rFonts w:ascii="Calibri" w:hAnsi="Calibri" w:eastAsia="Calibri"/>
                <w:b/>
                <w:color w:val="17365D"/>
                <w:sz w:val="16"/>
              </w:rPr>
              <w:t>Control / owner input</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R1</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Reported hours use mixed definitions</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Invalid productivity comparison</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Standardize agent, human, blocked and wall time</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R2</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Token totals use different accounting</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Invalid model/cost comparison</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Capture input/cache/output separately</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R3</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Story claims may not satisfy global DoD</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Overstated progress</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Attach AC/test/PR/deploy evidence</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R4</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Dependencies can invalidate ideal parallel time</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Schedule slip</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Use batch gates and contract-first APIs</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R5</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Free trials expire</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Unexpected recurring cost</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Record expiry, seats, limits and renewal decision</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R6</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FE and integration evidence missing</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Incomplete project forecast</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Begin identical telemetry/status format for FE</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R7</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Proposal scope conflicts with backlog</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SOW dispute and budget mismatch</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Sponsor/team scope reconciliation meeting</w:t>
            </w:r>
          </w:p>
        </w:tc>
      </w:tr>
      <w:tr>
        <w:trPr>
          <w:cantSplit/>
        </w:trPr>
        <w:tc>
          <w:tcPr>
            <w:tcW w:type="dxa" w:w="700"/>
            <w:vAlign w:val="center"/>
            <w:tcMar>
              <w:top w:w="80" w:type="dxa"/>
              <w:start w:w="120" w:type="dxa"/>
              <w:bottom w:w="80" w:type="dxa"/>
              <w:end w:w="120" w:type="dxa"/>
            </w:tcMar>
          </w:tcPr>
          <w:p>
            <w:pPr>
              <w:spacing w:after="0"/>
            </w:pPr>
            <w:r>
              <w:rPr>
                <w:rFonts w:ascii="Calibri" w:hAnsi="Calibri" w:eastAsia="Calibri"/>
                <w:color w:val="000000"/>
                <w:sz w:val="16"/>
              </w:rPr>
              <w:t>R8</w:t>
            </w:r>
          </w:p>
        </w:tc>
        <w:tc>
          <w:tcPr>
            <w:tcW w:type="dxa" w:w="3270"/>
            <w:vAlign w:val="center"/>
            <w:tcMar>
              <w:top w:w="80" w:type="dxa"/>
              <w:start w:w="120" w:type="dxa"/>
              <w:bottom w:w="80" w:type="dxa"/>
              <w:end w:w="120" w:type="dxa"/>
            </w:tcMar>
          </w:tcPr>
          <w:p>
            <w:pPr>
              <w:spacing w:after="0"/>
            </w:pPr>
            <w:r>
              <w:rPr>
                <w:rFonts w:ascii="Calibri" w:hAnsi="Calibri" w:eastAsia="Calibri"/>
                <w:color w:val="000000"/>
                <w:sz w:val="16"/>
              </w:rPr>
              <w:t>Infrastructure/service invoices missing</w:t>
            </w:r>
          </w:p>
        </w:tc>
        <w:tc>
          <w:tcPr>
            <w:tcW w:type="dxa" w:w="2160"/>
            <w:vAlign w:val="center"/>
            <w:tcMar>
              <w:top w:w="80" w:type="dxa"/>
              <w:start w:w="120" w:type="dxa"/>
              <w:bottom w:w="80" w:type="dxa"/>
              <w:end w:w="120" w:type="dxa"/>
            </w:tcMar>
          </w:tcPr>
          <w:p>
            <w:pPr>
              <w:spacing w:after="0"/>
            </w:pPr>
            <w:r>
              <w:rPr>
                <w:rFonts w:ascii="Calibri" w:hAnsi="Calibri" w:eastAsia="Calibri"/>
                <w:color w:val="000000"/>
                <w:sz w:val="16"/>
              </w:rPr>
              <w:t>Actual cost cannot be proven</w:t>
            </w:r>
          </w:p>
        </w:tc>
        <w:tc>
          <w:tcPr>
            <w:tcW w:type="dxa" w:w="3230"/>
            <w:vAlign w:val="center"/>
            <w:tcMar>
              <w:top w:w="80" w:type="dxa"/>
              <w:start w:w="120" w:type="dxa"/>
              <w:bottom w:w="80" w:type="dxa"/>
              <w:end w:w="120" w:type="dxa"/>
            </w:tcMar>
          </w:tcPr>
          <w:p>
            <w:pPr>
              <w:spacing w:after="0"/>
            </w:pPr>
            <w:r>
              <w:rPr>
                <w:rFonts w:ascii="Calibri" w:hAnsi="Calibri" w:eastAsia="Calibri"/>
                <w:color w:val="000000"/>
                <w:sz w:val="16"/>
              </w:rPr>
              <w:t>Cost ledger with receipt/credit evidence</w:t>
            </w:r>
          </w:p>
        </w:tc>
      </w:tr>
    </w:tbl>
    <w:p>
      <w:pPr>
        <w:spacing w:after="20"/>
        <w:widowControl w:val="1"/>
      </w:pPr>
    </w:p>
    <w:p>
      <w:pPr>
        <w:pStyle w:val="Heading2"/>
        <w:widowControl w:val="1"/>
      </w:pPr>
      <w:r>
        <w:t>Immediate actions</w:t>
      </w:r>
    </w:p>
    <w:p>
      <w:pPr>
        <w:pStyle w:val="ListNumber"/>
        <w:spacing w:after="100" w:line="280" w:lineRule="auto"/>
        <w:ind w:left="720" w:hanging="360"/>
        <w:widowControl w:val="1"/>
      </w:pPr>
      <w:r>
        <w:rPr>
          <w:rFonts w:ascii="Calibri" w:hAnsi="Calibri" w:eastAsia="Calibri"/>
          <w:color w:val="000000"/>
          <w:sz w:val="22"/>
        </w:rPr>
        <w:t>Confirm that the 3 h/5 h/2 h dataset belongs to BE2 Đạt and the 15 h/20 h dataset belongs to BE1 Chí.</w:t>
      </w:r>
    </w:p>
    <w:p>
      <w:pPr>
        <w:pStyle w:val="ListNumber"/>
        <w:spacing w:after="100" w:line="280" w:lineRule="auto"/>
        <w:ind w:left="720" w:hanging="360"/>
        <w:widowControl w:val="1"/>
      </w:pPr>
      <w:r>
        <w:rPr>
          <w:rFonts w:ascii="Calibri" w:hAnsi="Calibri" w:eastAsia="Calibri"/>
          <w:color w:val="000000"/>
          <w:sz w:val="22"/>
        </w:rPr>
        <w:t>For each claimed story, mark Coding complete / Tested / Reviewed / Merged / Deployed / Accepted.</w:t>
      </w:r>
    </w:p>
    <w:p>
      <w:pPr>
        <w:pStyle w:val="ListNumber"/>
        <w:spacing w:after="100" w:line="280" w:lineRule="auto"/>
        <w:ind w:left="720" w:hanging="360"/>
        <w:widowControl w:val="1"/>
      </w:pPr>
      <w:r>
        <w:rPr>
          <w:rFonts w:ascii="Calibri" w:hAnsi="Calibri" w:eastAsia="Calibri"/>
          <w:color w:val="000000"/>
          <w:sz w:val="22"/>
        </w:rPr>
        <w:t>Reconcile Mobile-only versus Web and in-product AI versus no-AI MVP in the SOW.</w:t>
      </w:r>
    </w:p>
    <w:p>
      <w:pPr>
        <w:pStyle w:val="ListNumber"/>
        <w:spacing w:after="100" w:line="280" w:lineRule="auto"/>
        <w:ind w:left="720" w:hanging="360"/>
        <w:widowControl w:val="1"/>
      </w:pPr>
      <w:r>
        <w:rPr>
          <w:rFonts w:ascii="Calibri" w:hAnsi="Calibri" w:eastAsia="Calibri"/>
          <w:color w:val="000000"/>
          <w:sz w:val="22"/>
        </w:rPr>
        <w:t>Record AI trial expiry dates, paid renewal decision and provider billing basis.</w:t>
      </w:r>
    </w:p>
    <w:p>
      <w:pPr>
        <w:pStyle w:val="ListNumber"/>
        <w:spacing w:after="100" w:line="280" w:lineRule="auto"/>
        <w:ind w:left="720" w:hanging="360"/>
        <w:widowControl w:val="1"/>
      </w:pPr>
      <w:r>
        <w:rPr>
          <w:rFonts w:ascii="Calibri" w:hAnsi="Calibri" w:eastAsia="Calibri"/>
          <w:color w:val="000000"/>
          <w:sz w:val="22"/>
        </w:rPr>
        <w:t>Adopt the same turn-level telemetry/report format for every member and frontend work.</w:t>
      </w:r>
    </w:p>
    <w:p>
      <w:pPr>
        <w:pStyle w:val="ListNumber"/>
        <w:spacing w:after="100" w:line="280" w:lineRule="auto"/>
        <w:ind w:left="720" w:hanging="360"/>
        <w:widowControl w:val="1"/>
      </w:pPr>
      <w:r>
        <w:rPr>
          <w:rFonts w:ascii="Calibri" w:hAnsi="Calibri" w:eastAsia="Calibri"/>
          <w:color w:val="000000"/>
          <w:sz w:val="22"/>
        </w:rPr>
        <w:t>After 5–10 additional Done stories, recompute O/M/P rates and replace the provisional forecast.</w:t>
      </w:r>
    </w:p>
    <w:p>
      <w:pPr>
        <w:pStyle w:val="Heading2"/>
        <w:widowControl w:val="1"/>
      </w:pPr>
      <w:r>
        <w:t>Inputs still required for a defensible final cost</w:t>
      </w:r>
    </w:p>
    <w:p>
      <w:pPr>
        <w:pStyle w:val="ListBullet"/>
        <w:spacing w:after="100" w:line="280" w:lineRule="auto"/>
        <w:ind w:left="720" w:hanging="360"/>
        <w:widowControl w:val="1"/>
      </w:pPr>
      <w:r>
        <w:rPr>
          <w:rFonts w:ascii="Calibri" w:hAnsi="Calibri" w:eastAsia="Calibri"/>
          <w:color w:val="000000"/>
          <w:sz w:val="22"/>
        </w:rPr>
        <w:t>Human review/prompt-writing time by member and agreed hourly shadow rate.</w:t>
      </w:r>
    </w:p>
    <w:p>
      <w:pPr>
        <w:pStyle w:val="ListBullet"/>
        <w:spacing w:after="100" w:line="280" w:lineRule="auto"/>
        <w:ind w:left="720" w:hanging="360"/>
        <w:widowControl w:val="1"/>
      </w:pPr>
      <w:r>
        <w:rPr>
          <w:rFonts w:ascii="Calibri" w:hAnsi="Calibri" w:eastAsia="Calibri"/>
          <w:color w:val="000000"/>
          <w:sz w:val="22"/>
        </w:rPr>
        <w:t>Actual hosting, database, storage, email/push, domain, CI and monitoring invoices/credits.</w:t>
      </w:r>
    </w:p>
    <w:p>
      <w:pPr>
        <w:pStyle w:val="ListBullet"/>
        <w:spacing w:after="100" w:line="280" w:lineRule="auto"/>
        <w:ind w:left="720" w:hanging="360"/>
        <w:widowControl w:val="1"/>
      </w:pPr>
      <w:r>
        <w:rPr>
          <w:rFonts w:ascii="Calibri" w:hAnsi="Calibri" w:eastAsia="Calibri"/>
          <w:color w:val="000000"/>
          <w:sz w:val="22"/>
        </w:rPr>
        <w:t>Post-trial subscription prices, seat counts, renewal dates and API token rate cards.</w:t>
      </w:r>
    </w:p>
    <w:p>
      <w:pPr>
        <w:pStyle w:val="ListBullet"/>
        <w:spacing w:after="100" w:line="280" w:lineRule="auto"/>
        <w:ind w:left="720" w:hanging="360"/>
        <w:widowControl w:val="1"/>
      </w:pPr>
      <w:r>
        <w:rPr>
          <w:rFonts w:ascii="Calibri" w:hAnsi="Calibri" w:eastAsia="Calibri"/>
          <w:color w:val="000000"/>
          <w:sz w:val="22"/>
        </w:rPr>
        <w:t>Frontend effort, integration effort, blocked time, test failures/rework and deployment history.</w:t>
      </w:r>
    </w:p>
    <w:p>
      <w:pPr>
        <w:pStyle w:val="ListBullet"/>
        <w:spacing w:after="100" w:line="280" w:lineRule="auto"/>
        <w:ind w:left="720" w:hanging="360"/>
        <w:widowControl w:val="1"/>
      </w:pPr>
      <w:r>
        <w:rPr>
          <w:rFonts w:ascii="Calibri" w:hAnsi="Calibri" w:eastAsia="Calibri"/>
          <w:color w:val="000000"/>
          <w:sz w:val="22"/>
        </w:rPr>
        <w:t>Sponsor-approved SOW and acceptance authority.</w:t>
      </w:r>
    </w:p>
    <w:p>
      <w:pPr>
        <w:widowControl w:val="1"/>
      </w:pPr>
      <w:r>
        <w:br w:type="page"/>
      </w:r>
    </w:p>
    <w:p>
      <w:pPr>
        <w:pStyle w:val="Heading1"/>
        <w:widowControl w:val="1"/>
      </w:pPr>
      <w:r>
        <w:t>Appendix A. Story traceability by backend batch</w:t>
      </w:r>
    </w:p>
    <w:tbl>
      <w:tblPr>
        <w:tblStyle w:val="TableGrid"/>
        <w:tblW w:type="dxa" w:w="9360"/>
        <w:tblLayout w:type="fixed"/>
        <w:tblLook w:firstColumn="1" w:firstRow="1" w:lastColumn="0" w:lastRow="0" w:noHBand="0" w:noVBand="1" w:val="04A0"/>
        <w:jc w:val="left"/>
        <w:tblInd w:w="120" w:type="dxa"/>
      </w:tblPr>
      <w:tblGrid>
        <w:gridCol w:w="800"/>
        <w:gridCol w:w="900"/>
        <w:gridCol w:w="3730"/>
        <w:gridCol w:w="3930"/>
      </w:tblGrid>
      <w:tr>
        <w:trPr>
          <w:tblHeader w:val="true"/>
          <w:cantSplit/>
        </w:trPr>
        <w:tc>
          <w:tcPr>
            <w:tcW w:type="dxa" w:w="8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Batch</w:t>
            </w:r>
          </w:p>
        </w:tc>
        <w:tc>
          <w:tcPr>
            <w:tcW w:type="dxa" w:w="9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Owner</w:t>
            </w:r>
          </w:p>
        </w:tc>
        <w:tc>
          <w:tcPr>
            <w:tcW w:type="dxa" w:w="373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Stories / task</w:t>
            </w:r>
          </w:p>
        </w:tc>
        <w:tc>
          <w:tcPr>
            <w:tcW w:type="dxa" w:w="393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Product outcome</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B1</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BE1</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US-AUTH-01→06; US-PROFILE-01</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Registration, login/logout, authorization, password/profile</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B1</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BE2</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US-PROPERTY-01→02; US-ROOM-01→03</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Property and room setup</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B1</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BE3</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US-UTILITY-01→02; US-CHARGE-01</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Utility rates and recurring surcharges</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B2</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BE1</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US-TENANT-01→02; US-LEASE-01→06</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Tenant account and lease lifecycle</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B2</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BE2</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US-METER-01→03</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Initial/monthly/corrected readings</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B2</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BE3</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US-MAINT-01→05</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Submit, view, review, status, room history</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B3</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BE1</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Review, Test, Bug Fix</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Technical work; no story-throughput credit by itself</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B3</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BE2</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US-INVOICE-01→04</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Generate, view, download, review/send invoices</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B3</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BE3</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US-VIETQR-01→02; US-PAYMENT-01→03; US-REMINDER-01→02</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Payment configuration, proof, verification/history, reminders</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B4</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BE1</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US-DASH-01→02</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Occupancy and revenue dashboard</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B4</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BE2</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US-DASH-03→04</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Debt and lease-expiry dashboard</w:t>
            </w:r>
          </w:p>
        </w:tc>
      </w:tr>
      <w:tr>
        <w:trPr>
          <w:cantSplit/>
        </w:trPr>
        <w:tc>
          <w:tcPr>
            <w:tcW w:type="dxa" w:w="800"/>
            <w:vAlign w:val="center"/>
            <w:tcMar>
              <w:top w:w="80" w:type="dxa"/>
              <w:start w:w="120" w:type="dxa"/>
              <w:bottom w:w="80" w:type="dxa"/>
              <w:end w:w="120" w:type="dxa"/>
            </w:tcMar>
          </w:tcPr>
          <w:p>
            <w:pPr>
              <w:spacing w:after="0"/>
            </w:pPr>
            <w:r>
              <w:rPr>
                <w:rFonts w:ascii="Calibri" w:hAnsi="Calibri" w:eastAsia="Calibri"/>
                <w:color w:val="000000"/>
                <w:sz w:val="17"/>
              </w:rPr>
              <w:t>B4</w:t>
            </w:r>
          </w:p>
        </w:tc>
        <w:tc>
          <w:tcPr>
            <w:tcW w:type="dxa" w:w="900"/>
            <w:vAlign w:val="center"/>
            <w:tcMar>
              <w:top w:w="80" w:type="dxa"/>
              <w:start w:w="120" w:type="dxa"/>
              <w:bottom w:w="80" w:type="dxa"/>
              <w:end w:w="120" w:type="dxa"/>
            </w:tcMar>
          </w:tcPr>
          <w:p>
            <w:pPr>
              <w:spacing w:after="0"/>
            </w:pPr>
            <w:r>
              <w:rPr>
                <w:rFonts w:ascii="Calibri" w:hAnsi="Calibri" w:eastAsia="Calibri"/>
                <w:color w:val="000000"/>
                <w:sz w:val="17"/>
              </w:rPr>
              <w:t>BE3</w:t>
            </w:r>
          </w:p>
        </w:tc>
        <w:tc>
          <w:tcPr>
            <w:tcW w:type="dxa" w:w="3730"/>
            <w:vAlign w:val="center"/>
            <w:tcMar>
              <w:top w:w="80" w:type="dxa"/>
              <w:start w:w="120" w:type="dxa"/>
              <w:bottom w:w="80" w:type="dxa"/>
              <w:end w:w="120" w:type="dxa"/>
            </w:tcMar>
          </w:tcPr>
          <w:p>
            <w:pPr>
              <w:spacing w:after="0"/>
            </w:pPr>
            <w:r>
              <w:rPr>
                <w:rFonts w:ascii="Calibri" w:hAnsi="Calibri" w:eastAsia="Calibri"/>
                <w:color w:val="000000"/>
                <w:sz w:val="17"/>
              </w:rPr>
              <w:t>US-REPORT-01→05</w:t>
            </w:r>
          </w:p>
        </w:tc>
        <w:tc>
          <w:tcPr>
            <w:tcW w:type="dxa" w:w="3930"/>
            <w:vAlign w:val="center"/>
            <w:tcMar>
              <w:top w:w="80" w:type="dxa"/>
              <w:start w:w="120" w:type="dxa"/>
              <w:bottom w:w="80" w:type="dxa"/>
              <w:end w:w="120" w:type="dxa"/>
            </w:tcMar>
          </w:tcPr>
          <w:p>
            <w:pPr>
              <w:spacing w:after="0"/>
            </w:pPr>
            <w:r>
              <w:rPr>
                <w:rFonts w:ascii="Calibri" w:hAnsi="Calibri" w:eastAsia="Calibri"/>
                <w:color w:val="000000"/>
                <w:sz w:val="17"/>
              </w:rPr>
              <w:t>Reporting period, finance, occupancy, maintenance, PDF</w:t>
            </w:r>
          </w:p>
        </w:tc>
      </w:tr>
    </w:tbl>
    <w:p>
      <w:pPr>
        <w:spacing w:after="20"/>
        <w:widowControl w:val="1"/>
      </w:pPr>
    </w:p>
    <w:p>
      <w:pPr>
        <w:pStyle w:val="Heading1"/>
        <w:widowControl w:val="1"/>
      </w:pPr>
      <w:r>
        <w:t>Appendix B. Calculation ledger</w:t>
      </w:r>
    </w:p>
    <w:tbl>
      <w:tblPr>
        <w:tblStyle w:val="TableGrid"/>
        <w:tblW w:type="dxa" w:w="9360"/>
        <w:tblLayout w:type="fixed"/>
        <w:tblLook w:firstColumn="1" w:firstRow="1" w:lastColumn="0" w:lastRow="0" w:noHBand="0" w:noVBand="1" w:val="04A0"/>
        <w:jc w:val="left"/>
        <w:tblInd w:w="120" w:type="dxa"/>
      </w:tblPr>
      <w:tblGrid>
        <w:gridCol w:w="3200"/>
        <w:gridCol w:w="6160"/>
      </w:tblGrid>
      <w:tr>
        <w:trPr>
          <w:tblHeader w:val="true"/>
          <w:cantSplit/>
        </w:trPr>
        <w:tc>
          <w:tcPr>
            <w:tcW w:type="dxa" w:w="320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Calculation</w:t>
            </w:r>
          </w:p>
        </w:tc>
        <w:tc>
          <w:tcPr>
            <w:tcW w:type="dxa" w:w="6160"/>
            <w:vAlign w:val="center"/>
            <w:tcMar>
              <w:top w:w="80" w:type="dxa"/>
              <w:start w:w="120" w:type="dxa"/>
              <w:bottom w:w="80" w:type="dxa"/>
              <w:end w:w="120" w:type="dxa"/>
            </w:tcMar>
            <w:shd w:fill="F2F4F7"/>
          </w:tcPr>
          <w:p>
            <w:pPr>
              <w:spacing w:after="0"/>
              <w:jc w:val="center"/>
            </w:pPr>
            <w:r>
              <w:rPr>
                <w:rFonts w:ascii="Calibri" w:hAnsi="Calibri" w:eastAsia="Calibri"/>
                <w:b/>
                <w:color w:val="17365D"/>
                <w:sz w:val="18"/>
              </w:rPr>
              <w:t>Result</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Minh total</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56.564626 M tokens; 8,569.2 s = 2.3803 h</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Đạt total</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6.3 + 13.0 + 2.5 = 21.8 M tokens; 3 + 5 + 2 = 10 h</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Chí total</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135 M tokens; 15 + 20 = 35 h</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Observed aggregate</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213.364626 M tokens; 47.3803 h</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Provisional covered stories</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5 + 14 + (3 named Auth + 12 Batch-2) = 34</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Remaining nominal scope</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55 − 34 = 21 stories</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PERT expected rate</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(0.65 + 4×1.39 + 2.33) / 6 = 1.42 h/US</w:t>
            </w:r>
          </w:p>
        </w:tc>
      </w:tr>
      <w:tr>
        <w:trPr>
          <w:cantSplit/>
        </w:trPr>
        <w:tc>
          <w:tcPr>
            <w:tcW w:type="dxa" w:w="3200"/>
            <w:vAlign w:val="center"/>
            <w:tcMar>
              <w:top w:w="80" w:type="dxa"/>
              <w:start w:w="120" w:type="dxa"/>
              <w:bottom w:w="80" w:type="dxa"/>
              <w:end w:w="120" w:type="dxa"/>
            </w:tcMar>
          </w:tcPr>
          <w:p>
            <w:pPr>
              <w:spacing w:after="0"/>
            </w:pPr>
            <w:r>
              <w:rPr>
                <w:rFonts w:ascii="Calibri" w:hAnsi="Calibri" w:eastAsia="Calibri"/>
                <w:color w:val="000000"/>
                <w:sz w:val="18"/>
              </w:rPr>
              <w:t>Planning commitment</w:t>
            </w:r>
          </w:p>
        </w:tc>
        <w:tc>
          <w:tcPr>
            <w:tcW w:type="dxa" w:w="6160"/>
            <w:vAlign w:val="center"/>
            <w:tcMar>
              <w:top w:w="80" w:type="dxa"/>
              <w:start w:w="120" w:type="dxa"/>
              <w:bottom w:w="80" w:type="dxa"/>
              <w:end w:w="120" w:type="dxa"/>
            </w:tcMar>
          </w:tcPr>
          <w:p>
            <w:pPr>
              <w:spacing w:after="0"/>
            </w:pPr>
            <w:r>
              <w:rPr>
                <w:rFonts w:ascii="Calibri" w:hAnsi="Calibri" w:eastAsia="Calibri"/>
                <w:color w:val="000000"/>
                <w:sz w:val="18"/>
              </w:rPr>
              <w:t>21 × 1.42 × 1.30 × 1.20 = 46.5 h</w:t>
            </w:r>
          </w:p>
        </w:tc>
      </w:tr>
    </w:tbl>
    <w:p>
      <w:pPr>
        <w:spacing w:after="20"/>
        <w:widowControl w:val="1"/>
      </w:pPr>
    </w:p>
    <w:p>
      <w:pPr>
        <w:pStyle w:val="Heading1"/>
        <w:widowControl w:val="1"/>
      </w:pPr>
      <w:r>
        <w:t>Appendix C. Source register</w:t>
      </w:r>
    </w:p>
    <w:tbl>
      <w:tblPr>
        <w:tblStyle w:val="TableGrid"/>
        <w:tblW w:type="dxa" w:w="9360"/>
        <w:tblLayout w:type="fixed"/>
        <w:tblLook w:firstColumn="1" w:firstRow="1" w:lastColumn="0" w:lastRow="0" w:noHBand="0" w:noVBand="1" w:val="04A0"/>
        <w:jc w:val="left"/>
        <w:tblInd w:w="120" w:type="dxa"/>
      </w:tblPr>
      <w:tblGrid>
        <w:gridCol w:w="3900"/>
        <w:gridCol w:w="5460"/>
      </w:tblGrid>
      <w:tr>
        <w:trPr>
          <w:tblHeader w:val="true"/>
          <w:cantSplit/>
        </w:trPr>
        <w:tc>
          <w:tcPr>
            <w:tcW w:type="dxa" w:w="390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Source</w:t>
            </w:r>
          </w:p>
        </w:tc>
        <w:tc>
          <w:tcPr>
            <w:tcW w:type="dxa" w:w="5460"/>
            <w:vAlign w:val="center"/>
            <w:tcMar>
              <w:top w:w="80" w:type="dxa"/>
              <w:start w:w="120" w:type="dxa"/>
              <w:bottom w:w="80" w:type="dxa"/>
              <w:end w:w="120" w:type="dxa"/>
            </w:tcMar>
            <w:shd w:fill="F2F4F7"/>
          </w:tcPr>
          <w:p>
            <w:pPr>
              <w:spacing w:after="0"/>
              <w:jc w:val="center"/>
            </w:pPr>
            <w:r>
              <w:rPr>
                <w:rFonts w:ascii="Calibri" w:hAnsi="Calibri" w:eastAsia="Calibri"/>
                <w:b/>
                <w:color w:val="17365D"/>
                <w:sz w:val="17"/>
              </w:rPr>
              <w:t>Use</w:t>
            </w:r>
          </w:p>
        </w:tc>
      </w:tr>
      <w:tr>
        <w:trPr>
          <w:cantSplit/>
        </w:trPr>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D:\Downloads\Phân công.txt</w:t>
            </w:r>
          </w:p>
        </w:tc>
        <w:tc>
          <w:tcPr>
            <w:tcW w:type="dxa" w:w="5460"/>
            <w:vAlign w:val="center"/>
            <w:tcMar>
              <w:top w:w="80" w:type="dxa"/>
              <w:start w:w="120" w:type="dxa"/>
              <w:bottom w:w="80" w:type="dxa"/>
              <w:end w:w="120" w:type="dxa"/>
            </w:tcMar>
          </w:tcPr>
          <w:p>
            <w:pPr>
              <w:spacing w:after="0"/>
            </w:pPr>
            <w:r>
              <w:rPr>
                <w:rFonts w:ascii="Calibri" w:hAnsi="Calibri" w:eastAsia="Calibri"/>
                <w:color w:val="000000"/>
                <w:sz w:val="17"/>
              </w:rPr>
              <w:t>Governing BE/FE batch allocation</w:t>
            </w:r>
          </w:p>
        </w:tc>
      </w:tr>
      <w:tr>
        <w:trPr>
          <w:cantSplit/>
        </w:trPr>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docs\product_backlog.md</w:t>
            </w:r>
          </w:p>
        </w:tc>
        <w:tc>
          <w:tcPr>
            <w:tcW w:type="dxa" w:w="5460"/>
            <w:vAlign w:val="center"/>
            <w:tcMar>
              <w:top w:w="80" w:type="dxa"/>
              <w:start w:w="120" w:type="dxa"/>
              <w:bottom w:w="80" w:type="dxa"/>
              <w:end w:w="120" w:type="dxa"/>
            </w:tcMar>
          </w:tcPr>
          <w:p>
            <w:pPr>
              <w:spacing w:after="0"/>
            </w:pPr>
            <w:r>
              <w:rPr>
                <w:rFonts w:ascii="Calibri" w:hAnsi="Calibri" w:eastAsia="Calibri"/>
                <w:color w:val="000000"/>
                <w:sz w:val="17"/>
              </w:rPr>
              <w:t>Story outcomes, dependencies, product decisions and global DoD</w:t>
            </w:r>
          </w:p>
        </w:tc>
      </w:tr>
      <w:tr>
        <w:trPr>
          <w:cantSplit/>
        </w:trPr>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docs\proposal\time.md</w:t>
            </w:r>
          </w:p>
        </w:tc>
        <w:tc>
          <w:tcPr>
            <w:tcW w:type="dxa" w:w="5460"/>
            <w:vAlign w:val="center"/>
            <w:tcMar>
              <w:top w:w="80" w:type="dxa"/>
              <w:start w:w="120" w:type="dxa"/>
              <w:bottom w:w="80" w:type="dxa"/>
              <w:end w:w="120" w:type="dxa"/>
            </w:tcMar>
          </w:tcPr>
          <w:p>
            <w:pPr>
              <w:spacing w:after="0"/>
            </w:pPr>
            <w:r>
              <w:rPr>
                <w:rFonts w:ascii="Calibri" w:hAnsi="Calibri" w:eastAsia="Calibri"/>
                <w:color w:val="000000"/>
                <w:sz w:val="17"/>
              </w:rPr>
              <w:t>8–10 week proposal schedule baseline</w:t>
            </w:r>
          </w:p>
        </w:tc>
      </w:tr>
      <w:tr>
        <w:trPr>
          <w:cantSplit/>
        </w:trPr>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docs\proposal\cost.md and budget.md</w:t>
            </w:r>
          </w:p>
        </w:tc>
        <w:tc>
          <w:tcPr>
            <w:tcW w:type="dxa" w:w="5460"/>
            <w:vAlign w:val="center"/>
            <w:tcMar>
              <w:top w:w="80" w:type="dxa"/>
              <w:start w:w="120" w:type="dxa"/>
              <w:bottom w:w="80" w:type="dxa"/>
              <w:end w:w="120" w:type="dxa"/>
            </w:tcMar>
          </w:tcPr>
          <w:p>
            <w:pPr>
              <w:spacing w:after="0"/>
            </w:pPr>
            <w:r>
              <w:rPr>
                <w:rFonts w:ascii="Calibri" w:hAnsi="Calibri" w:eastAsia="Calibri"/>
                <w:color w:val="000000"/>
                <w:sz w:val="17"/>
              </w:rPr>
              <w:t>4.25 M VND budget baseline</w:t>
            </w:r>
          </w:p>
        </w:tc>
      </w:tr>
      <w:tr>
        <w:trPr>
          <w:cantSplit/>
        </w:trPr>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C:\Users\admin\codex-telemetry\reports\*</w:t>
            </w:r>
          </w:p>
        </w:tc>
        <w:tc>
          <w:tcPr>
            <w:tcW w:type="dxa" w:w="5460"/>
            <w:vAlign w:val="center"/>
            <w:tcMar>
              <w:top w:w="80" w:type="dxa"/>
              <w:start w:w="120" w:type="dxa"/>
              <w:bottom w:w="80" w:type="dxa"/>
              <w:end w:w="120" w:type="dxa"/>
            </w:tcMar>
          </w:tcPr>
          <w:p>
            <w:pPr>
              <w:spacing w:after="0"/>
            </w:pPr>
            <w:r>
              <w:rPr>
                <w:rFonts w:ascii="Calibri" w:hAnsi="Calibri" w:eastAsia="Calibri"/>
                <w:color w:val="000000"/>
                <w:sz w:val="17"/>
              </w:rPr>
              <w:t>Minh turn-level token/time evidence</w:t>
            </w:r>
          </w:p>
        </w:tc>
      </w:tr>
      <w:tr>
        <w:trPr>
          <w:cantSplit/>
        </w:trPr>
        <w:tc>
          <w:tcPr>
            <w:tcW w:type="dxa" w:w="3900"/>
            <w:vAlign w:val="center"/>
            <w:tcMar>
              <w:top w:w="80" w:type="dxa"/>
              <w:start w:w="120" w:type="dxa"/>
              <w:bottom w:w="80" w:type="dxa"/>
              <w:end w:w="120" w:type="dxa"/>
            </w:tcMar>
          </w:tcPr>
          <w:p>
            <w:pPr>
              <w:spacing w:after="0"/>
            </w:pPr>
            <w:r>
              <w:rPr>
                <w:rFonts w:ascii="Calibri" w:hAnsi="Calibri" w:eastAsia="Calibri"/>
                <w:color w:val="000000"/>
                <w:sz w:val="17"/>
              </w:rPr>
              <w:t>Member declarations supplied in conversation</w:t>
            </w:r>
          </w:p>
        </w:tc>
        <w:tc>
          <w:tcPr>
            <w:tcW w:type="dxa" w:w="5460"/>
            <w:vAlign w:val="center"/>
            <w:tcMar>
              <w:top w:w="80" w:type="dxa"/>
              <w:start w:w="120" w:type="dxa"/>
              <w:bottom w:w="80" w:type="dxa"/>
              <w:end w:w="120" w:type="dxa"/>
            </w:tcMar>
          </w:tcPr>
          <w:p>
            <w:pPr>
              <w:spacing w:after="0"/>
            </w:pPr>
            <w:r>
              <w:rPr>
                <w:rFonts w:ascii="Calibri" w:hAnsi="Calibri" w:eastAsia="Calibri"/>
                <w:color w:val="000000"/>
                <w:sz w:val="17"/>
              </w:rPr>
              <w:t>Đạt/Chí aggregate time and token evidence</w:t>
            </w:r>
          </w:p>
        </w:tc>
      </w:tr>
    </w:tbl>
    <w:p>
      <w:pPr>
        <w:spacing w:after="20"/>
        <w:widowControl w:val="1"/>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6666"/>
        <w:sz w:val="16"/>
      </w:rPr>
      <w:t xml:space="preserve">Internal baseline | 22/07/2026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666"/>
        <w:sz w:val="17"/>
      </w:rPr>
      <w:t>RosiHome | Software Project Estimation &amp;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after="80"/>
    </w:pPr>
    <w:rPr>
      <w:rFonts w:ascii="Calibri" w:hAnsi="Calibri"/>
      <w:b/>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RosiHome Cost, Time &amp; Resources Report</dc:title>
  <dc:subject>Software Project Estimation, Planning, Monitoring and Control</dc:subject>
  <dc:creator>RosiHome Team</dc:creator>
  <cp:keywords>RosiHome, estimation, AI coding, cost, time, resources, monitoring</cp:keywords>
  <dc:description>generated by python-docx</dc:description>
  <cp:lastModifiedBy/>
  <cp:revision>1</cp:revision>
  <dcterms:created xsi:type="dcterms:W3CDTF">2013-12-23T23:15:00Z</dcterms:created>
  <dcterms:modified xsi:type="dcterms:W3CDTF">2013-12-23T23:15:00Z</dcterms:modified>
  <cp:category/>
</cp:coreProperties>
</file>