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b/>
          <w:sz w:val="28"/>
        </w:rPr>
        <w:t>INTELLIGENT SYSTEM DEVELOPMENT</w:t>
      </w:r>
    </w:p>
    <w:p>
      <w:pPr>
        <w:spacing w:after="80" w:line="259" w:lineRule="auto"/>
      </w:pPr>
    </w:p>
    <w:p>
      <w:pPr>
        <w:spacing w:after="80" w:line="259" w:lineRule="auto"/>
        <w:jc w:val="center"/>
      </w:pPr>
      <w:r>
        <w:rPr>
          <w:b/>
          <w:sz w:val="40"/>
        </w:rPr>
        <w:t>ASSIGNMENT 01</w:t>
      </w:r>
    </w:p>
    <w:p>
      <w:pPr>
        <w:spacing w:after="80" w:line="259" w:lineRule="auto"/>
        <w:jc w:val="center"/>
      </w:pPr>
      <w:r>
        <w:rPr>
          <w:b/>
          <w:sz w:val="36"/>
        </w:rPr>
        <w:t>Vietnam House Price Prediction Intelligent System</w:t>
      </w:r>
    </w:p>
    <w:p>
      <w:pPr>
        <w:spacing w:after="80" w:line="259" w:lineRule="auto"/>
        <w:jc w:val="center"/>
      </w:pPr>
      <w:r>
        <w:rPr>
          <w:i/>
        </w:rPr>
        <w:t>From Data Representation to a First Intelligent System</w:t>
      </w:r>
    </w:p>
    <w:p>
      <w:pPr>
        <w:spacing w:after="80" w:line="259" w:lineRule="auto"/>
      </w:pPr>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7"/>
              </w:rPr>
              <w:t>Student</w:t>
            </w:r>
          </w:p>
        </w:tc>
        <w:tc>
          <w:tcPr>
            <w:tcW w:type="dxa" w:w="5040"/>
            <w:vAlign w:val="center"/>
          </w:tcPr>
          <w:p>
            <w:pPr>
              <w:spacing w:after="0"/>
            </w:pPr>
            <w:r>
              <w:rPr>
                <w:rFonts w:ascii="Arial" w:hAnsi="Arial"/>
                <w:sz w:val="17"/>
              </w:rPr>
              <w:t>........................................................</w:t>
            </w:r>
          </w:p>
        </w:tc>
      </w:tr>
      <w:tr>
        <w:tc>
          <w:tcPr>
            <w:tcW w:type="dxa" w:w="5040"/>
            <w:vAlign w:val="center"/>
          </w:tcPr>
          <w:p>
            <w:pPr>
              <w:spacing w:after="0"/>
            </w:pPr>
            <w:r>
              <w:rPr>
                <w:rFonts w:ascii="Arial" w:hAnsi="Arial"/>
                <w:b/>
                <w:sz w:val="17"/>
              </w:rPr>
              <w:t>Student ID</w:t>
            </w:r>
          </w:p>
        </w:tc>
        <w:tc>
          <w:tcPr>
            <w:tcW w:type="dxa" w:w="5040"/>
            <w:vAlign w:val="center"/>
          </w:tcPr>
          <w:p>
            <w:pPr>
              <w:spacing w:after="0"/>
            </w:pPr>
            <w:r>
              <w:rPr>
                <w:rFonts w:ascii="Arial" w:hAnsi="Arial"/>
                <w:sz w:val="17"/>
              </w:rPr>
              <w:t>........................................................</w:t>
            </w:r>
          </w:p>
        </w:tc>
      </w:tr>
      <w:tr>
        <w:tc>
          <w:tcPr>
            <w:tcW w:type="dxa" w:w="5040"/>
            <w:vAlign w:val="center"/>
          </w:tcPr>
          <w:p>
            <w:pPr>
              <w:spacing w:after="0"/>
            </w:pPr>
            <w:r>
              <w:rPr>
                <w:rFonts w:ascii="Arial" w:hAnsi="Arial"/>
                <w:b/>
                <w:sz w:val="17"/>
              </w:rPr>
              <w:t>Class</w:t>
            </w:r>
          </w:p>
        </w:tc>
        <w:tc>
          <w:tcPr>
            <w:tcW w:type="dxa" w:w="5040"/>
            <w:vAlign w:val="center"/>
          </w:tcPr>
          <w:p>
            <w:pPr>
              <w:spacing w:after="0"/>
            </w:pPr>
            <w:r>
              <w:rPr>
                <w:rFonts w:ascii="Arial" w:hAnsi="Arial"/>
                <w:sz w:val="17"/>
              </w:rPr>
              <w:t>........................................................</w:t>
            </w:r>
          </w:p>
        </w:tc>
      </w:tr>
      <w:tr>
        <w:tc>
          <w:tcPr>
            <w:tcW w:type="dxa" w:w="5040"/>
            <w:vAlign w:val="center"/>
          </w:tcPr>
          <w:p>
            <w:pPr>
              <w:spacing w:after="0"/>
            </w:pPr>
            <w:r>
              <w:rPr>
                <w:rFonts w:ascii="Arial" w:hAnsi="Arial"/>
                <w:b/>
                <w:sz w:val="17"/>
              </w:rPr>
              <w:t>Dataset</w:t>
            </w:r>
          </w:p>
        </w:tc>
        <w:tc>
          <w:tcPr>
            <w:tcW w:type="dxa" w:w="5040"/>
            <w:vAlign w:val="center"/>
          </w:tcPr>
          <w:p>
            <w:pPr>
              <w:spacing w:after="0"/>
            </w:pPr>
            <w:r>
              <w:rPr>
                <w:rFonts w:ascii="Arial" w:hAnsi="Arial"/>
                <w:sz w:val="17"/>
              </w:rPr>
              <w:t>House Price Prediction Dataset Vietnam - 2024</w:t>
            </w:r>
          </w:p>
        </w:tc>
      </w:tr>
    </w:tbl>
    <w:p>
      <w:pPr>
        <w:spacing w:after="80" w:line="259" w:lineRule="auto"/>
      </w:pPr>
    </w:p>
    <w:p>
      <w:pPr>
        <w:spacing w:after="80" w:line="259" w:lineRule="auto"/>
        <w:jc w:val="center"/>
      </w:pPr>
      <w:r>
        <w:rPr>
          <w:b/>
        </w:rPr>
        <w:t>Technical Report</w:t>
      </w:r>
    </w:p>
    <w:p>
      <w:pPr>
        <w:spacing w:after="80" w:line="259" w:lineRule="auto"/>
        <w:jc w:val="center"/>
      </w:pPr>
      <w:r>
        <w:rPr>
          <w:i/>
        </w:rPr>
        <w:t>Workflow adapted from Chapter 12 - Deploying Machine Learning Models</w:t>
      </w:r>
    </w:p>
    <w:p>
      <w:pPr>
        <w:spacing w:after="80" w:line="259" w:lineRule="auto"/>
      </w:pPr>
      <w:r>
        <w:br w:type="page"/>
      </w:r>
    </w:p>
    <w:p>
      <w:pPr>
        <w:pStyle w:val="Heading1"/>
        <w:spacing w:after="80" w:line="259" w:lineRule="auto"/>
      </w:pPr>
      <w:r>
        <w:t>1. Introduction</w:t>
      </w:r>
    </w:p>
    <w:p>
      <w:pPr>
        <w:spacing w:after="80" w:line="259" w:lineRule="auto"/>
      </w:pPr>
      <w:r>
        <w:t>This project develops a small intelligent system that predicts Vietnamese house prices from structured real-estate information. The implementation follows the course framework Understand -&gt; Represent -&gt; Learn -&gt; Experiment -&gt; Apply and adapts the workflow of Chapter 12 of Python Machine Learning: load data, clean data, inspect relationships, evaluate algorithms, select the best model, train with fit(), save/load the model, make predictions, and deploy an application.</w:t>
      </w:r>
    </w:p>
    <w:p>
      <w:pPr>
        <w:spacing w:after="80" w:line="259" w:lineRule="auto"/>
      </w:pPr>
      <w:r>
        <w:t>The teacher additionally requires three distribution charts, five machine-learning models, five evaluation metrics, selection of the best model, and a simple free mobile-phone deployment. The report also follows Assignment 01 requirements for baseline, controlled experiments, system demonstration, reflection, and reproducibility.</w:t>
      </w:r>
    </w:p>
    <w:p>
      <w:pPr>
        <w:pStyle w:val="Heading1"/>
        <w:spacing w:after="80" w:line="259" w:lineRule="auto"/>
      </w:pPr>
      <w:r>
        <w:t>2. Intelligent System Definition</w:t>
      </w:r>
    </w:p>
    <w:p>
      <w:pPr>
        <w:spacing w:after="80" w:line="259" w:lineRule="auto"/>
      </w:pPr>
      <w:r>
        <w:t>The system receives house attributes from a dataset or user interface, transforms them into a computational feature representation, applies the same preprocessing used during training, and produces a predicted price in billion VND. The result is intended as a reference estimate for buyers, sellers, or analysts rather than a professional appraisal.</w:t>
      </w:r>
    </w:p>
    <w:p>
      <w:pPr>
        <w:spacing w:after="80" w:line="259" w:lineRule="auto"/>
        <w:jc w:val="center"/>
      </w:pPr>
      <w:r>
        <w:drawing>
          <wp:inline xmlns:a="http://schemas.openxmlformats.org/drawingml/2006/main" xmlns:pic="http://schemas.openxmlformats.org/drawingml/2006/picture">
            <wp:extent cx="5760720" cy="1212145"/>
            <wp:docPr id="1" name="Picture 1"/>
            <wp:cNvGraphicFramePr>
              <a:graphicFrameLocks noChangeAspect="1"/>
            </wp:cNvGraphicFramePr>
            <a:graphic>
              <a:graphicData uri="http://schemas.openxmlformats.org/drawingml/2006/picture">
                <pic:pic>
                  <pic:nvPicPr>
                    <pic:cNvPr id="0" name="05_system_diagram.png"/>
                    <pic:cNvPicPr/>
                  </pic:nvPicPr>
                  <pic:blipFill>
                    <a:blip r:embed="rId9"/>
                    <a:stretch>
                      <a:fillRect/>
                    </a:stretch>
                  </pic:blipFill>
                  <pic:spPr>
                    <a:xfrm>
                      <a:off x="0" y="0"/>
                      <a:ext cx="5760720" cy="1212145"/>
                    </a:xfrm>
                    <a:prstGeom prst="rect"/>
                  </pic:spPr>
                </pic:pic>
              </a:graphicData>
            </a:graphic>
          </wp:inline>
        </w:drawing>
      </w:r>
    </w:p>
    <w:p>
      <w:pPr>
        <w:spacing w:after="80" w:line="259" w:lineRule="auto"/>
        <w:jc w:val="center"/>
      </w:pPr>
      <w:r>
        <w:rPr>
          <w:i/>
          <w:sz w:val="18"/>
        </w:rPr>
        <w:t>Figure 1. Complete intelligent-system path from input to predicted price (generated by notebook code).</w:t>
      </w:r>
    </w:p>
    <w:p>
      <w:pPr>
        <w:pStyle w:val="Heading1"/>
        <w:spacing w:after="80" w:line="259" w:lineRule="auto"/>
      </w:pPr>
      <w:r>
        <w:t>3. Problem Definition</w:t>
      </w:r>
    </w:p>
    <w:p>
      <w:pPr>
        <w:spacing w:after="80" w:line="259" w:lineRule="auto"/>
      </w:pPr>
      <w:r>
        <w:rPr>
          <w:b/>
        </w:rPr>
        <w:t xml:space="preserve">Formal problem statement: </w:t>
      </w:r>
      <w:r>
        <w:t>Given the selected feature vector representing a Vietnamese house, predict its numerical Price for a previously unseen property.</w:t>
      </w:r>
    </w:p>
    <w:p>
      <w:pPr>
        <w:pStyle w:val="ListBullet"/>
        <w:spacing w:after="80" w:line="259" w:lineRule="auto"/>
      </w:pPr>
      <w:r>
        <w:t>Learning type: supervised learning.</w:t>
      </w:r>
    </w:p>
    <w:p>
      <w:pPr>
        <w:pStyle w:val="ListBullet"/>
        <w:spacing w:after="80" w:line="259" w:lineRule="auto"/>
      </w:pPr>
      <w:r>
        <w:t>Task type: regression because Price is numerical.</w:t>
      </w:r>
    </w:p>
    <w:p>
      <w:pPr>
        <w:pStyle w:val="ListBullet"/>
        <w:spacing w:after="80" w:line="259" w:lineRule="auto"/>
      </w:pPr>
      <w:r>
        <w:t>Input: numerical and categorical house attributes plus location derived from Address.</w:t>
      </w:r>
    </w:p>
    <w:p>
      <w:pPr>
        <w:pStyle w:val="ListBullet"/>
        <w:spacing w:after="80" w:line="259" w:lineRule="auto"/>
      </w:pPr>
      <w:r>
        <w:t>Target: Price in billion VND.</w:t>
      </w:r>
    </w:p>
    <w:p>
      <w:pPr>
        <w:pStyle w:val="ListBullet"/>
        <w:spacing w:after="80" w:line="259" w:lineRule="auto"/>
      </w:pPr>
      <w:r>
        <w:t>Output: one predicted price for a new house.</w:t>
      </w:r>
    </w:p>
    <w:p>
      <w:pPr>
        <w:pStyle w:val="Heading1"/>
        <w:spacing w:after="80" w:line="259" w:lineRule="auto"/>
      </w:pPr>
      <w:r>
        <w:t>4. Dataset</w:t>
      </w:r>
    </w:p>
    <w:p>
      <w:pPr>
        <w:spacing w:after="80" w:line="259" w:lineRule="auto"/>
      </w:pPr>
      <w:r>
        <w:t>The project uses the provided gia_nha.csv from the House Price Prediction Dataset Vietnam - 2024. The file contains 30,229 observations and 12 original columns. One observation corresponds to one property listing.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pPr>
              <w:spacing w:after="0"/>
            </w:pPr>
            <w:r>
              <w:rPr>
                <w:rFonts w:ascii="Arial" w:hAnsi="Arial"/>
                <w:sz w:val="17"/>
              </w:rPr>
              <w:t>Original feature</w:t>
            </w:r>
          </w:p>
        </w:tc>
        <w:tc>
          <w:tcPr>
            <w:tcW w:type="dxa" w:w="3360"/>
            <w:shd w:fill="D9EAF7"/>
            <w:vAlign w:val="center"/>
          </w:tcPr>
          <w:p>
            <w:pPr>
              <w:spacing w:after="0"/>
            </w:pPr>
            <w:r>
              <w:rPr>
                <w:rFonts w:ascii="Arial" w:hAnsi="Arial"/>
                <w:sz w:val="17"/>
              </w:rPr>
              <w:t>Type</w:t>
            </w:r>
          </w:p>
        </w:tc>
        <w:tc>
          <w:tcPr>
            <w:tcW w:type="dxa" w:w="3360"/>
            <w:shd w:fill="D9EAF7"/>
            <w:vAlign w:val="center"/>
          </w:tcPr>
          <w:p>
            <w:pPr>
              <w:spacing w:after="0"/>
            </w:pPr>
            <w:r>
              <w:rPr>
                <w:rFonts w:ascii="Arial" w:hAnsi="Arial"/>
                <w:sz w:val="17"/>
              </w:rPr>
              <w:t>Meaning</w:t>
            </w:r>
          </w:p>
        </w:tc>
      </w:tr>
      <w:tr>
        <w:tc>
          <w:tcPr>
            <w:tcW w:type="dxa" w:w="3360"/>
            <w:vAlign w:val="center"/>
          </w:tcPr>
          <w:p>
            <w:pPr>
              <w:spacing w:after="0"/>
            </w:pPr>
            <w:r>
              <w:rPr>
                <w:rFonts w:ascii="Arial" w:hAnsi="Arial"/>
                <w:sz w:val="17"/>
              </w:rPr>
              <w:t>Address</w:t>
            </w:r>
          </w:p>
        </w:tc>
        <w:tc>
          <w:tcPr>
            <w:tcW w:type="dxa" w:w="3360"/>
            <w:vAlign w:val="center"/>
          </w:tcPr>
          <w:p>
            <w:pPr>
              <w:spacing w:after="0"/>
            </w:pPr>
            <w:r>
              <w:rPr>
                <w:rFonts w:ascii="Arial" w:hAnsi="Arial"/>
                <w:sz w:val="17"/>
              </w:rPr>
              <w:t>Categorical/text</w:t>
            </w:r>
          </w:p>
        </w:tc>
        <w:tc>
          <w:tcPr>
            <w:tcW w:type="dxa" w:w="3360"/>
            <w:vAlign w:val="center"/>
          </w:tcPr>
          <w:p>
            <w:pPr>
              <w:spacing w:after="0"/>
            </w:pPr>
            <w:r>
              <w:rPr>
                <w:rFonts w:ascii="Arial" w:hAnsi="Arial"/>
                <w:sz w:val="17"/>
              </w:rPr>
              <w:t>Property address; transformed into Province and District</w:t>
            </w:r>
          </w:p>
        </w:tc>
      </w:tr>
      <w:tr>
        <w:tc>
          <w:tcPr>
            <w:tcW w:type="dxa" w:w="3360"/>
            <w:vAlign w:val="center"/>
          </w:tcPr>
          <w:p>
            <w:pPr>
              <w:spacing w:after="0"/>
            </w:pPr>
            <w:r>
              <w:rPr>
                <w:rFonts w:ascii="Arial" w:hAnsi="Arial"/>
                <w:sz w:val="17"/>
              </w:rPr>
              <w:t>Area</w:t>
            </w:r>
          </w:p>
        </w:tc>
        <w:tc>
          <w:tcPr>
            <w:tcW w:type="dxa" w:w="3360"/>
            <w:vAlign w:val="center"/>
          </w:tcPr>
          <w:p>
            <w:pPr>
              <w:spacing w:after="0"/>
            </w:pPr>
            <w:r>
              <w:rPr>
                <w:rFonts w:ascii="Arial" w:hAnsi="Arial"/>
                <w:sz w:val="17"/>
              </w:rPr>
              <w:t>Numerical</w:t>
            </w:r>
          </w:p>
        </w:tc>
        <w:tc>
          <w:tcPr>
            <w:tcW w:type="dxa" w:w="3360"/>
            <w:vAlign w:val="center"/>
          </w:tcPr>
          <w:p>
            <w:pPr>
              <w:spacing w:after="0"/>
            </w:pPr>
            <w:r>
              <w:rPr>
                <w:rFonts w:ascii="Arial" w:hAnsi="Arial"/>
                <w:sz w:val="17"/>
              </w:rPr>
              <w:t>House area in square metres</w:t>
            </w:r>
          </w:p>
        </w:tc>
      </w:tr>
      <w:tr>
        <w:tc>
          <w:tcPr>
            <w:tcW w:type="dxa" w:w="3360"/>
            <w:vAlign w:val="center"/>
          </w:tcPr>
          <w:p>
            <w:pPr>
              <w:spacing w:after="0"/>
            </w:pPr>
            <w:r>
              <w:rPr>
                <w:rFonts w:ascii="Arial" w:hAnsi="Arial"/>
                <w:sz w:val="17"/>
              </w:rPr>
              <w:t>Frontage</w:t>
            </w:r>
          </w:p>
        </w:tc>
        <w:tc>
          <w:tcPr>
            <w:tcW w:type="dxa" w:w="3360"/>
            <w:vAlign w:val="center"/>
          </w:tcPr>
          <w:p>
            <w:pPr>
              <w:spacing w:after="0"/>
            </w:pPr>
            <w:r>
              <w:rPr>
                <w:rFonts w:ascii="Arial" w:hAnsi="Arial"/>
                <w:sz w:val="17"/>
              </w:rPr>
              <w:t>Numerical</w:t>
            </w:r>
          </w:p>
        </w:tc>
        <w:tc>
          <w:tcPr>
            <w:tcW w:type="dxa" w:w="3360"/>
            <w:vAlign w:val="center"/>
          </w:tcPr>
          <w:p>
            <w:pPr>
              <w:spacing w:after="0"/>
            </w:pPr>
            <w:r>
              <w:rPr>
                <w:rFonts w:ascii="Arial" w:hAnsi="Arial"/>
                <w:sz w:val="17"/>
              </w:rPr>
              <w:t>Frontage width</w:t>
            </w:r>
          </w:p>
        </w:tc>
      </w:tr>
      <w:tr>
        <w:tc>
          <w:tcPr>
            <w:tcW w:type="dxa" w:w="3360"/>
            <w:vAlign w:val="center"/>
          </w:tcPr>
          <w:p>
            <w:pPr>
              <w:spacing w:after="0"/>
            </w:pPr>
            <w:r>
              <w:rPr>
                <w:rFonts w:ascii="Arial" w:hAnsi="Arial"/>
                <w:sz w:val="17"/>
              </w:rPr>
              <w:t>Access Road</w:t>
            </w:r>
          </w:p>
        </w:tc>
        <w:tc>
          <w:tcPr>
            <w:tcW w:type="dxa" w:w="3360"/>
            <w:vAlign w:val="center"/>
          </w:tcPr>
          <w:p>
            <w:pPr>
              <w:spacing w:after="0"/>
            </w:pPr>
            <w:r>
              <w:rPr>
                <w:rFonts w:ascii="Arial" w:hAnsi="Arial"/>
                <w:sz w:val="17"/>
              </w:rPr>
              <w:t>Numerical</w:t>
            </w:r>
          </w:p>
        </w:tc>
        <w:tc>
          <w:tcPr>
            <w:tcW w:type="dxa" w:w="3360"/>
            <w:vAlign w:val="center"/>
          </w:tcPr>
          <w:p>
            <w:pPr>
              <w:spacing w:after="0"/>
            </w:pPr>
            <w:r>
              <w:rPr>
                <w:rFonts w:ascii="Arial" w:hAnsi="Arial"/>
                <w:sz w:val="17"/>
              </w:rPr>
              <w:t>Road/access width</w:t>
            </w:r>
          </w:p>
        </w:tc>
      </w:tr>
      <w:tr>
        <w:tc>
          <w:tcPr>
            <w:tcW w:type="dxa" w:w="3360"/>
            <w:vAlign w:val="center"/>
          </w:tcPr>
          <w:p>
            <w:pPr>
              <w:spacing w:after="0"/>
            </w:pPr>
            <w:r>
              <w:rPr>
                <w:rFonts w:ascii="Arial" w:hAnsi="Arial"/>
                <w:sz w:val="17"/>
              </w:rPr>
              <w:t>House direction</w:t>
            </w:r>
          </w:p>
        </w:tc>
        <w:tc>
          <w:tcPr>
            <w:tcW w:type="dxa" w:w="3360"/>
            <w:vAlign w:val="center"/>
          </w:tcPr>
          <w:p>
            <w:pPr>
              <w:spacing w:after="0"/>
            </w:pPr>
            <w:r>
              <w:rPr>
                <w:rFonts w:ascii="Arial" w:hAnsi="Arial"/>
                <w:sz w:val="17"/>
              </w:rPr>
              <w:t>Categorical</w:t>
            </w:r>
          </w:p>
        </w:tc>
        <w:tc>
          <w:tcPr>
            <w:tcW w:type="dxa" w:w="3360"/>
            <w:vAlign w:val="center"/>
          </w:tcPr>
          <w:p>
            <w:pPr>
              <w:spacing w:after="0"/>
            </w:pPr>
            <w:r>
              <w:rPr>
                <w:rFonts w:ascii="Arial" w:hAnsi="Arial"/>
                <w:sz w:val="17"/>
              </w:rPr>
              <w:t>House direction</w:t>
            </w:r>
          </w:p>
        </w:tc>
      </w:tr>
      <w:tr>
        <w:tc>
          <w:tcPr>
            <w:tcW w:type="dxa" w:w="3360"/>
            <w:vAlign w:val="center"/>
          </w:tcPr>
          <w:p>
            <w:pPr>
              <w:spacing w:after="0"/>
            </w:pPr>
            <w:r>
              <w:rPr>
                <w:rFonts w:ascii="Arial" w:hAnsi="Arial"/>
                <w:sz w:val="17"/>
              </w:rPr>
              <w:t>Balcony direction</w:t>
            </w:r>
          </w:p>
        </w:tc>
        <w:tc>
          <w:tcPr>
            <w:tcW w:type="dxa" w:w="3360"/>
            <w:vAlign w:val="center"/>
          </w:tcPr>
          <w:p>
            <w:pPr>
              <w:spacing w:after="0"/>
            </w:pPr>
            <w:r>
              <w:rPr>
                <w:rFonts w:ascii="Arial" w:hAnsi="Arial"/>
                <w:sz w:val="17"/>
              </w:rPr>
              <w:t>Categorical</w:t>
            </w:r>
          </w:p>
        </w:tc>
        <w:tc>
          <w:tcPr>
            <w:tcW w:type="dxa" w:w="3360"/>
            <w:vAlign w:val="center"/>
          </w:tcPr>
          <w:p>
            <w:pPr>
              <w:spacing w:after="0"/>
            </w:pPr>
            <w:r>
              <w:rPr>
                <w:rFonts w:ascii="Arial" w:hAnsi="Arial"/>
                <w:sz w:val="17"/>
              </w:rPr>
              <w:t>Balcony direction</w:t>
            </w:r>
          </w:p>
        </w:tc>
      </w:tr>
      <w:tr>
        <w:tc>
          <w:tcPr>
            <w:tcW w:type="dxa" w:w="3360"/>
            <w:vAlign w:val="center"/>
          </w:tcPr>
          <w:p>
            <w:pPr>
              <w:spacing w:after="0"/>
            </w:pPr>
            <w:r>
              <w:rPr>
                <w:rFonts w:ascii="Arial" w:hAnsi="Arial"/>
                <w:sz w:val="17"/>
              </w:rPr>
              <w:t>Floors</w:t>
            </w:r>
          </w:p>
        </w:tc>
        <w:tc>
          <w:tcPr>
            <w:tcW w:type="dxa" w:w="3360"/>
            <w:vAlign w:val="center"/>
          </w:tcPr>
          <w:p>
            <w:pPr>
              <w:spacing w:after="0"/>
            </w:pPr>
            <w:r>
              <w:rPr>
                <w:rFonts w:ascii="Arial" w:hAnsi="Arial"/>
                <w:sz w:val="17"/>
              </w:rPr>
              <w:t>Numerical</w:t>
            </w:r>
          </w:p>
        </w:tc>
        <w:tc>
          <w:tcPr>
            <w:tcW w:type="dxa" w:w="3360"/>
            <w:vAlign w:val="center"/>
          </w:tcPr>
          <w:p>
            <w:pPr>
              <w:spacing w:after="0"/>
            </w:pPr>
            <w:r>
              <w:rPr>
                <w:rFonts w:ascii="Arial" w:hAnsi="Arial"/>
                <w:sz w:val="17"/>
              </w:rPr>
              <w:t>Number of floors</w:t>
            </w:r>
          </w:p>
        </w:tc>
      </w:tr>
      <w:tr>
        <w:tc>
          <w:tcPr>
            <w:tcW w:type="dxa" w:w="3360"/>
            <w:vAlign w:val="center"/>
          </w:tcPr>
          <w:p>
            <w:pPr>
              <w:spacing w:after="0"/>
            </w:pPr>
            <w:r>
              <w:rPr>
                <w:rFonts w:ascii="Arial" w:hAnsi="Arial"/>
                <w:sz w:val="17"/>
              </w:rPr>
              <w:t>Bedrooms</w:t>
            </w:r>
          </w:p>
        </w:tc>
        <w:tc>
          <w:tcPr>
            <w:tcW w:type="dxa" w:w="3360"/>
            <w:vAlign w:val="center"/>
          </w:tcPr>
          <w:p>
            <w:pPr>
              <w:spacing w:after="0"/>
            </w:pPr>
            <w:r>
              <w:rPr>
                <w:rFonts w:ascii="Arial" w:hAnsi="Arial"/>
                <w:sz w:val="17"/>
              </w:rPr>
              <w:t>Numerical</w:t>
            </w:r>
          </w:p>
        </w:tc>
        <w:tc>
          <w:tcPr>
            <w:tcW w:type="dxa" w:w="3360"/>
            <w:vAlign w:val="center"/>
          </w:tcPr>
          <w:p>
            <w:pPr>
              <w:spacing w:after="0"/>
            </w:pPr>
            <w:r>
              <w:rPr>
                <w:rFonts w:ascii="Arial" w:hAnsi="Arial"/>
                <w:sz w:val="17"/>
              </w:rPr>
              <w:t>Number of bedrooms</w:t>
            </w:r>
          </w:p>
        </w:tc>
      </w:tr>
      <w:tr>
        <w:tc>
          <w:tcPr>
            <w:tcW w:type="dxa" w:w="3360"/>
            <w:vAlign w:val="center"/>
          </w:tcPr>
          <w:p>
            <w:pPr>
              <w:spacing w:after="0"/>
            </w:pPr>
            <w:r>
              <w:rPr>
                <w:rFonts w:ascii="Arial" w:hAnsi="Arial"/>
                <w:sz w:val="17"/>
              </w:rPr>
              <w:t>Bathrooms</w:t>
            </w:r>
          </w:p>
        </w:tc>
        <w:tc>
          <w:tcPr>
            <w:tcW w:type="dxa" w:w="3360"/>
            <w:vAlign w:val="center"/>
          </w:tcPr>
          <w:p>
            <w:pPr>
              <w:spacing w:after="0"/>
            </w:pPr>
            <w:r>
              <w:rPr>
                <w:rFonts w:ascii="Arial" w:hAnsi="Arial"/>
                <w:sz w:val="17"/>
              </w:rPr>
              <w:t>Numerical</w:t>
            </w:r>
          </w:p>
        </w:tc>
        <w:tc>
          <w:tcPr>
            <w:tcW w:type="dxa" w:w="3360"/>
            <w:vAlign w:val="center"/>
          </w:tcPr>
          <w:p>
            <w:pPr>
              <w:spacing w:after="0"/>
            </w:pPr>
            <w:r>
              <w:rPr>
                <w:rFonts w:ascii="Arial" w:hAnsi="Arial"/>
                <w:sz w:val="17"/>
              </w:rPr>
              <w:t>Number of bathrooms</w:t>
            </w:r>
          </w:p>
        </w:tc>
      </w:tr>
      <w:tr>
        <w:tc>
          <w:tcPr>
            <w:tcW w:type="dxa" w:w="3360"/>
            <w:vAlign w:val="center"/>
          </w:tcPr>
          <w:p>
            <w:pPr>
              <w:spacing w:after="0"/>
            </w:pPr>
            <w:r>
              <w:rPr>
                <w:rFonts w:ascii="Arial" w:hAnsi="Arial"/>
                <w:sz w:val="17"/>
              </w:rPr>
              <w:t>Legal status</w:t>
            </w:r>
          </w:p>
        </w:tc>
        <w:tc>
          <w:tcPr>
            <w:tcW w:type="dxa" w:w="3360"/>
            <w:vAlign w:val="center"/>
          </w:tcPr>
          <w:p>
            <w:pPr>
              <w:spacing w:after="0"/>
            </w:pPr>
            <w:r>
              <w:rPr>
                <w:rFonts w:ascii="Arial" w:hAnsi="Arial"/>
                <w:sz w:val="17"/>
              </w:rPr>
              <w:t>Categorical</w:t>
            </w:r>
          </w:p>
        </w:tc>
        <w:tc>
          <w:tcPr>
            <w:tcW w:type="dxa" w:w="3360"/>
            <w:vAlign w:val="center"/>
          </w:tcPr>
          <w:p>
            <w:pPr>
              <w:spacing w:after="0"/>
            </w:pPr>
            <w:r>
              <w:rPr>
                <w:rFonts w:ascii="Arial" w:hAnsi="Arial"/>
                <w:sz w:val="17"/>
              </w:rPr>
              <w:t>Legal status</w:t>
            </w:r>
          </w:p>
        </w:tc>
      </w:tr>
      <w:tr>
        <w:tc>
          <w:tcPr>
            <w:tcW w:type="dxa" w:w="3360"/>
            <w:vAlign w:val="center"/>
          </w:tcPr>
          <w:p>
            <w:pPr>
              <w:spacing w:after="0"/>
            </w:pPr>
            <w:r>
              <w:rPr>
                <w:rFonts w:ascii="Arial" w:hAnsi="Arial"/>
                <w:sz w:val="17"/>
              </w:rPr>
              <w:t>Furniture state</w:t>
            </w:r>
          </w:p>
        </w:tc>
        <w:tc>
          <w:tcPr>
            <w:tcW w:type="dxa" w:w="3360"/>
            <w:vAlign w:val="center"/>
          </w:tcPr>
          <w:p>
            <w:pPr>
              <w:spacing w:after="0"/>
            </w:pPr>
            <w:r>
              <w:rPr>
                <w:rFonts w:ascii="Arial" w:hAnsi="Arial"/>
                <w:sz w:val="17"/>
              </w:rPr>
              <w:t>Categorical</w:t>
            </w:r>
          </w:p>
        </w:tc>
        <w:tc>
          <w:tcPr>
            <w:tcW w:type="dxa" w:w="3360"/>
            <w:vAlign w:val="center"/>
          </w:tcPr>
          <w:p>
            <w:pPr>
              <w:spacing w:after="0"/>
            </w:pPr>
            <w:r>
              <w:rPr>
                <w:rFonts w:ascii="Arial" w:hAnsi="Arial"/>
                <w:sz w:val="17"/>
              </w:rPr>
              <w:t>Furniture status</w:t>
            </w:r>
          </w:p>
        </w:tc>
      </w:tr>
      <w:tr>
        <w:tc>
          <w:tcPr>
            <w:tcW w:type="dxa" w:w="3360"/>
            <w:vAlign w:val="center"/>
          </w:tcPr>
          <w:p>
            <w:pPr>
              <w:spacing w:after="0"/>
            </w:pPr>
            <w:r>
              <w:rPr>
                <w:rFonts w:ascii="Arial" w:hAnsi="Arial"/>
                <w:sz w:val="17"/>
              </w:rPr>
              <w:t>Price</w:t>
            </w:r>
          </w:p>
        </w:tc>
        <w:tc>
          <w:tcPr>
            <w:tcW w:type="dxa" w:w="3360"/>
            <w:vAlign w:val="center"/>
          </w:tcPr>
          <w:p>
            <w:pPr>
              <w:spacing w:after="0"/>
            </w:pPr>
            <w:r>
              <w:rPr>
                <w:rFonts w:ascii="Arial" w:hAnsi="Arial"/>
                <w:sz w:val="17"/>
              </w:rPr>
              <w:t>Numerical target</w:t>
            </w:r>
          </w:p>
        </w:tc>
        <w:tc>
          <w:tcPr>
            <w:tcW w:type="dxa" w:w="3360"/>
            <w:vAlign w:val="center"/>
          </w:tcPr>
          <w:p>
            <w:pPr>
              <w:spacing w:after="0"/>
            </w:pPr>
            <w:r>
              <w:rPr>
                <w:rFonts w:ascii="Arial" w:hAnsi="Arial"/>
                <w:sz w:val="17"/>
              </w:rPr>
              <w:t>House price in billion VND</w:t>
            </w:r>
          </w:p>
        </w:tc>
      </w:tr>
    </w:tbl>
    <w:p>
      <w:pPr>
        <w:pStyle w:val="Heading1"/>
        <w:spacing w:after="80" w:line="259" w:lineRule="auto"/>
      </w:pPr>
      <w:r>
        <w:t>5. Data Representation</w:t>
      </w:r>
    </w:p>
    <w:p>
      <w:pPr>
        <w:spacing w:after="80" w:line="259" w:lineRule="auto"/>
      </w:pPr>
      <w:r>
        <w:t>Traditional machine learning operates on a computational representation rather than the complete real-world object. Full Address has very high cardinality, so the notebook extracts Province and District from the last two comma-separated address components. This preserves coarse location information while keeping the feature vector compact.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spacing w:after="0"/>
            </w:pPr>
            <w:r>
              <w:rPr>
                <w:rFonts w:ascii="Arial" w:hAnsi="Arial"/>
                <w:sz w:val="17"/>
              </w:rPr>
              <w:t>Feature group</w:t>
            </w:r>
          </w:p>
        </w:tc>
        <w:tc>
          <w:tcPr>
            <w:tcW w:type="dxa" w:w="2520"/>
            <w:shd w:fill="D9EAF7"/>
            <w:vAlign w:val="center"/>
          </w:tcPr>
          <w:p>
            <w:pPr>
              <w:spacing w:after="0"/>
            </w:pPr>
            <w:r>
              <w:rPr>
                <w:rFonts w:ascii="Arial" w:hAnsi="Arial"/>
                <w:sz w:val="17"/>
              </w:rPr>
              <w:t>Type</w:t>
            </w:r>
          </w:p>
        </w:tc>
        <w:tc>
          <w:tcPr>
            <w:tcW w:type="dxa" w:w="2520"/>
            <w:shd w:fill="D9EAF7"/>
            <w:vAlign w:val="center"/>
          </w:tcPr>
          <w:p>
            <w:pPr>
              <w:spacing w:after="0"/>
            </w:pPr>
            <w:r>
              <w:rPr>
                <w:rFonts w:ascii="Arial" w:hAnsi="Arial"/>
                <w:sz w:val="17"/>
              </w:rPr>
              <w:t>Encoded representation</w:t>
            </w:r>
          </w:p>
        </w:tc>
        <w:tc>
          <w:tcPr>
            <w:tcW w:type="dxa" w:w="2520"/>
            <w:shd w:fill="D9EAF7"/>
            <w:vAlign w:val="center"/>
          </w:tcPr>
          <w:p>
            <w:pPr>
              <w:spacing w:after="0"/>
            </w:pPr>
            <w:r>
              <w:rPr>
                <w:rFonts w:ascii="Arial" w:hAnsi="Arial"/>
                <w:sz w:val="17"/>
              </w:rPr>
              <w:t>Preprocessing</w:t>
            </w:r>
          </w:p>
        </w:tc>
      </w:tr>
      <w:tr>
        <w:tc>
          <w:tcPr>
            <w:tcW w:type="dxa" w:w="2520"/>
            <w:vAlign w:val="center"/>
          </w:tcPr>
          <w:p>
            <w:pPr>
              <w:spacing w:after="0"/>
            </w:pPr>
            <w:r>
              <w:rPr>
                <w:rFonts w:ascii="Arial" w:hAnsi="Arial"/>
                <w:sz w:val="17"/>
              </w:rPr>
              <w:t>Area, Frontage, Access Road, Floors, Bedrooms, Bathrooms</w:t>
            </w:r>
          </w:p>
        </w:tc>
        <w:tc>
          <w:tcPr>
            <w:tcW w:type="dxa" w:w="2520"/>
            <w:vAlign w:val="center"/>
          </w:tcPr>
          <w:p>
            <w:pPr>
              <w:spacing w:after="0"/>
            </w:pPr>
            <w:r>
              <w:rPr>
                <w:rFonts w:ascii="Arial" w:hAnsi="Arial"/>
                <w:sz w:val="17"/>
              </w:rPr>
              <w:t>Numerical</w:t>
            </w:r>
          </w:p>
        </w:tc>
        <w:tc>
          <w:tcPr>
            <w:tcW w:type="dxa" w:w="2520"/>
            <w:vAlign w:val="center"/>
          </w:tcPr>
          <w:p>
            <w:pPr>
              <w:spacing w:after="0"/>
            </w:pPr>
            <w:r>
              <w:rPr>
                <w:rFonts w:ascii="Arial" w:hAnsi="Arial"/>
                <w:sz w:val="17"/>
              </w:rPr>
              <w:t>Real-valued features</w:t>
            </w:r>
          </w:p>
        </w:tc>
        <w:tc>
          <w:tcPr>
            <w:tcW w:type="dxa" w:w="2520"/>
            <w:vAlign w:val="center"/>
          </w:tcPr>
          <w:p>
            <w:pPr>
              <w:spacing w:after="0"/>
            </w:pPr>
            <w:r>
              <w:rPr>
                <w:rFonts w:ascii="Arial" w:hAnsi="Arial"/>
                <w:sz w:val="17"/>
              </w:rPr>
              <w:t>Median imputation + StandardScaler</w:t>
            </w:r>
          </w:p>
        </w:tc>
      </w:tr>
      <w:tr>
        <w:tc>
          <w:tcPr>
            <w:tcW w:type="dxa" w:w="2520"/>
            <w:vAlign w:val="center"/>
          </w:tcPr>
          <w:p>
            <w:pPr>
              <w:spacing w:after="0"/>
            </w:pPr>
            <w:r>
              <w:rPr>
                <w:rFonts w:ascii="Arial" w:hAnsi="Arial"/>
                <w:sz w:val="17"/>
              </w:rPr>
              <w:t>House direction, Balcony direction, Legal status, Furniture state</w:t>
            </w:r>
          </w:p>
        </w:tc>
        <w:tc>
          <w:tcPr>
            <w:tcW w:type="dxa" w:w="2520"/>
            <w:vAlign w:val="center"/>
          </w:tcPr>
          <w:p>
            <w:pPr>
              <w:spacing w:after="0"/>
            </w:pPr>
            <w:r>
              <w:rPr>
                <w:rFonts w:ascii="Arial" w:hAnsi="Arial"/>
                <w:sz w:val="17"/>
              </w:rPr>
              <w:t>Categorical</w:t>
            </w:r>
          </w:p>
        </w:tc>
        <w:tc>
          <w:tcPr>
            <w:tcW w:type="dxa" w:w="2520"/>
            <w:vAlign w:val="center"/>
          </w:tcPr>
          <w:p>
            <w:pPr>
              <w:spacing w:after="0"/>
            </w:pPr>
            <w:r>
              <w:rPr>
                <w:rFonts w:ascii="Arial" w:hAnsi="Arial"/>
                <w:sz w:val="17"/>
              </w:rPr>
              <w:t>Ordinal category codes</w:t>
            </w:r>
          </w:p>
        </w:tc>
        <w:tc>
          <w:tcPr>
            <w:tcW w:type="dxa" w:w="2520"/>
            <w:vAlign w:val="center"/>
          </w:tcPr>
          <w:p>
            <w:pPr>
              <w:spacing w:after="0"/>
            </w:pPr>
            <w:r>
              <w:rPr>
                <w:rFonts w:ascii="Arial" w:hAnsi="Arial"/>
                <w:sz w:val="17"/>
              </w:rPr>
              <w:t>Most-frequent imputation + OrdinalEncoder</w:t>
            </w:r>
          </w:p>
        </w:tc>
      </w:tr>
      <w:tr>
        <w:tc>
          <w:tcPr>
            <w:tcW w:type="dxa" w:w="2520"/>
            <w:vAlign w:val="center"/>
          </w:tcPr>
          <w:p>
            <w:pPr>
              <w:spacing w:after="0"/>
            </w:pPr>
            <w:r>
              <w:rPr>
                <w:rFonts w:ascii="Arial" w:hAnsi="Arial"/>
                <w:sz w:val="17"/>
              </w:rPr>
              <w:t>Province, District</w:t>
            </w:r>
          </w:p>
        </w:tc>
        <w:tc>
          <w:tcPr>
            <w:tcW w:type="dxa" w:w="2520"/>
            <w:vAlign w:val="center"/>
          </w:tcPr>
          <w:p>
            <w:pPr>
              <w:spacing w:after="0"/>
            </w:pPr>
            <w:r>
              <w:rPr>
                <w:rFonts w:ascii="Arial" w:hAnsi="Arial"/>
                <w:sz w:val="17"/>
              </w:rPr>
              <w:t>Categorical location</w:t>
            </w:r>
          </w:p>
        </w:tc>
        <w:tc>
          <w:tcPr>
            <w:tcW w:type="dxa" w:w="2520"/>
            <w:vAlign w:val="center"/>
          </w:tcPr>
          <w:p>
            <w:pPr>
              <w:spacing w:after="0"/>
            </w:pPr>
            <w:r>
              <w:rPr>
                <w:rFonts w:ascii="Arial" w:hAnsi="Arial"/>
                <w:sz w:val="17"/>
              </w:rPr>
              <w:t>Ordinal category codes</w:t>
            </w:r>
          </w:p>
        </w:tc>
        <w:tc>
          <w:tcPr>
            <w:tcW w:type="dxa" w:w="2520"/>
            <w:vAlign w:val="center"/>
          </w:tcPr>
          <w:p>
            <w:pPr>
              <w:spacing w:after="0"/>
            </w:pPr>
            <w:r>
              <w:rPr>
                <w:rFonts w:ascii="Arial" w:hAnsi="Arial"/>
                <w:sz w:val="17"/>
              </w:rPr>
              <w:t>Extracted from Address, then encoded; unseen category = -1</w:t>
            </w:r>
          </w:p>
        </w:tc>
      </w:tr>
    </w:tbl>
    <w:p>
      <w:pPr>
        <w:spacing w:after="80" w:line="259" w:lineRule="auto"/>
      </w:pPr>
      <w:r>
        <w:t>Raw feature, encoded feature, and final model input are therefore distinct. The encoder is fit only on training data and then reused for validation, test, and application inputs.</w:t>
      </w:r>
    </w:p>
    <w:p>
      <w:pPr>
        <w:pStyle w:val="Heading1"/>
        <w:spacing w:after="80" w:line="259" w:lineRule="auto"/>
      </w:pPr>
      <w:r>
        <w:t>6. Exploratory Data Analysis</w:t>
      </w:r>
    </w:p>
    <w:p>
      <w:pPr>
        <w:spacing w:after="80" w:line="259" w:lineRule="auto"/>
      </w:pPr>
      <w:r>
        <w:t>The three required distribution charts are generated directly from gia_nha.csv by the notebook when Run All is executed.</w:t>
      </w:r>
    </w:p>
    <w:p>
      <w:pPr>
        <w:spacing w:after="80" w:line="259" w:lineRule="auto"/>
        <w:jc w:val="center"/>
      </w:pPr>
      <w:r>
        <w:drawing>
          <wp:inline xmlns:a="http://schemas.openxmlformats.org/drawingml/2006/main" xmlns:pic="http://schemas.openxmlformats.org/drawingml/2006/picture">
            <wp:extent cx="5212080" cy="3257550"/>
            <wp:docPr id="2" name="Picture 2"/>
            <wp:cNvGraphicFramePr>
              <a:graphicFrameLocks noChangeAspect="1"/>
            </wp:cNvGraphicFramePr>
            <a:graphic>
              <a:graphicData uri="http://schemas.openxmlformats.org/drawingml/2006/picture">
                <pic:pic>
                  <pic:nvPicPr>
                    <pic:cNvPr id="0" name="01_price_distribution.png"/>
                    <pic:cNvPicPr/>
                  </pic:nvPicPr>
                  <pic:blipFill>
                    <a:blip r:embed="rId10"/>
                    <a:stretch>
                      <a:fillRect/>
                    </a:stretch>
                  </pic:blipFill>
                  <pic:spPr>
                    <a:xfrm>
                      <a:off x="0" y="0"/>
                      <a:ext cx="5212080" cy="3257550"/>
                    </a:xfrm>
                    <a:prstGeom prst="rect"/>
                  </pic:spPr>
                </pic:pic>
              </a:graphicData>
            </a:graphic>
          </wp:inline>
        </w:drawing>
      </w:r>
    </w:p>
    <w:p>
      <w:pPr>
        <w:spacing w:after="80" w:line="259" w:lineRule="auto"/>
        <w:jc w:val="center"/>
      </w:pPr>
      <w:r>
        <w:rPr>
          <w:i/>
          <w:sz w:val="18"/>
        </w:rPr>
        <w:t>Figure 2. Distribution of Price generated from the dataset.</w:t>
      </w:r>
    </w:p>
    <w:p>
      <w:pPr>
        <w:spacing w:after="80" w:line="259" w:lineRule="auto"/>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02_area_distribution.png"/>
                    <pic:cNvPicPr/>
                  </pic:nvPicPr>
                  <pic:blipFill>
                    <a:blip r:embed="rId11"/>
                    <a:stretch>
                      <a:fillRect/>
                    </a:stretch>
                  </pic:blipFill>
                  <pic:spPr>
                    <a:xfrm>
                      <a:off x="0" y="0"/>
                      <a:ext cx="5212080" cy="3257550"/>
                    </a:xfrm>
                    <a:prstGeom prst="rect"/>
                  </pic:spPr>
                </pic:pic>
              </a:graphicData>
            </a:graphic>
          </wp:inline>
        </w:drawing>
      </w:r>
    </w:p>
    <w:p>
      <w:pPr>
        <w:spacing w:after="80" w:line="259" w:lineRule="auto"/>
        <w:jc w:val="center"/>
      </w:pPr>
      <w:r>
        <w:rPr>
          <w:i/>
          <w:sz w:val="18"/>
        </w:rPr>
        <w:t>Figure 3. Distribution of Area generated from the dataset.</w:t>
      </w:r>
    </w:p>
    <w:p>
      <w:pPr>
        <w:spacing w:after="80" w:line="259" w:lineRule="auto"/>
        <w:jc w:val="center"/>
      </w:pPr>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03_bedrooms_distribution.png"/>
                    <pic:cNvPicPr/>
                  </pic:nvPicPr>
                  <pic:blipFill>
                    <a:blip r:embed="rId12"/>
                    <a:stretch>
                      <a:fillRect/>
                    </a:stretch>
                  </pic:blipFill>
                  <pic:spPr>
                    <a:xfrm>
                      <a:off x="0" y="0"/>
                      <a:ext cx="5212080" cy="3257550"/>
                    </a:xfrm>
                    <a:prstGeom prst="rect"/>
                  </pic:spPr>
                </pic:pic>
              </a:graphicData>
            </a:graphic>
          </wp:inline>
        </w:drawing>
      </w:r>
    </w:p>
    <w:p>
      <w:pPr>
        <w:spacing w:after="80" w:line="259" w:lineRule="auto"/>
        <w:jc w:val="center"/>
      </w:pPr>
      <w:r>
        <w:rPr>
          <w:i/>
          <w:sz w:val="18"/>
        </w:rPr>
        <w:t>Figure 4. Distribution of Bedrooms generated from the dataset.</w:t>
      </w:r>
    </w:p>
    <w:p>
      <w:pPr>
        <w:pStyle w:val="Heading2"/>
        <w:spacing w:after="80" w:line="259" w:lineRule="auto"/>
      </w:pPr>
      <w:r>
        <w:t>6.1 Correlation between numerical features</w:t>
      </w:r>
    </w:p>
    <w:p>
      <w:pPr>
        <w:spacing w:after="80" w:line="259" w:lineRule="auto"/>
      </w:pPr>
      <w:r>
        <w:t>Following the Chapter 12 pattern, the notebook calls corr() and plots the numerical correlation matrix before model training. Correlation is informative for numerical variables but is not used to discard categorical location variables; their usefulness is tested separately in the representation experiment.</w:t>
      </w:r>
    </w:p>
    <w:p>
      <w:pPr>
        <w:spacing w:after="80" w:line="259" w:lineRule="auto"/>
        <w:jc w:val="center"/>
      </w:pPr>
      <w:r>
        <w:drawing>
          <wp:inline xmlns:a="http://schemas.openxmlformats.org/drawingml/2006/main" xmlns:pic="http://schemas.openxmlformats.org/drawingml/2006/picture">
            <wp:extent cx="5303520" cy="4802802"/>
            <wp:docPr id="5" name="Picture 5"/>
            <wp:cNvGraphicFramePr>
              <a:graphicFrameLocks noChangeAspect="1"/>
            </wp:cNvGraphicFramePr>
            <a:graphic>
              <a:graphicData uri="http://schemas.openxmlformats.org/drawingml/2006/picture">
                <pic:pic>
                  <pic:nvPicPr>
                    <pic:cNvPr id="0" name="04_correlation_matrix.png"/>
                    <pic:cNvPicPr/>
                  </pic:nvPicPr>
                  <pic:blipFill>
                    <a:blip r:embed="rId13"/>
                    <a:stretch>
                      <a:fillRect/>
                    </a:stretch>
                  </pic:blipFill>
                  <pic:spPr>
                    <a:xfrm>
                      <a:off x="0" y="0"/>
                      <a:ext cx="5303520" cy="4802802"/>
                    </a:xfrm>
                    <a:prstGeom prst="rect"/>
                  </pic:spPr>
                </pic:pic>
              </a:graphicData>
            </a:graphic>
          </wp:inline>
        </w:drawing>
      </w:r>
    </w:p>
    <w:p>
      <w:pPr>
        <w:spacing w:after="80" w:line="259" w:lineRule="auto"/>
        <w:jc w:val="center"/>
      </w:pPr>
      <w:r>
        <w:rPr>
          <w:i/>
          <w:sz w:val="18"/>
        </w:rPr>
        <w:t>Figure 5. Correlation matrix generated directly from the current dataset.</w:t>
      </w:r>
    </w:p>
    <w:p>
      <w:pPr>
        <w:pStyle w:val="Heading1"/>
        <w:spacing w:after="80" w:line="259" w:lineRule="auto"/>
      </w:pPr>
      <w:r>
        <w:t>7. Experimental Design</w:t>
      </w:r>
    </w:p>
    <w:p>
      <w:pPr>
        <w:pStyle w:val="Heading2"/>
        <w:spacing w:after="80" w:line="259" w:lineRule="auto"/>
      </w:pPr>
      <w:r>
        <w:t>7.1 Train / validation / final test separation</w:t>
      </w:r>
    </w:p>
    <w:p>
      <w:pPr>
        <w:spacing w:after="80" w:line="259" w:lineRule="auto"/>
      </w:pPr>
      <w:r>
        <w:t>The data is first split into 80% training portion and 20% untouched final test data. The 80% training portion is then split into training and validation sets, giving approximately 64% training, 16% validation, and 20% final test. Model comparison and controlled experiments use only training and validation data. The final test set is used after all choices are fixed.</w:t>
      </w:r>
    </w:p>
    <w:p>
      <w:pPr>
        <w:pStyle w:val="Heading2"/>
        <w:spacing w:after="80" w:line="259" w:lineRule="auto"/>
      </w:pPr>
      <w:r>
        <w:t>7.2 Baseline</w:t>
      </w:r>
    </w:p>
    <w:p>
      <w:pPr>
        <w:spacing w:after="80" w:line="259" w:lineRule="auto"/>
      </w:pPr>
      <w:r>
        <w:t>A DummyRegressor using the mean training price is fit as the first reference point. Its validation MAE is 1.8344 and R² is approximately -0.0000. A learned model should meaningfully improve over this simple strategy.</w:t>
      </w:r>
    </w:p>
    <w:p>
      <w:pPr>
        <w:pStyle w:val="Heading2"/>
        <w:spacing w:after="80" w:line="259" w:lineRule="auto"/>
      </w:pPr>
      <w:r>
        <w:t>7.3 Five evaluation metrics</w:t>
      </w:r>
    </w:p>
    <w:p>
      <w:pPr>
        <w:pStyle w:val="ListBullet"/>
        <w:spacing w:after="80" w:line="259" w:lineRule="auto"/>
      </w:pPr>
      <w:r>
        <w:t>MAE: average absolute prediction error; lower is better.</w:t>
      </w:r>
    </w:p>
    <w:p>
      <w:pPr>
        <w:pStyle w:val="ListBullet"/>
        <w:spacing w:after="80" w:line="259" w:lineRule="auto"/>
      </w:pPr>
      <w:r>
        <w:t>MSE: average squared error; penalizes large errors; lower is better.</w:t>
      </w:r>
    </w:p>
    <w:p>
      <w:pPr>
        <w:pStyle w:val="ListBullet"/>
        <w:spacing w:after="80" w:line="259" w:lineRule="auto"/>
      </w:pPr>
      <w:r>
        <w:t>RMSE: square root of MSE and has the same price unit; lower is better.</w:t>
      </w:r>
    </w:p>
    <w:p>
      <w:pPr>
        <w:pStyle w:val="ListBullet"/>
        <w:spacing w:after="80" w:line="259" w:lineRule="auto"/>
      </w:pPr>
      <w:r>
        <w:t>R²: proportion of target variance explained; higher is better.</w:t>
      </w:r>
    </w:p>
    <w:p>
      <w:pPr>
        <w:pStyle w:val="ListBullet"/>
        <w:spacing w:after="80" w:line="259" w:lineRule="auto"/>
      </w:pPr>
      <w:r>
        <w:t>MAPE: average absolute percentage error; lower is better.</w:t>
      </w:r>
    </w:p>
    <w:p>
      <w:pPr>
        <w:pStyle w:val="Heading1"/>
        <w:spacing w:after="80" w:line="259" w:lineRule="auto"/>
      </w:pPr>
      <w:r>
        <w:t>8. Traditional Machine-Learning Models</w:t>
      </w:r>
    </w:p>
    <w:p>
      <w:pPr>
        <w:spacing w:after="80" w:line="259" w:lineRule="auto"/>
      </w:pPr>
      <w:r>
        <w:t>Every model receives the same encoded training matrix and is trained by an explicit model.fit(X_train_ready, y_train) call in the notebook.</w:t>
      </w:r>
    </w:p>
    <w:p>
      <w:pPr>
        <w:pStyle w:val="Heading3"/>
        <w:spacing w:after="80" w:line="259" w:lineRule="auto"/>
      </w:pPr>
      <w:r>
        <w:t>8.1 Linear Regression</w:t>
      </w:r>
    </w:p>
    <w:p>
      <w:pPr>
        <w:spacing w:after="80" w:line="259" w:lineRule="auto"/>
      </w:pPr>
      <w:r>
        <w:rPr>
          <w:b/>
        </w:rPr>
        <w:t xml:space="preserve">Input representation: </w:t>
      </w:r>
      <w:r>
        <w:t>Encoded numerical feature matrix.</w:t>
      </w:r>
    </w:p>
    <w:p>
      <w:pPr>
        <w:spacing w:after="80" w:line="259" w:lineRule="auto"/>
      </w:pPr>
      <w:r>
        <w:rPr>
          <w:b/>
        </w:rPr>
        <w:t xml:space="preserve">Relationship learned: </w:t>
      </w:r>
      <w:r>
        <w:t>Linear additive relationship between features and price.</w:t>
      </w:r>
    </w:p>
    <w:p>
      <w:pPr>
        <w:spacing w:after="80" w:line="259" w:lineRule="auto"/>
      </w:pPr>
      <w:r>
        <w:rPr>
          <w:b/>
        </w:rPr>
        <w:t xml:space="preserve">Learned parameters: </w:t>
      </w:r>
      <w:r>
        <w:t>Feature coefficients and intercept.</w:t>
      </w:r>
    </w:p>
    <w:p>
      <w:pPr>
        <w:spacing w:after="80" w:line="259" w:lineRule="auto"/>
      </w:pPr>
      <w:r>
        <w:rPr>
          <w:b/>
        </w:rPr>
        <w:t xml:space="preserve">Learning criterion: </w:t>
      </w:r>
      <w:r>
        <w:t>Minimization of squared prediction error.</w:t>
      </w:r>
    </w:p>
    <w:p>
      <w:pPr>
        <w:spacing w:after="80" w:line="259" w:lineRule="auto"/>
      </w:pPr>
      <w:r>
        <w:rPr>
          <w:b/>
        </w:rPr>
        <w:t xml:space="preserve">Assumptions: </w:t>
      </w:r>
      <w:r>
        <w:t>Effects are approximately linear and additive.</w:t>
      </w:r>
    </w:p>
    <w:p>
      <w:pPr>
        <w:spacing w:after="80" w:line="259" w:lineRule="auto"/>
      </w:pPr>
      <w:r>
        <w:rPr>
          <w:b/>
        </w:rPr>
        <w:t xml:space="preserve">Strengths: </w:t>
      </w:r>
      <w:r>
        <w:t>Fast, simple, and interpretable.</w:t>
      </w:r>
    </w:p>
    <w:p>
      <w:pPr>
        <w:spacing w:after="80" w:line="259" w:lineRule="auto"/>
      </w:pPr>
      <w:r>
        <w:rPr>
          <w:b/>
        </w:rPr>
        <w:t xml:space="preserve">Weaknesses: </w:t>
      </w:r>
      <w:r>
        <w:t>Limited ability to model complex non-linear interactions.</w:t>
      </w:r>
    </w:p>
    <w:p>
      <w:pPr>
        <w:pStyle w:val="Heading3"/>
        <w:spacing w:after="80" w:line="259" w:lineRule="auto"/>
      </w:pPr>
      <w:r>
        <w:t>8.2 Ridge Regression</w:t>
      </w:r>
    </w:p>
    <w:p>
      <w:pPr>
        <w:spacing w:after="80" w:line="259" w:lineRule="auto"/>
      </w:pPr>
      <w:r>
        <w:rPr>
          <w:b/>
        </w:rPr>
        <w:t xml:space="preserve">Input representation: </w:t>
      </w:r>
      <w:r>
        <w:t>Same encoded numerical feature matrix.</w:t>
      </w:r>
    </w:p>
    <w:p>
      <w:pPr>
        <w:spacing w:after="80" w:line="259" w:lineRule="auto"/>
      </w:pPr>
      <w:r>
        <w:rPr>
          <w:b/>
        </w:rPr>
        <w:t xml:space="preserve">Relationship learned: </w:t>
      </w:r>
      <w:r>
        <w:t>Regularized linear relationship.</w:t>
      </w:r>
    </w:p>
    <w:p>
      <w:pPr>
        <w:spacing w:after="80" w:line="259" w:lineRule="auto"/>
      </w:pPr>
      <w:r>
        <w:rPr>
          <w:b/>
        </w:rPr>
        <w:t xml:space="preserve">Learned parameters: </w:t>
      </w:r>
      <w:r>
        <w:t>Coefficients and intercept.</w:t>
      </w:r>
    </w:p>
    <w:p>
      <w:pPr>
        <w:spacing w:after="80" w:line="259" w:lineRule="auto"/>
      </w:pPr>
      <w:r>
        <w:rPr>
          <w:b/>
        </w:rPr>
        <w:t xml:space="preserve">Learning criterion: </w:t>
      </w:r>
      <w:r>
        <w:t>Squared error with an L2 penalty on coefficients.</w:t>
      </w:r>
    </w:p>
    <w:p>
      <w:pPr>
        <w:spacing w:after="80" w:line="259" w:lineRule="auto"/>
      </w:pPr>
      <w:r>
        <w:rPr>
          <w:b/>
        </w:rPr>
        <w:t xml:space="preserve">Assumptions: </w:t>
      </w:r>
      <w:r>
        <w:t>Mainly linear and additive effects.</w:t>
      </w:r>
    </w:p>
    <w:p>
      <w:pPr>
        <w:spacing w:after="80" w:line="259" w:lineRule="auto"/>
      </w:pPr>
      <w:r>
        <w:rPr>
          <w:b/>
        </w:rPr>
        <w:t xml:space="preserve">Strengths: </w:t>
      </w:r>
      <w:r>
        <w:t>More stable than ordinary linear regression when features are correlated.</w:t>
      </w:r>
    </w:p>
    <w:p>
      <w:pPr>
        <w:spacing w:after="80" w:line="259" w:lineRule="auto"/>
      </w:pPr>
      <w:r>
        <w:rPr>
          <w:b/>
        </w:rPr>
        <w:t xml:space="preserve">Weaknesses: </w:t>
      </w:r>
      <w:r>
        <w:t>Still limited for strong non-linear relationships.</w:t>
      </w:r>
    </w:p>
    <w:p>
      <w:pPr>
        <w:pStyle w:val="Heading3"/>
        <w:spacing w:after="80" w:line="259" w:lineRule="auto"/>
      </w:pPr>
      <w:r>
        <w:t>8.3 Decision Tree Regressor</w:t>
      </w:r>
    </w:p>
    <w:p>
      <w:pPr>
        <w:spacing w:after="80" w:line="259" w:lineRule="auto"/>
      </w:pPr>
      <w:r>
        <w:rPr>
          <w:b/>
        </w:rPr>
        <w:t xml:space="preserve">Input representation: </w:t>
      </w:r>
      <w:r>
        <w:t>Same encoded numerical feature matrix.</w:t>
      </w:r>
    </w:p>
    <w:p>
      <w:pPr>
        <w:spacing w:after="80" w:line="259" w:lineRule="auto"/>
      </w:pPr>
      <w:r>
        <w:rPr>
          <w:b/>
        </w:rPr>
        <w:t xml:space="preserve">Relationship learned: </w:t>
      </w:r>
      <w:r>
        <w:t>Recursive feature-space partitions.</w:t>
      </w:r>
    </w:p>
    <w:p>
      <w:pPr>
        <w:spacing w:after="80" w:line="259" w:lineRule="auto"/>
      </w:pPr>
      <w:r>
        <w:rPr>
          <w:b/>
        </w:rPr>
        <w:t xml:space="preserve">Learned structure: </w:t>
      </w:r>
      <w:r>
        <w:t>Tree nodes, thresholds, branches, and leaf predictions.</w:t>
      </w:r>
    </w:p>
    <w:p>
      <w:pPr>
        <w:spacing w:after="80" w:line="259" w:lineRule="auto"/>
      </w:pPr>
      <w:r>
        <w:rPr>
          <w:b/>
        </w:rPr>
        <w:t xml:space="preserve">Learning criterion: </w:t>
      </w:r>
      <w:r>
        <w:t>Squared-error reduction at splits.</w:t>
      </w:r>
    </w:p>
    <w:p>
      <w:pPr>
        <w:spacing w:after="80" w:line="259" w:lineRule="auto"/>
      </w:pPr>
      <w:r>
        <w:rPr>
          <w:b/>
        </w:rPr>
        <w:t xml:space="preserve">Assumptions: </w:t>
      </w:r>
      <w:r>
        <w:t>Few distributional assumptions.</w:t>
      </w:r>
    </w:p>
    <w:p>
      <w:pPr>
        <w:spacing w:after="80" w:line="259" w:lineRule="auto"/>
      </w:pPr>
      <w:r>
        <w:rPr>
          <w:b/>
        </w:rPr>
        <w:t xml:space="preserve">Strengths: </w:t>
      </w:r>
      <w:r>
        <w:t>Captures non-linearity and interactions.</w:t>
      </w:r>
    </w:p>
    <w:p>
      <w:pPr>
        <w:spacing w:after="80" w:line="259" w:lineRule="auto"/>
      </w:pPr>
      <w:r>
        <w:rPr>
          <w:b/>
        </w:rPr>
        <w:t xml:space="preserve">Weaknesses: </w:t>
      </w:r>
      <w:r>
        <w:t>A single tree can overfit and be unstable.</w:t>
      </w:r>
    </w:p>
    <w:p>
      <w:pPr>
        <w:pStyle w:val="Heading3"/>
        <w:spacing w:after="80" w:line="259" w:lineRule="auto"/>
      </w:pPr>
      <w:r>
        <w:t>8.4 Random Forest Regressor</w:t>
      </w:r>
    </w:p>
    <w:p>
      <w:pPr>
        <w:spacing w:after="80" w:line="259" w:lineRule="auto"/>
      </w:pPr>
      <w:r>
        <w:rPr>
          <w:b/>
        </w:rPr>
        <w:t xml:space="preserve">Input representation: </w:t>
      </w:r>
      <w:r>
        <w:t>Same encoded numerical feature matrix.</w:t>
      </w:r>
    </w:p>
    <w:p>
      <w:pPr>
        <w:spacing w:after="80" w:line="259" w:lineRule="auto"/>
      </w:pPr>
      <w:r>
        <w:rPr>
          <w:b/>
        </w:rPr>
        <w:t xml:space="preserve">Relationship learned: </w:t>
      </w:r>
      <w:r>
        <w:t>An ensemble of randomized decision trees.</w:t>
      </w:r>
    </w:p>
    <w:p>
      <w:pPr>
        <w:spacing w:after="80" w:line="259" w:lineRule="auto"/>
      </w:pPr>
      <w:r>
        <w:rPr>
          <w:b/>
        </w:rPr>
        <w:t xml:space="preserve">Learned structure: </w:t>
      </w:r>
      <w:r>
        <w:t>Many trees and their split rules.</w:t>
      </w:r>
    </w:p>
    <w:p>
      <w:pPr>
        <w:spacing w:after="80" w:line="259" w:lineRule="auto"/>
      </w:pPr>
      <w:r>
        <w:rPr>
          <w:b/>
        </w:rPr>
        <w:t xml:space="preserve">Learning criterion: </w:t>
      </w:r>
      <w:r>
        <w:t>Squared-error reduction inside each tree; tree outputs are averaged.</w:t>
      </w:r>
    </w:p>
    <w:p>
      <w:pPr>
        <w:spacing w:after="80" w:line="259" w:lineRule="auto"/>
      </w:pPr>
      <w:r>
        <w:rPr>
          <w:b/>
        </w:rPr>
        <w:t xml:space="preserve">Assumptions: </w:t>
      </w:r>
      <w:r>
        <w:t>Few distributional assumptions.</w:t>
      </w:r>
    </w:p>
    <w:p>
      <w:pPr>
        <w:spacing w:after="80" w:line="259" w:lineRule="auto"/>
      </w:pPr>
      <w:r>
        <w:rPr>
          <w:b/>
        </w:rPr>
        <w:t xml:space="preserve">Strengths: </w:t>
      </w:r>
      <w:r>
        <w:t>Strong non-linear performance and lower variance than a single tree.</w:t>
      </w:r>
    </w:p>
    <w:p>
      <w:pPr>
        <w:spacing w:after="80" w:line="259" w:lineRule="auto"/>
      </w:pPr>
      <w:r>
        <w:rPr>
          <w:b/>
        </w:rPr>
        <w:t xml:space="preserve">Weaknesses: </w:t>
      </w:r>
      <w:r>
        <w:t>Larger and less interpretable than linear models.</w:t>
      </w:r>
    </w:p>
    <w:p>
      <w:pPr>
        <w:pStyle w:val="Heading3"/>
        <w:spacing w:after="80" w:line="259" w:lineRule="auto"/>
      </w:pPr>
      <w:r>
        <w:t>8.5 Extra Trees Regressor</w:t>
      </w:r>
    </w:p>
    <w:p>
      <w:pPr>
        <w:spacing w:after="80" w:line="259" w:lineRule="auto"/>
      </w:pPr>
      <w:r>
        <w:rPr>
          <w:b/>
        </w:rPr>
        <w:t xml:space="preserve">Input representation: </w:t>
      </w:r>
      <w:r>
        <w:t>Same encoded numerical feature matrix.</w:t>
      </w:r>
    </w:p>
    <w:p>
      <w:pPr>
        <w:spacing w:after="80" w:line="259" w:lineRule="auto"/>
      </w:pPr>
      <w:r>
        <w:rPr>
          <w:b/>
        </w:rPr>
        <w:t xml:space="preserve">Relationship learned: </w:t>
      </w:r>
      <w:r>
        <w:t>An ensemble of highly randomized decision trees.</w:t>
      </w:r>
    </w:p>
    <w:p>
      <w:pPr>
        <w:spacing w:after="80" w:line="259" w:lineRule="auto"/>
      </w:pPr>
      <w:r>
        <w:rPr>
          <w:b/>
        </w:rPr>
        <w:t xml:space="preserve">Learned structure: </w:t>
      </w:r>
      <w:r>
        <w:t>Many trees with randomized split candidates.</w:t>
      </w:r>
    </w:p>
    <w:p>
      <w:pPr>
        <w:spacing w:after="80" w:line="259" w:lineRule="auto"/>
      </w:pPr>
      <w:r>
        <w:rPr>
          <w:b/>
        </w:rPr>
        <w:t xml:space="preserve">Learning criterion: </w:t>
      </w:r>
      <w:r>
        <w:t>Squared-error reduction in each tree; ensemble predictions are averaged.</w:t>
      </w:r>
    </w:p>
    <w:p>
      <w:pPr>
        <w:spacing w:after="80" w:line="259" w:lineRule="auto"/>
      </w:pPr>
      <w:r>
        <w:rPr>
          <w:b/>
        </w:rPr>
        <w:t xml:space="preserve">Assumptions: </w:t>
      </w:r>
      <w:r>
        <w:t>Few distributional assumptions.</w:t>
      </w:r>
    </w:p>
    <w:p>
      <w:pPr>
        <w:spacing w:after="80" w:line="259" w:lineRule="auto"/>
      </w:pPr>
      <w:r>
        <w:rPr>
          <w:b/>
        </w:rPr>
        <w:t xml:space="preserve">Strengths: </w:t>
      </w:r>
      <w:r>
        <w:t>Captures non-linearity and often trains quickly.</w:t>
      </w:r>
    </w:p>
    <w:p>
      <w:pPr>
        <w:spacing w:after="80" w:line="259" w:lineRule="auto"/>
      </w:pPr>
      <w:r>
        <w:rPr>
          <w:b/>
        </w:rPr>
        <w:t xml:space="preserve">Weaknesses: </w:t>
      </w:r>
      <w:r>
        <w:t>Less interpretable and can still require many trees.</w:t>
      </w:r>
    </w:p>
    <w:p>
      <w:pPr>
        <w:pStyle w:val="Heading1"/>
        <w:spacing w:after="80" w:line="259" w:lineRule="auto"/>
      </w:pPr>
      <w:r>
        <w:t>9. Results and Model Comparison</w:t>
      </w:r>
    </w:p>
    <w:p>
      <w:pPr>
        <w:spacing w:after="80" w:line="259" w:lineRule="auto"/>
      </w:pPr>
      <w:r>
        <w:t>The following table is read directly from results/model_comparison.csv, which is written by the executed notebook. The values are not manually typed into the report-generation code.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vAlign w:val="center"/>
          </w:tcPr>
          <w:p>
            <w:pPr>
              <w:spacing w:after="0"/>
            </w:pPr>
            <w:r>
              <w:rPr>
                <w:rFonts w:ascii="Arial" w:hAnsi="Arial"/>
                <w:sz w:val="17"/>
              </w:rPr>
              <w:t>Model</w:t>
            </w:r>
          </w:p>
        </w:tc>
        <w:tc>
          <w:tcPr>
            <w:tcW w:type="dxa" w:w="1680"/>
            <w:shd w:fill="D9EAF7"/>
            <w:vAlign w:val="center"/>
          </w:tcPr>
          <w:p>
            <w:pPr>
              <w:spacing w:after="0"/>
            </w:pPr>
            <w:r>
              <w:rPr>
                <w:rFonts w:ascii="Arial" w:hAnsi="Arial"/>
                <w:sz w:val="17"/>
              </w:rPr>
              <w:t>MAE</w:t>
            </w:r>
          </w:p>
        </w:tc>
        <w:tc>
          <w:tcPr>
            <w:tcW w:type="dxa" w:w="1680"/>
            <w:shd w:fill="D9EAF7"/>
            <w:vAlign w:val="center"/>
          </w:tcPr>
          <w:p>
            <w:pPr>
              <w:spacing w:after="0"/>
            </w:pPr>
            <w:r>
              <w:rPr>
                <w:rFonts w:ascii="Arial" w:hAnsi="Arial"/>
                <w:sz w:val="17"/>
              </w:rPr>
              <w:t>MSE</w:t>
            </w:r>
          </w:p>
        </w:tc>
        <w:tc>
          <w:tcPr>
            <w:tcW w:type="dxa" w:w="1680"/>
            <w:shd w:fill="D9EAF7"/>
            <w:vAlign w:val="center"/>
          </w:tcPr>
          <w:p>
            <w:pPr>
              <w:spacing w:after="0"/>
            </w:pPr>
            <w:r>
              <w:rPr>
                <w:rFonts w:ascii="Arial" w:hAnsi="Arial"/>
                <w:sz w:val="17"/>
              </w:rPr>
              <w:t>RMSE</w:t>
            </w:r>
          </w:p>
        </w:tc>
        <w:tc>
          <w:tcPr>
            <w:tcW w:type="dxa" w:w="1680"/>
            <w:shd w:fill="D9EAF7"/>
            <w:vAlign w:val="center"/>
          </w:tcPr>
          <w:p>
            <w:pPr>
              <w:spacing w:after="0"/>
            </w:pPr>
            <w:r>
              <w:rPr>
                <w:rFonts w:ascii="Arial" w:hAnsi="Arial"/>
                <w:sz w:val="17"/>
              </w:rPr>
              <w:t>R²</w:t>
            </w:r>
          </w:p>
        </w:tc>
        <w:tc>
          <w:tcPr>
            <w:tcW w:type="dxa" w:w="1680"/>
            <w:shd w:fill="D9EAF7"/>
            <w:vAlign w:val="center"/>
          </w:tcPr>
          <w:p>
            <w:pPr>
              <w:spacing w:after="0"/>
            </w:pPr>
            <w:r>
              <w:rPr>
                <w:rFonts w:ascii="Arial" w:hAnsi="Arial"/>
                <w:sz w:val="17"/>
              </w:rPr>
              <w:t>MAPE (%)</w:t>
            </w:r>
          </w:p>
        </w:tc>
      </w:tr>
      <w:tr>
        <w:tc>
          <w:tcPr>
            <w:tcW w:type="dxa" w:w="1680"/>
            <w:shd w:fill="E2F0D9"/>
            <w:vAlign w:val="center"/>
          </w:tcPr>
          <w:p>
            <w:pPr>
              <w:spacing w:after="0"/>
            </w:pPr>
            <w:r>
              <w:rPr>
                <w:rFonts w:ascii="Arial" w:hAnsi="Arial"/>
                <w:sz w:val="17"/>
              </w:rPr>
              <w:t>Random Forest</w:t>
            </w:r>
          </w:p>
        </w:tc>
        <w:tc>
          <w:tcPr>
            <w:tcW w:type="dxa" w:w="1680"/>
            <w:shd w:fill="E2F0D9"/>
            <w:vAlign w:val="center"/>
          </w:tcPr>
          <w:p>
            <w:pPr>
              <w:spacing w:after="0"/>
            </w:pPr>
            <w:r>
              <w:rPr>
                <w:rFonts w:ascii="Arial" w:hAnsi="Arial"/>
                <w:sz w:val="17"/>
              </w:rPr>
              <w:t>1.0478</w:t>
            </w:r>
          </w:p>
        </w:tc>
        <w:tc>
          <w:tcPr>
            <w:tcW w:type="dxa" w:w="1680"/>
            <w:shd w:fill="E2F0D9"/>
            <w:vAlign w:val="center"/>
          </w:tcPr>
          <w:p>
            <w:pPr>
              <w:spacing w:after="0"/>
            </w:pPr>
            <w:r>
              <w:rPr>
                <w:rFonts w:ascii="Arial" w:hAnsi="Arial"/>
                <w:sz w:val="17"/>
              </w:rPr>
              <w:t>1.9416</w:t>
            </w:r>
          </w:p>
        </w:tc>
        <w:tc>
          <w:tcPr>
            <w:tcW w:type="dxa" w:w="1680"/>
            <w:shd w:fill="E2F0D9"/>
            <w:vAlign w:val="center"/>
          </w:tcPr>
          <w:p>
            <w:pPr>
              <w:spacing w:after="0"/>
            </w:pPr>
            <w:r>
              <w:rPr>
                <w:rFonts w:ascii="Arial" w:hAnsi="Arial"/>
                <w:sz w:val="17"/>
              </w:rPr>
              <w:t>1.3934</w:t>
            </w:r>
          </w:p>
        </w:tc>
        <w:tc>
          <w:tcPr>
            <w:tcW w:type="dxa" w:w="1680"/>
            <w:shd w:fill="E2F0D9"/>
            <w:vAlign w:val="center"/>
          </w:tcPr>
          <w:p>
            <w:pPr>
              <w:spacing w:after="0"/>
            </w:pPr>
            <w:r>
              <w:rPr>
                <w:rFonts w:ascii="Arial" w:hAnsi="Arial"/>
                <w:sz w:val="17"/>
              </w:rPr>
              <w:t>0.5978</w:t>
            </w:r>
          </w:p>
        </w:tc>
        <w:tc>
          <w:tcPr>
            <w:tcW w:type="dxa" w:w="1680"/>
            <w:shd w:fill="E2F0D9"/>
            <w:vAlign w:val="center"/>
          </w:tcPr>
          <w:p>
            <w:pPr>
              <w:spacing w:after="0"/>
            </w:pPr>
            <w:r>
              <w:rPr>
                <w:rFonts w:ascii="Arial" w:hAnsi="Arial"/>
                <w:sz w:val="17"/>
              </w:rPr>
              <w:t>21.99</w:t>
            </w:r>
          </w:p>
        </w:tc>
      </w:tr>
      <w:tr>
        <w:tc>
          <w:tcPr>
            <w:tcW w:type="dxa" w:w="1680"/>
            <w:vAlign w:val="center"/>
          </w:tcPr>
          <w:p>
            <w:pPr>
              <w:spacing w:after="0"/>
            </w:pPr>
            <w:r>
              <w:rPr>
                <w:rFonts w:ascii="Arial" w:hAnsi="Arial"/>
                <w:sz w:val="17"/>
              </w:rPr>
              <w:t>Extra Trees</w:t>
            </w:r>
          </w:p>
        </w:tc>
        <w:tc>
          <w:tcPr>
            <w:tcW w:type="dxa" w:w="1680"/>
            <w:vAlign w:val="center"/>
          </w:tcPr>
          <w:p>
            <w:pPr>
              <w:spacing w:after="0"/>
            </w:pPr>
            <w:r>
              <w:rPr>
                <w:rFonts w:ascii="Arial" w:hAnsi="Arial"/>
                <w:sz w:val="17"/>
              </w:rPr>
              <w:t>1.1558</w:t>
            </w:r>
          </w:p>
        </w:tc>
        <w:tc>
          <w:tcPr>
            <w:tcW w:type="dxa" w:w="1680"/>
            <w:vAlign w:val="center"/>
          </w:tcPr>
          <w:p>
            <w:pPr>
              <w:spacing w:after="0"/>
            </w:pPr>
            <w:r>
              <w:rPr>
                <w:rFonts w:ascii="Arial" w:hAnsi="Arial"/>
                <w:sz w:val="17"/>
              </w:rPr>
              <w:t>2.2102</w:t>
            </w:r>
          </w:p>
        </w:tc>
        <w:tc>
          <w:tcPr>
            <w:tcW w:type="dxa" w:w="1680"/>
            <w:vAlign w:val="center"/>
          </w:tcPr>
          <w:p>
            <w:pPr>
              <w:spacing w:after="0"/>
            </w:pPr>
            <w:r>
              <w:rPr>
                <w:rFonts w:ascii="Arial" w:hAnsi="Arial"/>
                <w:sz w:val="17"/>
              </w:rPr>
              <w:t>1.4867</w:t>
            </w:r>
          </w:p>
        </w:tc>
        <w:tc>
          <w:tcPr>
            <w:tcW w:type="dxa" w:w="1680"/>
            <w:vAlign w:val="center"/>
          </w:tcPr>
          <w:p>
            <w:pPr>
              <w:spacing w:after="0"/>
            </w:pPr>
            <w:r>
              <w:rPr>
                <w:rFonts w:ascii="Arial" w:hAnsi="Arial"/>
                <w:sz w:val="17"/>
              </w:rPr>
              <w:t>0.5421</w:t>
            </w:r>
          </w:p>
        </w:tc>
        <w:tc>
          <w:tcPr>
            <w:tcW w:type="dxa" w:w="1680"/>
            <w:vAlign w:val="center"/>
          </w:tcPr>
          <w:p>
            <w:pPr>
              <w:spacing w:after="0"/>
            </w:pPr>
            <w:r>
              <w:rPr>
                <w:rFonts w:ascii="Arial" w:hAnsi="Arial"/>
                <w:sz w:val="17"/>
              </w:rPr>
              <w:t>24.58</w:t>
            </w:r>
          </w:p>
        </w:tc>
      </w:tr>
      <w:tr>
        <w:tc>
          <w:tcPr>
            <w:tcW w:type="dxa" w:w="1680"/>
            <w:vAlign w:val="center"/>
          </w:tcPr>
          <w:p>
            <w:pPr>
              <w:spacing w:after="0"/>
            </w:pPr>
            <w:r>
              <w:rPr>
                <w:rFonts w:ascii="Arial" w:hAnsi="Arial"/>
                <w:sz w:val="17"/>
              </w:rPr>
              <w:t>Decision Tree</w:t>
            </w:r>
          </w:p>
        </w:tc>
        <w:tc>
          <w:tcPr>
            <w:tcW w:type="dxa" w:w="1680"/>
            <w:vAlign w:val="center"/>
          </w:tcPr>
          <w:p>
            <w:pPr>
              <w:spacing w:after="0"/>
            </w:pPr>
            <w:r>
              <w:rPr>
                <w:rFonts w:ascii="Arial" w:hAnsi="Arial"/>
                <w:sz w:val="17"/>
              </w:rPr>
              <w:t>1.2148</w:t>
            </w:r>
          </w:p>
        </w:tc>
        <w:tc>
          <w:tcPr>
            <w:tcW w:type="dxa" w:w="1680"/>
            <w:vAlign w:val="center"/>
          </w:tcPr>
          <w:p>
            <w:pPr>
              <w:spacing w:after="0"/>
            </w:pPr>
            <w:r>
              <w:rPr>
                <w:rFonts w:ascii="Arial" w:hAnsi="Arial"/>
                <w:sz w:val="17"/>
              </w:rPr>
              <w:t>2.6841</w:t>
            </w:r>
          </w:p>
        </w:tc>
        <w:tc>
          <w:tcPr>
            <w:tcW w:type="dxa" w:w="1680"/>
            <w:vAlign w:val="center"/>
          </w:tcPr>
          <w:p>
            <w:pPr>
              <w:spacing w:after="0"/>
            </w:pPr>
            <w:r>
              <w:rPr>
                <w:rFonts w:ascii="Arial" w:hAnsi="Arial"/>
                <w:sz w:val="17"/>
              </w:rPr>
              <w:t>1.6383</w:t>
            </w:r>
          </w:p>
        </w:tc>
        <w:tc>
          <w:tcPr>
            <w:tcW w:type="dxa" w:w="1680"/>
            <w:vAlign w:val="center"/>
          </w:tcPr>
          <w:p>
            <w:pPr>
              <w:spacing w:after="0"/>
            </w:pPr>
            <w:r>
              <w:rPr>
                <w:rFonts w:ascii="Arial" w:hAnsi="Arial"/>
                <w:sz w:val="17"/>
              </w:rPr>
              <w:t>0.4440</w:t>
            </w:r>
          </w:p>
        </w:tc>
        <w:tc>
          <w:tcPr>
            <w:tcW w:type="dxa" w:w="1680"/>
            <w:vAlign w:val="center"/>
          </w:tcPr>
          <w:p>
            <w:pPr>
              <w:spacing w:after="0"/>
            </w:pPr>
            <w:r>
              <w:rPr>
                <w:rFonts w:ascii="Arial" w:hAnsi="Arial"/>
                <w:sz w:val="17"/>
              </w:rPr>
              <w:t>25.19</w:t>
            </w:r>
          </w:p>
        </w:tc>
      </w:tr>
      <w:tr>
        <w:tc>
          <w:tcPr>
            <w:tcW w:type="dxa" w:w="1680"/>
            <w:vAlign w:val="center"/>
          </w:tcPr>
          <w:p>
            <w:pPr>
              <w:spacing w:after="0"/>
            </w:pPr>
            <w:r>
              <w:rPr>
                <w:rFonts w:ascii="Arial" w:hAnsi="Arial"/>
                <w:sz w:val="17"/>
              </w:rPr>
              <w:t>Linear Regression</w:t>
            </w:r>
          </w:p>
        </w:tc>
        <w:tc>
          <w:tcPr>
            <w:tcW w:type="dxa" w:w="1680"/>
            <w:vAlign w:val="center"/>
          </w:tcPr>
          <w:p>
            <w:pPr>
              <w:spacing w:after="0"/>
            </w:pPr>
            <w:r>
              <w:rPr>
                <w:rFonts w:ascii="Arial" w:hAnsi="Arial"/>
                <w:sz w:val="17"/>
              </w:rPr>
              <w:t>1.5747</w:t>
            </w:r>
          </w:p>
        </w:tc>
        <w:tc>
          <w:tcPr>
            <w:tcW w:type="dxa" w:w="1680"/>
            <w:vAlign w:val="center"/>
          </w:tcPr>
          <w:p>
            <w:pPr>
              <w:spacing w:after="0"/>
            </w:pPr>
            <w:r>
              <w:rPr>
                <w:rFonts w:ascii="Arial" w:hAnsi="Arial"/>
                <w:sz w:val="17"/>
              </w:rPr>
              <w:t>3.7158</w:t>
            </w:r>
          </w:p>
        </w:tc>
        <w:tc>
          <w:tcPr>
            <w:tcW w:type="dxa" w:w="1680"/>
            <w:vAlign w:val="center"/>
          </w:tcPr>
          <w:p>
            <w:pPr>
              <w:spacing w:after="0"/>
            </w:pPr>
            <w:r>
              <w:rPr>
                <w:rFonts w:ascii="Arial" w:hAnsi="Arial"/>
                <w:sz w:val="17"/>
              </w:rPr>
              <w:t>1.9276</w:t>
            </w:r>
          </w:p>
        </w:tc>
        <w:tc>
          <w:tcPr>
            <w:tcW w:type="dxa" w:w="1680"/>
            <w:vAlign w:val="center"/>
          </w:tcPr>
          <w:p>
            <w:pPr>
              <w:spacing w:after="0"/>
            </w:pPr>
            <w:r>
              <w:rPr>
                <w:rFonts w:ascii="Arial" w:hAnsi="Arial"/>
                <w:sz w:val="17"/>
              </w:rPr>
              <w:t>0.2303</w:t>
            </w:r>
          </w:p>
        </w:tc>
        <w:tc>
          <w:tcPr>
            <w:tcW w:type="dxa" w:w="1680"/>
            <w:vAlign w:val="center"/>
          </w:tcPr>
          <w:p>
            <w:pPr>
              <w:spacing w:after="0"/>
            </w:pPr>
            <w:r>
              <w:rPr>
                <w:rFonts w:ascii="Arial" w:hAnsi="Arial"/>
                <w:sz w:val="17"/>
              </w:rPr>
              <w:t>35.84</w:t>
            </w:r>
          </w:p>
        </w:tc>
      </w:tr>
      <w:tr>
        <w:tc>
          <w:tcPr>
            <w:tcW w:type="dxa" w:w="1680"/>
            <w:vAlign w:val="center"/>
          </w:tcPr>
          <w:p>
            <w:pPr>
              <w:spacing w:after="0"/>
            </w:pPr>
            <w:r>
              <w:rPr>
                <w:rFonts w:ascii="Arial" w:hAnsi="Arial"/>
                <w:sz w:val="17"/>
              </w:rPr>
              <w:t>Ridge Regression</w:t>
            </w:r>
          </w:p>
        </w:tc>
        <w:tc>
          <w:tcPr>
            <w:tcW w:type="dxa" w:w="1680"/>
            <w:vAlign w:val="center"/>
          </w:tcPr>
          <w:p>
            <w:pPr>
              <w:spacing w:after="0"/>
            </w:pPr>
            <w:r>
              <w:rPr>
                <w:rFonts w:ascii="Arial" w:hAnsi="Arial"/>
                <w:sz w:val="17"/>
              </w:rPr>
              <w:t>1.5759</w:t>
            </w:r>
          </w:p>
        </w:tc>
        <w:tc>
          <w:tcPr>
            <w:tcW w:type="dxa" w:w="1680"/>
            <w:vAlign w:val="center"/>
          </w:tcPr>
          <w:p>
            <w:pPr>
              <w:spacing w:after="0"/>
            </w:pPr>
            <w:r>
              <w:rPr>
                <w:rFonts w:ascii="Arial" w:hAnsi="Arial"/>
                <w:sz w:val="17"/>
              </w:rPr>
              <w:t>3.7205</w:t>
            </w:r>
          </w:p>
        </w:tc>
        <w:tc>
          <w:tcPr>
            <w:tcW w:type="dxa" w:w="1680"/>
            <w:vAlign w:val="center"/>
          </w:tcPr>
          <w:p>
            <w:pPr>
              <w:spacing w:after="0"/>
            </w:pPr>
            <w:r>
              <w:rPr>
                <w:rFonts w:ascii="Arial" w:hAnsi="Arial"/>
                <w:sz w:val="17"/>
              </w:rPr>
              <w:t>1.9289</w:t>
            </w:r>
          </w:p>
        </w:tc>
        <w:tc>
          <w:tcPr>
            <w:tcW w:type="dxa" w:w="1680"/>
            <w:vAlign w:val="center"/>
          </w:tcPr>
          <w:p>
            <w:pPr>
              <w:spacing w:after="0"/>
            </w:pPr>
            <w:r>
              <w:rPr>
                <w:rFonts w:ascii="Arial" w:hAnsi="Arial"/>
                <w:sz w:val="17"/>
              </w:rPr>
              <w:t>0.2293</w:t>
            </w:r>
          </w:p>
        </w:tc>
        <w:tc>
          <w:tcPr>
            <w:tcW w:type="dxa" w:w="1680"/>
            <w:vAlign w:val="center"/>
          </w:tcPr>
          <w:p>
            <w:pPr>
              <w:spacing w:after="0"/>
            </w:pPr>
            <w:r>
              <w:rPr>
                <w:rFonts w:ascii="Arial" w:hAnsi="Arial"/>
                <w:sz w:val="17"/>
              </w:rPr>
              <w:t>35.88</w:t>
            </w:r>
          </w:p>
        </w:tc>
      </w:tr>
      <w:tr>
        <w:tc>
          <w:tcPr>
            <w:tcW w:type="dxa" w:w="1680"/>
            <w:vAlign w:val="center"/>
          </w:tcPr>
          <w:p>
            <w:pPr>
              <w:spacing w:after="0"/>
            </w:pPr>
            <w:r>
              <w:rPr>
                <w:rFonts w:ascii="Arial" w:hAnsi="Arial"/>
                <w:sz w:val="17"/>
              </w:rPr>
              <w:t>Baseline Mean</w:t>
            </w:r>
          </w:p>
        </w:tc>
        <w:tc>
          <w:tcPr>
            <w:tcW w:type="dxa" w:w="1680"/>
            <w:vAlign w:val="center"/>
          </w:tcPr>
          <w:p>
            <w:pPr>
              <w:spacing w:after="0"/>
            </w:pPr>
            <w:r>
              <w:rPr>
                <w:rFonts w:ascii="Arial" w:hAnsi="Arial"/>
                <w:sz w:val="17"/>
              </w:rPr>
              <w:t>1.8344</w:t>
            </w:r>
          </w:p>
        </w:tc>
        <w:tc>
          <w:tcPr>
            <w:tcW w:type="dxa" w:w="1680"/>
            <w:vAlign w:val="center"/>
          </w:tcPr>
          <w:p>
            <w:pPr>
              <w:spacing w:after="0"/>
            </w:pPr>
            <w:r>
              <w:rPr>
                <w:rFonts w:ascii="Arial" w:hAnsi="Arial"/>
                <w:sz w:val="17"/>
              </w:rPr>
              <w:t>4.8273</w:t>
            </w:r>
          </w:p>
        </w:tc>
        <w:tc>
          <w:tcPr>
            <w:tcW w:type="dxa" w:w="1680"/>
            <w:vAlign w:val="center"/>
          </w:tcPr>
          <w:p>
            <w:pPr>
              <w:spacing w:after="0"/>
            </w:pPr>
            <w:r>
              <w:rPr>
                <w:rFonts w:ascii="Arial" w:hAnsi="Arial"/>
                <w:sz w:val="17"/>
              </w:rPr>
              <w:t>2.1971</w:t>
            </w:r>
          </w:p>
        </w:tc>
        <w:tc>
          <w:tcPr>
            <w:tcW w:type="dxa" w:w="1680"/>
            <w:vAlign w:val="center"/>
          </w:tcPr>
          <w:p>
            <w:pPr>
              <w:spacing w:after="0"/>
            </w:pPr>
            <w:r>
              <w:rPr>
                <w:rFonts w:ascii="Arial" w:hAnsi="Arial"/>
                <w:sz w:val="17"/>
              </w:rPr>
              <w:t>-0.0000</w:t>
            </w:r>
          </w:p>
        </w:tc>
        <w:tc>
          <w:tcPr>
            <w:tcW w:type="dxa" w:w="1680"/>
            <w:vAlign w:val="center"/>
          </w:tcPr>
          <w:p>
            <w:pPr>
              <w:spacing w:after="0"/>
            </w:pPr>
            <w:r>
              <w:rPr>
                <w:rFonts w:ascii="Arial" w:hAnsi="Arial"/>
                <w:sz w:val="17"/>
              </w:rPr>
              <w:t>43.73</w:t>
            </w:r>
          </w:p>
        </w:tc>
      </w:tr>
    </w:tbl>
    <w:p>
      <w:pPr>
        <w:spacing w:after="80" w:line="259" w:lineRule="auto"/>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model_comparison.png"/>
                    <pic:cNvPicPr/>
                  </pic:nvPicPr>
                  <pic:blipFill>
                    <a:blip r:embed="rId14"/>
                    <a:stretch>
                      <a:fillRect/>
                    </a:stretch>
                  </pic:blipFill>
                  <pic:spPr>
                    <a:xfrm>
                      <a:off x="0" y="0"/>
                      <a:ext cx="5303520" cy="3314700"/>
                    </a:xfrm>
                    <a:prstGeom prst="rect"/>
                  </pic:spPr>
                </pic:pic>
              </a:graphicData>
            </a:graphic>
          </wp:inline>
        </w:drawing>
      </w:r>
    </w:p>
    <w:p>
      <w:pPr>
        <w:spacing w:after="80" w:line="259" w:lineRule="auto"/>
        <w:jc w:val="center"/>
      </w:pPr>
      <w:r>
        <w:rPr>
          <w:i/>
          <w:sz w:val="18"/>
        </w:rPr>
        <w:t>Figure 6. Validation R² comparison generated from the computed comparison DataFrame.</w:t>
      </w:r>
    </w:p>
    <w:p>
      <w:pPr>
        <w:spacing w:after="80" w:line="259" w:lineRule="auto"/>
      </w:pPr>
      <w:r>
        <w:t>Random Forest is selected because it has the highest validation R² (0.5978) and also the lowest validation MAE (1.0478) among the five learned models. This supports the conclusion with several metrics rather than one score only.</w:t>
      </w:r>
    </w:p>
    <w:p>
      <w:pPr>
        <w:pStyle w:val="Heading1"/>
        <w:spacing w:after="80" w:line="259" w:lineRule="auto"/>
      </w:pPr>
      <w:r>
        <w:t>10. Controlled Experiments</w:t>
      </w:r>
    </w:p>
    <w:p>
      <w:pPr>
        <w:pStyle w:val="Heading2"/>
        <w:spacing w:after="80" w:line="259" w:lineRule="auto"/>
      </w:pPr>
      <w:r>
        <w:t>10.1 Experiment 1 - Model comparison</w:t>
      </w:r>
    </w:p>
    <w:p>
      <w:pPr>
        <w:spacing w:after="80" w:line="259" w:lineRule="auto"/>
      </w:pPr>
      <w:r>
        <w:t>Question: Under the same representation and validation protocol, which of the five models predicts price most accurately? Result: Random Forest is best on validation data. The likely reason is that house price contains non-linear interactions among area, rooms, road/frontage, categorical status, and location that are difficult for linear models to capture.</w:t>
      </w:r>
    </w:p>
    <w:p>
      <w:pPr>
        <w:pStyle w:val="Heading2"/>
        <w:spacing w:after="80" w:line="259" w:lineRule="auto"/>
      </w:pPr>
      <w:r>
        <w:t>10.2 Experiment 2 - Hyperparameter investigation</w:t>
      </w:r>
    </w:p>
    <w:p>
      <w:pPr>
        <w:spacing w:after="80" w:line="259" w:lineRule="auto"/>
      </w:pPr>
      <w:r>
        <w:t>Question: How does the Random Forest n_estimators parameter affect validation performance when other settings are fixed? Each candidate is trained with an explicit fit() call.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pPr>
              <w:spacing w:after="0"/>
            </w:pPr>
            <w:r>
              <w:rPr>
                <w:rFonts w:ascii="Arial" w:hAnsi="Arial"/>
                <w:sz w:val="17"/>
              </w:rPr>
              <w:t>Trees</w:t>
            </w:r>
          </w:p>
        </w:tc>
        <w:tc>
          <w:tcPr>
            <w:tcW w:type="dxa" w:w="1680"/>
            <w:shd w:fill="D9EAF7"/>
            <w:vAlign w:val="center"/>
          </w:tcPr>
          <w:p>
            <w:pPr>
              <w:spacing w:after="0"/>
            </w:pPr>
            <w:r>
              <w:rPr>
                <w:rFonts w:ascii="Arial" w:hAnsi="Arial"/>
                <w:sz w:val="17"/>
              </w:rPr>
              <w:t>MAE</w:t>
            </w:r>
          </w:p>
        </w:tc>
        <w:tc>
          <w:tcPr>
            <w:tcW w:type="dxa" w:w="1680"/>
            <w:shd w:fill="D9EAF7"/>
            <w:vAlign w:val="center"/>
          </w:tcPr>
          <w:p>
            <w:pPr>
              <w:spacing w:after="0"/>
            </w:pPr>
            <w:r>
              <w:rPr>
                <w:rFonts w:ascii="Arial" w:hAnsi="Arial"/>
                <w:sz w:val="17"/>
              </w:rPr>
              <w:t>MSE</w:t>
            </w:r>
          </w:p>
        </w:tc>
        <w:tc>
          <w:tcPr>
            <w:tcW w:type="dxa" w:w="1680"/>
            <w:shd w:fill="D9EAF7"/>
            <w:vAlign w:val="center"/>
          </w:tcPr>
          <w:p>
            <w:pPr>
              <w:spacing w:after="0"/>
            </w:pPr>
            <w:r>
              <w:rPr>
                <w:rFonts w:ascii="Arial" w:hAnsi="Arial"/>
                <w:sz w:val="17"/>
              </w:rPr>
              <w:t>RMSE</w:t>
            </w:r>
          </w:p>
        </w:tc>
        <w:tc>
          <w:tcPr>
            <w:tcW w:type="dxa" w:w="1680"/>
            <w:shd w:fill="D9EAF7"/>
            <w:vAlign w:val="center"/>
          </w:tcPr>
          <w:p>
            <w:pPr>
              <w:spacing w:after="0"/>
            </w:pPr>
            <w:r>
              <w:rPr>
                <w:rFonts w:ascii="Arial" w:hAnsi="Arial"/>
                <w:sz w:val="17"/>
              </w:rPr>
              <w:t>R²</w:t>
            </w:r>
          </w:p>
        </w:tc>
        <w:tc>
          <w:tcPr>
            <w:tcW w:type="dxa" w:w="1680"/>
            <w:shd w:fill="D9EAF7"/>
            <w:vAlign w:val="center"/>
          </w:tcPr>
          <w:p>
            <w:pPr>
              <w:spacing w:after="0"/>
            </w:pPr>
            <w:r>
              <w:rPr>
                <w:rFonts w:ascii="Arial" w:hAnsi="Arial"/>
                <w:sz w:val="17"/>
              </w:rPr>
              <w:t>MAPE (%)</w:t>
            </w:r>
          </w:p>
        </w:tc>
      </w:tr>
      <w:tr>
        <w:tc>
          <w:tcPr>
            <w:tcW w:type="dxa" w:w="1680"/>
            <w:vAlign w:val="center"/>
          </w:tcPr>
          <w:p>
            <w:pPr>
              <w:spacing w:after="0"/>
            </w:pPr>
            <w:r>
              <w:rPr>
                <w:rFonts w:ascii="Arial" w:hAnsi="Arial"/>
                <w:sz w:val="17"/>
              </w:rPr>
              <w:t>10</w:t>
            </w:r>
          </w:p>
        </w:tc>
        <w:tc>
          <w:tcPr>
            <w:tcW w:type="dxa" w:w="1680"/>
            <w:vAlign w:val="center"/>
          </w:tcPr>
          <w:p>
            <w:pPr>
              <w:spacing w:after="0"/>
            </w:pPr>
            <w:r>
              <w:rPr>
                <w:rFonts w:ascii="Arial" w:hAnsi="Arial"/>
                <w:sz w:val="17"/>
              </w:rPr>
              <w:t>1.0827</w:t>
            </w:r>
          </w:p>
        </w:tc>
        <w:tc>
          <w:tcPr>
            <w:tcW w:type="dxa" w:w="1680"/>
            <w:vAlign w:val="center"/>
          </w:tcPr>
          <w:p>
            <w:pPr>
              <w:spacing w:after="0"/>
            </w:pPr>
            <w:r>
              <w:rPr>
                <w:rFonts w:ascii="Arial" w:hAnsi="Arial"/>
                <w:sz w:val="17"/>
              </w:rPr>
              <w:t>2.0684</w:t>
            </w:r>
          </w:p>
        </w:tc>
        <w:tc>
          <w:tcPr>
            <w:tcW w:type="dxa" w:w="1680"/>
            <w:vAlign w:val="center"/>
          </w:tcPr>
          <w:p>
            <w:pPr>
              <w:spacing w:after="0"/>
            </w:pPr>
            <w:r>
              <w:rPr>
                <w:rFonts w:ascii="Arial" w:hAnsi="Arial"/>
                <w:sz w:val="17"/>
              </w:rPr>
              <w:t>1.4382</w:t>
            </w:r>
          </w:p>
        </w:tc>
        <w:tc>
          <w:tcPr>
            <w:tcW w:type="dxa" w:w="1680"/>
            <w:vAlign w:val="center"/>
          </w:tcPr>
          <w:p>
            <w:pPr>
              <w:spacing w:after="0"/>
            </w:pPr>
            <w:r>
              <w:rPr>
                <w:rFonts w:ascii="Arial" w:hAnsi="Arial"/>
                <w:sz w:val="17"/>
              </w:rPr>
              <w:t>0.5715</w:t>
            </w:r>
          </w:p>
        </w:tc>
        <w:tc>
          <w:tcPr>
            <w:tcW w:type="dxa" w:w="1680"/>
            <w:vAlign w:val="center"/>
          </w:tcPr>
          <w:p>
            <w:pPr>
              <w:spacing w:after="0"/>
            </w:pPr>
            <w:r>
              <w:rPr>
                <w:rFonts w:ascii="Arial" w:hAnsi="Arial"/>
                <w:sz w:val="17"/>
              </w:rPr>
              <w:t>22.71</w:t>
            </w:r>
          </w:p>
        </w:tc>
      </w:tr>
      <w:tr>
        <w:tc>
          <w:tcPr>
            <w:tcW w:type="dxa" w:w="1680"/>
            <w:vAlign w:val="center"/>
          </w:tcPr>
          <w:p>
            <w:pPr>
              <w:spacing w:after="0"/>
            </w:pPr>
            <w:r>
              <w:rPr>
                <w:rFonts w:ascii="Arial" w:hAnsi="Arial"/>
                <w:sz w:val="17"/>
              </w:rPr>
              <w:t>30</w:t>
            </w:r>
          </w:p>
        </w:tc>
        <w:tc>
          <w:tcPr>
            <w:tcW w:type="dxa" w:w="1680"/>
            <w:vAlign w:val="center"/>
          </w:tcPr>
          <w:p>
            <w:pPr>
              <w:spacing w:after="0"/>
            </w:pPr>
            <w:r>
              <w:rPr>
                <w:rFonts w:ascii="Arial" w:hAnsi="Arial"/>
                <w:sz w:val="17"/>
              </w:rPr>
              <w:t>1.0534</w:t>
            </w:r>
          </w:p>
        </w:tc>
        <w:tc>
          <w:tcPr>
            <w:tcW w:type="dxa" w:w="1680"/>
            <w:vAlign w:val="center"/>
          </w:tcPr>
          <w:p>
            <w:pPr>
              <w:spacing w:after="0"/>
            </w:pPr>
            <w:r>
              <w:rPr>
                <w:rFonts w:ascii="Arial" w:hAnsi="Arial"/>
                <w:sz w:val="17"/>
              </w:rPr>
              <w:t>1.9634</w:t>
            </w:r>
          </w:p>
        </w:tc>
        <w:tc>
          <w:tcPr>
            <w:tcW w:type="dxa" w:w="1680"/>
            <w:vAlign w:val="center"/>
          </w:tcPr>
          <w:p>
            <w:pPr>
              <w:spacing w:after="0"/>
            </w:pPr>
            <w:r>
              <w:rPr>
                <w:rFonts w:ascii="Arial" w:hAnsi="Arial"/>
                <w:sz w:val="17"/>
              </w:rPr>
              <w:t>1.4012</w:t>
            </w:r>
          </w:p>
        </w:tc>
        <w:tc>
          <w:tcPr>
            <w:tcW w:type="dxa" w:w="1680"/>
            <w:vAlign w:val="center"/>
          </w:tcPr>
          <w:p>
            <w:pPr>
              <w:spacing w:after="0"/>
            </w:pPr>
            <w:r>
              <w:rPr>
                <w:rFonts w:ascii="Arial" w:hAnsi="Arial"/>
                <w:sz w:val="17"/>
              </w:rPr>
              <w:t>0.5933</w:t>
            </w:r>
          </w:p>
        </w:tc>
        <w:tc>
          <w:tcPr>
            <w:tcW w:type="dxa" w:w="1680"/>
            <w:vAlign w:val="center"/>
          </w:tcPr>
          <w:p>
            <w:pPr>
              <w:spacing w:after="0"/>
            </w:pPr>
            <w:r>
              <w:rPr>
                <w:rFonts w:ascii="Arial" w:hAnsi="Arial"/>
                <w:sz w:val="17"/>
              </w:rPr>
              <w:t>22.08</w:t>
            </w:r>
          </w:p>
        </w:tc>
      </w:tr>
      <w:tr>
        <w:tc>
          <w:tcPr>
            <w:tcW w:type="dxa" w:w="1680"/>
            <w:vAlign w:val="center"/>
          </w:tcPr>
          <w:p>
            <w:pPr>
              <w:spacing w:after="0"/>
            </w:pPr>
            <w:r>
              <w:rPr>
                <w:rFonts w:ascii="Arial" w:hAnsi="Arial"/>
                <w:sz w:val="17"/>
              </w:rPr>
              <w:t>50</w:t>
            </w:r>
          </w:p>
        </w:tc>
        <w:tc>
          <w:tcPr>
            <w:tcW w:type="dxa" w:w="1680"/>
            <w:vAlign w:val="center"/>
          </w:tcPr>
          <w:p>
            <w:pPr>
              <w:spacing w:after="0"/>
            </w:pPr>
            <w:r>
              <w:rPr>
                <w:rFonts w:ascii="Arial" w:hAnsi="Arial"/>
                <w:sz w:val="17"/>
              </w:rPr>
              <w:t>1.0478</w:t>
            </w:r>
          </w:p>
        </w:tc>
        <w:tc>
          <w:tcPr>
            <w:tcW w:type="dxa" w:w="1680"/>
            <w:vAlign w:val="center"/>
          </w:tcPr>
          <w:p>
            <w:pPr>
              <w:spacing w:after="0"/>
            </w:pPr>
            <w:r>
              <w:rPr>
                <w:rFonts w:ascii="Arial" w:hAnsi="Arial"/>
                <w:sz w:val="17"/>
              </w:rPr>
              <w:t>1.9416</w:t>
            </w:r>
          </w:p>
        </w:tc>
        <w:tc>
          <w:tcPr>
            <w:tcW w:type="dxa" w:w="1680"/>
            <w:vAlign w:val="center"/>
          </w:tcPr>
          <w:p>
            <w:pPr>
              <w:spacing w:after="0"/>
            </w:pPr>
            <w:r>
              <w:rPr>
                <w:rFonts w:ascii="Arial" w:hAnsi="Arial"/>
                <w:sz w:val="17"/>
              </w:rPr>
              <w:t>1.3934</w:t>
            </w:r>
          </w:p>
        </w:tc>
        <w:tc>
          <w:tcPr>
            <w:tcW w:type="dxa" w:w="1680"/>
            <w:vAlign w:val="center"/>
          </w:tcPr>
          <w:p>
            <w:pPr>
              <w:spacing w:after="0"/>
            </w:pPr>
            <w:r>
              <w:rPr>
                <w:rFonts w:ascii="Arial" w:hAnsi="Arial"/>
                <w:sz w:val="17"/>
              </w:rPr>
              <w:t>0.5978</w:t>
            </w:r>
          </w:p>
        </w:tc>
        <w:tc>
          <w:tcPr>
            <w:tcW w:type="dxa" w:w="1680"/>
            <w:vAlign w:val="center"/>
          </w:tcPr>
          <w:p>
            <w:pPr>
              <w:spacing w:after="0"/>
            </w:pPr>
            <w:r>
              <w:rPr>
                <w:rFonts w:ascii="Arial" w:hAnsi="Arial"/>
                <w:sz w:val="17"/>
              </w:rPr>
              <w:t>21.99</w:t>
            </w:r>
          </w:p>
        </w:tc>
      </w:tr>
    </w:tbl>
    <w:p>
      <w:pPr>
        <w:spacing w:after="80" w:line="259" w:lineRule="auto"/>
        <w:jc w:val="center"/>
      </w:pPr>
      <w:r>
        <w:drawing>
          <wp:inline xmlns:a="http://schemas.openxmlformats.org/drawingml/2006/main" xmlns:pic="http://schemas.openxmlformats.org/drawingml/2006/picture">
            <wp:extent cx="4937760" cy="3174274"/>
            <wp:docPr id="7" name="Picture 7"/>
            <wp:cNvGraphicFramePr>
              <a:graphicFrameLocks noChangeAspect="1"/>
            </wp:cNvGraphicFramePr>
            <a:graphic>
              <a:graphicData uri="http://schemas.openxmlformats.org/drawingml/2006/picture">
                <pic:pic>
                  <pic:nvPicPr>
                    <pic:cNvPr id="0" name="07_hyperparameter.png"/>
                    <pic:cNvPicPr/>
                  </pic:nvPicPr>
                  <pic:blipFill>
                    <a:blip r:embed="rId15"/>
                    <a:stretch>
                      <a:fillRect/>
                    </a:stretch>
                  </pic:blipFill>
                  <pic:spPr>
                    <a:xfrm>
                      <a:off x="0" y="0"/>
                      <a:ext cx="4937760" cy="3174274"/>
                    </a:xfrm>
                    <a:prstGeom prst="rect"/>
                  </pic:spPr>
                </pic:pic>
              </a:graphicData>
            </a:graphic>
          </wp:inline>
        </w:drawing>
      </w:r>
    </w:p>
    <w:p>
      <w:pPr>
        <w:spacing w:after="80" w:line="259" w:lineRule="auto"/>
        <w:jc w:val="center"/>
      </w:pPr>
      <w:r>
        <w:rPr>
          <w:i/>
          <w:sz w:val="18"/>
        </w:rPr>
        <w:t>Figure 7. Hyperparameter experiment generated from actual fit/predict results.</w:t>
      </w:r>
    </w:p>
    <w:p>
      <w:pPr>
        <w:spacing w:after="80" w:line="259" w:lineRule="auto"/>
      </w:pPr>
      <w:r>
        <w:t>Among the tested values, 50 trees gives the highest validation R² (0.5978). The improvement becomes smaller as more trees are added, so this value is a reasonable classroom/demo trade-off.</w:t>
      </w:r>
    </w:p>
    <w:p>
      <w:pPr>
        <w:pStyle w:val="Heading2"/>
        <w:spacing w:after="80" w:line="259" w:lineRule="auto"/>
      </w:pPr>
      <w:r>
        <w:t>10.3 Experiment 3 - Representation / feature investigation</w:t>
      </w:r>
    </w:p>
    <w:p>
      <w:pPr>
        <w:spacing w:after="80" w:line="259" w:lineRule="auto"/>
      </w:pPr>
      <w:r>
        <w:t>Question: Does explicitly representing location using Province and District improve performance? The same Random Forest configuration is fit twice; only the representation changes.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pPr>
              <w:spacing w:after="0"/>
            </w:pPr>
            <w:r>
              <w:rPr>
                <w:rFonts w:ascii="Arial" w:hAnsi="Arial"/>
                <w:sz w:val="17"/>
              </w:rPr>
              <w:t>Representation</w:t>
            </w:r>
          </w:p>
        </w:tc>
        <w:tc>
          <w:tcPr>
            <w:tcW w:type="dxa" w:w="1680"/>
            <w:shd w:fill="D9EAF7"/>
            <w:vAlign w:val="center"/>
          </w:tcPr>
          <w:p>
            <w:pPr>
              <w:spacing w:after="0"/>
            </w:pPr>
            <w:r>
              <w:rPr>
                <w:rFonts w:ascii="Arial" w:hAnsi="Arial"/>
                <w:sz w:val="17"/>
              </w:rPr>
              <w:t>MAE</w:t>
            </w:r>
          </w:p>
        </w:tc>
        <w:tc>
          <w:tcPr>
            <w:tcW w:type="dxa" w:w="1680"/>
            <w:shd w:fill="D9EAF7"/>
            <w:vAlign w:val="center"/>
          </w:tcPr>
          <w:p>
            <w:pPr>
              <w:spacing w:after="0"/>
            </w:pPr>
            <w:r>
              <w:rPr>
                <w:rFonts w:ascii="Arial" w:hAnsi="Arial"/>
                <w:sz w:val="17"/>
              </w:rPr>
              <w:t>MSE</w:t>
            </w:r>
          </w:p>
        </w:tc>
        <w:tc>
          <w:tcPr>
            <w:tcW w:type="dxa" w:w="1680"/>
            <w:shd w:fill="D9EAF7"/>
            <w:vAlign w:val="center"/>
          </w:tcPr>
          <w:p>
            <w:pPr>
              <w:spacing w:after="0"/>
            </w:pPr>
            <w:r>
              <w:rPr>
                <w:rFonts w:ascii="Arial" w:hAnsi="Arial"/>
                <w:sz w:val="17"/>
              </w:rPr>
              <w:t>RMSE</w:t>
            </w:r>
          </w:p>
        </w:tc>
        <w:tc>
          <w:tcPr>
            <w:tcW w:type="dxa" w:w="1680"/>
            <w:shd w:fill="D9EAF7"/>
            <w:vAlign w:val="center"/>
          </w:tcPr>
          <w:p>
            <w:pPr>
              <w:spacing w:after="0"/>
            </w:pPr>
            <w:r>
              <w:rPr>
                <w:rFonts w:ascii="Arial" w:hAnsi="Arial"/>
                <w:sz w:val="17"/>
              </w:rPr>
              <w:t>R²</w:t>
            </w:r>
          </w:p>
        </w:tc>
        <w:tc>
          <w:tcPr>
            <w:tcW w:type="dxa" w:w="1680"/>
            <w:shd w:fill="D9EAF7"/>
            <w:vAlign w:val="center"/>
          </w:tcPr>
          <w:p>
            <w:pPr>
              <w:spacing w:after="0"/>
            </w:pPr>
            <w:r>
              <w:rPr>
                <w:rFonts w:ascii="Arial" w:hAnsi="Arial"/>
                <w:sz w:val="17"/>
              </w:rPr>
              <w:t>MAPE (%)</w:t>
            </w:r>
          </w:p>
        </w:tc>
      </w:tr>
      <w:tr>
        <w:tc>
          <w:tcPr>
            <w:tcW w:type="dxa" w:w="1680"/>
            <w:vAlign w:val="center"/>
          </w:tcPr>
          <w:p>
            <w:pPr>
              <w:spacing w:after="0"/>
            </w:pPr>
            <w:r>
              <w:rPr>
                <w:rFonts w:ascii="Arial" w:hAnsi="Arial"/>
                <w:sz w:val="17"/>
              </w:rPr>
              <w:t>Without Province + District</w:t>
            </w:r>
          </w:p>
        </w:tc>
        <w:tc>
          <w:tcPr>
            <w:tcW w:type="dxa" w:w="1680"/>
            <w:vAlign w:val="center"/>
          </w:tcPr>
          <w:p>
            <w:pPr>
              <w:spacing w:after="0"/>
            </w:pPr>
            <w:r>
              <w:rPr>
                <w:rFonts w:ascii="Arial" w:hAnsi="Arial"/>
                <w:sz w:val="17"/>
              </w:rPr>
              <w:t>1.3963</w:t>
            </w:r>
          </w:p>
        </w:tc>
        <w:tc>
          <w:tcPr>
            <w:tcW w:type="dxa" w:w="1680"/>
            <w:vAlign w:val="center"/>
          </w:tcPr>
          <w:p>
            <w:pPr>
              <w:spacing w:after="0"/>
            </w:pPr>
            <w:r>
              <w:rPr>
                <w:rFonts w:ascii="Arial" w:hAnsi="Arial"/>
                <w:sz w:val="17"/>
              </w:rPr>
              <w:t>3.1229</w:t>
            </w:r>
          </w:p>
        </w:tc>
        <w:tc>
          <w:tcPr>
            <w:tcW w:type="dxa" w:w="1680"/>
            <w:vAlign w:val="center"/>
          </w:tcPr>
          <w:p>
            <w:pPr>
              <w:spacing w:after="0"/>
            </w:pPr>
            <w:r>
              <w:rPr>
                <w:rFonts w:ascii="Arial" w:hAnsi="Arial"/>
                <w:sz w:val="17"/>
              </w:rPr>
              <w:t>1.7672</w:t>
            </w:r>
          </w:p>
        </w:tc>
        <w:tc>
          <w:tcPr>
            <w:tcW w:type="dxa" w:w="1680"/>
            <w:vAlign w:val="center"/>
          </w:tcPr>
          <w:p>
            <w:pPr>
              <w:spacing w:after="0"/>
            </w:pPr>
            <w:r>
              <w:rPr>
                <w:rFonts w:ascii="Arial" w:hAnsi="Arial"/>
                <w:sz w:val="17"/>
              </w:rPr>
              <w:t>0.3531</w:t>
            </w:r>
          </w:p>
        </w:tc>
        <w:tc>
          <w:tcPr>
            <w:tcW w:type="dxa" w:w="1680"/>
            <w:vAlign w:val="center"/>
          </w:tcPr>
          <w:p>
            <w:pPr>
              <w:spacing w:after="0"/>
            </w:pPr>
            <w:r>
              <w:rPr>
                <w:rFonts w:ascii="Arial" w:hAnsi="Arial"/>
                <w:sz w:val="17"/>
              </w:rPr>
              <w:t>31.14</w:t>
            </w:r>
          </w:p>
        </w:tc>
      </w:tr>
      <w:tr>
        <w:tc>
          <w:tcPr>
            <w:tcW w:type="dxa" w:w="1680"/>
            <w:vAlign w:val="center"/>
          </w:tcPr>
          <w:p>
            <w:pPr>
              <w:spacing w:after="0"/>
            </w:pPr>
            <w:r>
              <w:rPr>
                <w:rFonts w:ascii="Arial" w:hAnsi="Arial"/>
                <w:sz w:val="17"/>
              </w:rPr>
              <w:t>With Province + District</w:t>
            </w:r>
          </w:p>
        </w:tc>
        <w:tc>
          <w:tcPr>
            <w:tcW w:type="dxa" w:w="1680"/>
            <w:vAlign w:val="center"/>
          </w:tcPr>
          <w:p>
            <w:pPr>
              <w:spacing w:after="0"/>
            </w:pPr>
            <w:r>
              <w:rPr>
                <w:rFonts w:ascii="Arial" w:hAnsi="Arial"/>
                <w:sz w:val="17"/>
              </w:rPr>
              <w:t>1.0478</w:t>
            </w:r>
          </w:p>
        </w:tc>
        <w:tc>
          <w:tcPr>
            <w:tcW w:type="dxa" w:w="1680"/>
            <w:vAlign w:val="center"/>
          </w:tcPr>
          <w:p>
            <w:pPr>
              <w:spacing w:after="0"/>
            </w:pPr>
            <w:r>
              <w:rPr>
                <w:rFonts w:ascii="Arial" w:hAnsi="Arial"/>
                <w:sz w:val="17"/>
              </w:rPr>
              <w:t>1.9416</w:t>
            </w:r>
          </w:p>
        </w:tc>
        <w:tc>
          <w:tcPr>
            <w:tcW w:type="dxa" w:w="1680"/>
            <w:vAlign w:val="center"/>
          </w:tcPr>
          <w:p>
            <w:pPr>
              <w:spacing w:after="0"/>
            </w:pPr>
            <w:r>
              <w:rPr>
                <w:rFonts w:ascii="Arial" w:hAnsi="Arial"/>
                <w:sz w:val="17"/>
              </w:rPr>
              <w:t>1.3934</w:t>
            </w:r>
          </w:p>
        </w:tc>
        <w:tc>
          <w:tcPr>
            <w:tcW w:type="dxa" w:w="1680"/>
            <w:vAlign w:val="center"/>
          </w:tcPr>
          <w:p>
            <w:pPr>
              <w:spacing w:after="0"/>
            </w:pPr>
            <w:r>
              <w:rPr>
                <w:rFonts w:ascii="Arial" w:hAnsi="Arial"/>
                <w:sz w:val="17"/>
              </w:rPr>
              <w:t>0.5978</w:t>
            </w:r>
          </w:p>
        </w:tc>
        <w:tc>
          <w:tcPr>
            <w:tcW w:type="dxa" w:w="1680"/>
            <w:vAlign w:val="center"/>
          </w:tcPr>
          <w:p>
            <w:pPr>
              <w:spacing w:after="0"/>
            </w:pPr>
            <w:r>
              <w:rPr>
                <w:rFonts w:ascii="Arial" w:hAnsi="Arial"/>
                <w:sz w:val="17"/>
              </w:rPr>
              <w:t>21.99</w:t>
            </w:r>
          </w:p>
        </w:tc>
      </w:tr>
    </w:tbl>
    <w:p>
      <w:pPr>
        <w:spacing w:after="80" w:line="259" w:lineRule="auto"/>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08_representation.png"/>
                    <pic:cNvPicPr/>
                  </pic:nvPicPr>
                  <pic:blipFill>
                    <a:blip r:embed="rId16"/>
                    <a:stretch>
                      <a:fillRect/>
                    </a:stretch>
                  </pic:blipFill>
                  <pic:spPr>
                    <a:xfrm>
                      <a:off x="0" y="0"/>
                      <a:ext cx="5303520" cy="2983230"/>
                    </a:xfrm>
                    <a:prstGeom prst="rect"/>
                  </pic:spPr>
                </pic:pic>
              </a:graphicData>
            </a:graphic>
          </wp:inline>
        </w:drawing>
      </w:r>
    </w:p>
    <w:p>
      <w:pPr>
        <w:spacing w:after="80" w:line="259" w:lineRule="auto"/>
        <w:jc w:val="center"/>
      </w:pPr>
      <w:r>
        <w:rPr>
          <w:i/>
          <w:sz w:val="18"/>
        </w:rPr>
        <w:t>Figure 8. Representation experiment generated from actual model results.</w:t>
      </w:r>
    </w:p>
    <w:p>
      <w:pPr>
        <w:spacing w:after="80" w:line="259" w:lineRule="auto"/>
      </w:pPr>
      <w:r>
        <w:t>Adding Province and District increases validation R² from 0.3531 to 0.5978 and reduces MAPE from 31.14% to 21.99%. This is strong evidence that representation directly affects what the model can learn.</w:t>
      </w:r>
    </w:p>
    <w:p>
      <w:pPr>
        <w:pStyle w:val="Heading1"/>
        <w:spacing w:after="80" w:line="259" w:lineRule="auto"/>
      </w:pPr>
      <w:r>
        <w:t>11. Final Model and Unseen Test Evaluation</w:t>
      </w:r>
    </w:p>
    <w:p>
      <w:pPr>
        <w:spacing w:after="80" w:line="259" w:lineRule="auto"/>
      </w:pPr>
      <w:r>
        <w:t>After model and parameter choices are fixed, the preprocessing object is fit on the complete 80% training portion and the final Random Forest is fit again using final_model.fit(...). Only then is the untouched 20% test set transformed and predicted.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spacing w:after="0"/>
            </w:pPr>
            <w:r>
              <w:rPr>
                <w:rFonts w:ascii="Arial" w:hAnsi="Arial"/>
                <w:sz w:val="17"/>
              </w:rPr>
              <w:t>MAE</w:t>
            </w:r>
          </w:p>
        </w:tc>
        <w:tc>
          <w:tcPr>
            <w:tcW w:type="dxa" w:w="2016"/>
            <w:shd w:fill="D9EAF7"/>
            <w:vAlign w:val="center"/>
          </w:tcPr>
          <w:p>
            <w:pPr>
              <w:spacing w:after="0"/>
            </w:pPr>
            <w:r>
              <w:rPr>
                <w:rFonts w:ascii="Arial" w:hAnsi="Arial"/>
                <w:sz w:val="17"/>
              </w:rPr>
              <w:t>MSE</w:t>
            </w:r>
          </w:p>
        </w:tc>
        <w:tc>
          <w:tcPr>
            <w:tcW w:type="dxa" w:w="2016"/>
            <w:shd w:fill="D9EAF7"/>
            <w:vAlign w:val="center"/>
          </w:tcPr>
          <w:p>
            <w:pPr>
              <w:spacing w:after="0"/>
            </w:pPr>
            <w:r>
              <w:rPr>
                <w:rFonts w:ascii="Arial" w:hAnsi="Arial"/>
                <w:sz w:val="17"/>
              </w:rPr>
              <w:t>RMSE</w:t>
            </w:r>
          </w:p>
        </w:tc>
        <w:tc>
          <w:tcPr>
            <w:tcW w:type="dxa" w:w="2016"/>
            <w:shd w:fill="D9EAF7"/>
            <w:vAlign w:val="center"/>
          </w:tcPr>
          <w:p>
            <w:pPr>
              <w:spacing w:after="0"/>
            </w:pPr>
            <w:r>
              <w:rPr>
                <w:rFonts w:ascii="Arial" w:hAnsi="Arial"/>
                <w:sz w:val="17"/>
              </w:rPr>
              <w:t>R²</w:t>
            </w:r>
          </w:p>
        </w:tc>
        <w:tc>
          <w:tcPr>
            <w:tcW w:type="dxa" w:w="2016"/>
            <w:shd w:fill="D9EAF7"/>
            <w:vAlign w:val="center"/>
          </w:tcPr>
          <w:p>
            <w:pPr>
              <w:spacing w:after="0"/>
            </w:pPr>
            <w:r>
              <w:rPr>
                <w:rFonts w:ascii="Arial" w:hAnsi="Arial"/>
                <w:sz w:val="17"/>
              </w:rPr>
              <w:t>MAPE (%)</w:t>
            </w:r>
          </w:p>
        </w:tc>
      </w:tr>
      <w:tr>
        <w:tc>
          <w:tcPr>
            <w:tcW w:type="dxa" w:w="2016"/>
            <w:vAlign w:val="center"/>
          </w:tcPr>
          <w:p>
            <w:pPr>
              <w:spacing w:after="0"/>
            </w:pPr>
            <w:r>
              <w:rPr>
                <w:rFonts w:ascii="Arial" w:hAnsi="Arial"/>
                <w:sz w:val="17"/>
              </w:rPr>
              <w:t>1.0551</w:t>
            </w:r>
          </w:p>
        </w:tc>
        <w:tc>
          <w:tcPr>
            <w:tcW w:type="dxa" w:w="2016"/>
            <w:vAlign w:val="center"/>
          </w:tcPr>
          <w:p>
            <w:pPr>
              <w:spacing w:after="0"/>
            </w:pPr>
            <w:r>
              <w:rPr>
                <w:rFonts w:ascii="Arial" w:hAnsi="Arial"/>
                <w:sz w:val="17"/>
              </w:rPr>
              <w:t>1.9942</w:t>
            </w:r>
          </w:p>
        </w:tc>
        <w:tc>
          <w:tcPr>
            <w:tcW w:type="dxa" w:w="2016"/>
            <w:vAlign w:val="center"/>
          </w:tcPr>
          <w:p>
            <w:pPr>
              <w:spacing w:after="0"/>
            </w:pPr>
            <w:r>
              <w:rPr>
                <w:rFonts w:ascii="Arial" w:hAnsi="Arial"/>
                <w:sz w:val="17"/>
              </w:rPr>
              <w:t>1.4122</w:t>
            </w:r>
          </w:p>
        </w:tc>
        <w:tc>
          <w:tcPr>
            <w:tcW w:type="dxa" w:w="2016"/>
            <w:vAlign w:val="center"/>
          </w:tcPr>
          <w:p>
            <w:pPr>
              <w:spacing w:after="0"/>
            </w:pPr>
            <w:r>
              <w:rPr>
                <w:rFonts w:ascii="Arial" w:hAnsi="Arial"/>
                <w:sz w:val="17"/>
              </w:rPr>
              <w:t>0.5910</w:t>
            </w:r>
          </w:p>
        </w:tc>
        <w:tc>
          <w:tcPr>
            <w:tcW w:type="dxa" w:w="2016"/>
            <w:vAlign w:val="center"/>
          </w:tcPr>
          <w:p>
            <w:pPr>
              <w:spacing w:after="0"/>
            </w:pPr>
            <w:r>
              <w:rPr>
                <w:rFonts w:ascii="Arial" w:hAnsi="Arial"/>
                <w:sz w:val="17"/>
              </w:rPr>
              <w:t>22.36</w:t>
            </w:r>
          </w:p>
        </w:tc>
      </w:tr>
    </w:tbl>
    <w:p>
      <w:pPr>
        <w:spacing w:after="80" w:line="259" w:lineRule="auto"/>
      </w:pPr>
      <w:r>
        <w:t>The final unseen test result is MAE 1.0551 billion VND, RMSE 1.4122 billion VND, R² 0.5910, and MAPE 22.36%. The model performs substantially better than the baseline, although prediction error remains significant because listing prices depend on information not fully represented in the dataset.</w:t>
      </w:r>
    </w:p>
    <w:p>
      <w:pPr>
        <w:pStyle w:val="Heading1"/>
        <w:spacing w:after="80" w:line="259" w:lineRule="auto"/>
      </w:pPr>
      <w:r>
        <w:t>12. Training, Saving, Loading, and Prediction</w:t>
      </w:r>
    </w:p>
    <w:p>
      <w:pPr>
        <w:spacing w:after="80" w:line="259" w:lineRule="auto"/>
      </w:pPr>
      <w:r>
        <w:t>Following Chapter 12, after selection the final model is explicitly trained with fit(), saved to disk, loaded again, and used for predictions. This project saves a Python pickle bundle containing both the fitted preprocessing object and the fitted Random Forest. Preserving preprocessing is necessary because new application inputs must be transformed exactly like the training data.</w:t>
      </w:r>
    </w:p>
    <w:p>
      <w:pPr>
        <w:spacing w:after="80" w:line="259" w:lineRule="auto"/>
      </w:pPr>
      <w:r>
        <w:rPr>
          <w:b/>
        </w:rPr>
        <w:t xml:space="preserve">Saved artifact: </w:t>
      </w:r>
      <w:r>
        <w:t>house_price_model.pkl</w:t>
      </w:r>
    </w:p>
    <w:p>
      <w:pPr>
        <w:pStyle w:val="Heading2"/>
        <w:spacing w:after="80" w:line="259" w:lineRule="auto"/>
      </w:pPr>
      <w:r>
        <w:t>12.1 Three system-demonstration cases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pPr>
              <w:spacing w:after="0"/>
            </w:pPr>
            <w:r>
              <w:rPr>
                <w:rFonts w:ascii="Arial" w:hAnsi="Arial"/>
                <w:sz w:val="17"/>
              </w:rPr>
              <w:t>Case</w:t>
            </w:r>
          </w:p>
        </w:tc>
        <w:tc>
          <w:tcPr>
            <w:tcW w:type="dxa" w:w="1440"/>
            <w:shd w:fill="D9EAF7"/>
            <w:vAlign w:val="center"/>
          </w:tcPr>
          <w:p>
            <w:pPr>
              <w:spacing w:after="0"/>
            </w:pPr>
            <w:r>
              <w:rPr>
                <w:rFonts w:ascii="Arial" w:hAnsi="Arial"/>
                <w:sz w:val="17"/>
              </w:rPr>
              <w:t>Area</w:t>
            </w:r>
          </w:p>
        </w:tc>
        <w:tc>
          <w:tcPr>
            <w:tcW w:type="dxa" w:w="1440"/>
            <w:shd w:fill="D9EAF7"/>
            <w:vAlign w:val="center"/>
          </w:tcPr>
          <w:p>
            <w:pPr>
              <w:spacing w:after="0"/>
            </w:pPr>
            <w:r>
              <w:rPr>
                <w:rFonts w:ascii="Arial" w:hAnsi="Arial"/>
                <w:sz w:val="17"/>
              </w:rPr>
              <w:t>Floors</w:t>
            </w:r>
          </w:p>
        </w:tc>
        <w:tc>
          <w:tcPr>
            <w:tcW w:type="dxa" w:w="1440"/>
            <w:shd w:fill="D9EAF7"/>
            <w:vAlign w:val="center"/>
          </w:tcPr>
          <w:p>
            <w:pPr>
              <w:spacing w:after="0"/>
            </w:pPr>
            <w:r>
              <w:rPr>
                <w:rFonts w:ascii="Arial" w:hAnsi="Arial"/>
                <w:sz w:val="17"/>
              </w:rPr>
              <w:t>Bedrooms</w:t>
            </w:r>
          </w:p>
        </w:tc>
        <w:tc>
          <w:tcPr>
            <w:tcW w:type="dxa" w:w="1440"/>
            <w:shd w:fill="D9EAF7"/>
            <w:vAlign w:val="center"/>
          </w:tcPr>
          <w:p>
            <w:pPr>
              <w:spacing w:after="0"/>
            </w:pPr>
            <w:r>
              <w:rPr>
                <w:rFonts w:ascii="Arial" w:hAnsi="Arial"/>
                <w:sz w:val="17"/>
              </w:rPr>
              <w:t>Province</w:t>
            </w:r>
          </w:p>
        </w:tc>
        <w:tc>
          <w:tcPr>
            <w:tcW w:type="dxa" w:w="1440"/>
            <w:shd w:fill="D9EAF7"/>
            <w:vAlign w:val="center"/>
          </w:tcPr>
          <w:p>
            <w:pPr>
              <w:spacing w:after="0"/>
            </w:pPr>
            <w:r>
              <w:rPr>
                <w:rFonts w:ascii="Arial" w:hAnsi="Arial"/>
                <w:sz w:val="17"/>
              </w:rPr>
              <w:t>District</w:t>
            </w:r>
          </w:p>
        </w:tc>
        <w:tc>
          <w:tcPr>
            <w:tcW w:type="dxa" w:w="1440"/>
            <w:shd w:fill="D9EAF7"/>
            <w:vAlign w:val="center"/>
          </w:tcPr>
          <w:p>
            <w:pPr>
              <w:spacing w:after="0"/>
            </w:pPr>
            <w:r>
              <w:rPr>
                <w:rFonts w:ascii="Arial" w:hAnsi="Arial"/>
                <w:sz w:val="17"/>
              </w:rPr>
              <w:t>Predicted price</w:t>
            </w:r>
          </w:p>
        </w:tc>
      </w:tr>
      <w:tr>
        <w:tc>
          <w:tcPr>
            <w:tcW w:type="dxa" w:w="1440"/>
            <w:vAlign w:val="center"/>
          </w:tcPr>
          <w:p>
            <w:pPr>
              <w:spacing w:after="0"/>
            </w:pPr>
            <w:r>
              <w:rPr>
                <w:rFonts w:ascii="Arial" w:hAnsi="Arial"/>
                <w:sz w:val="17"/>
              </w:rPr>
              <w:t>1</w:t>
            </w:r>
          </w:p>
        </w:tc>
        <w:tc>
          <w:tcPr>
            <w:tcW w:type="dxa" w:w="1440"/>
            <w:vAlign w:val="center"/>
          </w:tcPr>
          <w:p>
            <w:pPr>
              <w:spacing w:after="0"/>
            </w:pPr>
            <w:r>
              <w:rPr>
                <w:rFonts w:ascii="Arial" w:hAnsi="Arial"/>
                <w:sz w:val="17"/>
              </w:rPr>
              <w:t>50</w:t>
            </w:r>
          </w:p>
        </w:tc>
        <w:tc>
          <w:tcPr>
            <w:tcW w:type="dxa" w:w="1440"/>
            <w:vAlign w:val="center"/>
          </w:tcPr>
          <w:p>
            <w:pPr>
              <w:spacing w:after="0"/>
            </w:pPr>
            <w:r>
              <w:rPr>
                <w:rFonts w:ascii="Arial" w:hAnsi="Arial"/>
                <w:sz w:val="17"/>
              </w:rPr>
              <w:t>4</w:t>
            </w:r>
          </w:p>
        </w:tc>
        <w:tc>
          <w:tcPr>
            <w:tcW w:type="dxa" w:w="1440"/>
            <w:vAlign w:val="center"/>
          </w:tcPr>
          <w:p>
            <w:pPr>
              <w:spacing w:after="0"/>
            </w:pPr>
            <w:r>
              <w:rPr>
                <w:rFonts w:ascii="Arial" w:hAnsi="Arial"/>
                <w:sz w:val="17"/>
              </w:rPr>
              <w:t>4</w:t>
            </w:r>
          </w:p>
        </w:tc>
        <w:tc>
          <w:tcPr>
            <w:tcW w:type="dxa" w:w="1440"/>
            <w:vAlign w:val="center"/>
          </w:tcPr>
          <w:p>
            <w:pPr>
              <w:spacing w:after="0"/>
            </w:pPr>
            <w:r>
              <w:rPr>
                <w:rFonts w:ascii="Arial" w:hAnsi="Arial"/>
                <w:sz w:val="17"/>
              </w:rPr>
              <w:t>Hồ Chí Minh</w:t>
            </w:r>
          </w:p>
        </w:tc>
        <w:tc>
          <w:tcPr>
            <w:tcW w:type="dxa" w:w="1440"/>
            <w:vAlign w:val="center"/>
          </w:tcPr>
          <w:p>
            <w:pPr>
              <w:spacing w:after="0"/>
            </w:pPr>
            <w:r>
              <w:rPr>
                <w:rFonts w:ascii="Arial" w:hAnsi="Arial"/>
                <w:sz w:val="17"/>
              </w:rPr>
              <w:t>Bình Tân</w:t>
            </w:r>
          </w:p>
        </w:tc>
        <w:tc>
          <w:tcPr>
            <w:tcW w:type="dxa" w:w="1440"/>
            <w:vAlign w:val="center"/>
          </w:tcPr>
          <w:p>
            <w:pPr>
              <w:spacing w:after="0"/>
            </w:pPr>
            <w:r>
              <w:rPr>
                <w:rFonts w:ascii="Arial" w:hAnsi="Arial"/>
                <w:sz w:val="17"/>
              </w:rPr>
              <w:t>5.727 billion VND</w:t>
            </w:r>
          </w:p>
        </w:tc>
      </w:tr>
      <w:tr>
        <w:tc>
          <w:tcPr>
            <w:tcW w:type="dxa" w:w="1440"/>
            <w:vAlign w:val="center"/>
          </w:tcPr>
          <w:p>
            <w:pPr>
              <w:spacing w:after="0"/>
            </w:pPr>
            <w:r>
              <w:rPr>
                <w:rFonts w:ascii="Arial" w:hAnsi="Arial"/>
                <w:sz w:val="17"/>
              </w:rPr>
              <w:t>2</w:t>
            </w:r>
          </w:p>
        </w:tc>
        <w:tc>
          <w:tcPr>
            <w:tcW w:type="dxa" w:w="1440"/>
            <w:vAlign w:val="center"/>
          </w:tcPr>
          <w:p>
            <w:pPr>
              <w:spacing w:after="0"/>
            </w:pPr>
            <w:r>
              <w:rPr>
                <w:rFonts w:ascii="Arial" w:hAnsi="Arial"/>
                <w:sz w:val="17"/>
              </w:rPr>
              <w:t>80</w:t>
            </w:r>
          </w:p>
        </w:tc>
        <w:tc>
          <w:tcPr>
            <w:tcW w:type="dxa" w:w="1440"/>
            <w:vAlign w:val="center"/>
          </w:tcPr>
          <w:p>
            <w:pPr>
              <w:spacing w:after="0"/>
            </w:pPr>
            <w:r>
              <w:rPr>
                <w:rFonts w:ascii="Arial" w:hAnsi="Arial"/>
                <w:sz w:val="17"/>
              </w:rPr>
              <w:t>5</w:t>
            </w:r>
          </w:p>
        </w:tc>
        <w:tc>
          <w:tcPr>
            <w:tcW w:type="dxa" w:w="1440"/>
            <w:vAlign w:val="center"/>
          </w:tcPr>
          <w:p>
            <w:pPr>
              <w:spacing w:after="0"/>
            </w:pPr>
            <w:r>
              <w:rPr>
                <w:rFonts w:ascii="Arial" w:hAnsi="Arial"/>
                <w:sz w:val="17"/>
              </w:rPr>
              <w:t>5</w:t>
            </w:r>
          </w:p>
        </w:tc>
        <w:tc>
          <w:tcPr>
            <w:tcW w:type="dxa" w:w="1440"/>
            <w:vAlign w:val="center"/>
          </w:tcPr>
          <w:p>
            <w:pPr>
              <w:spacing w:after="0"/>
            </w:pPr>
            <w:r>
              <w:rPr>
                <w:rFonts w:ascii="Arial" w:hAnsi="Arial"/>
                <w:sz w:val="17"/>
              </w:rPr>
              <w:t>Hà Nội</w:t>
            </w:r>
          </w:p>
        </w:tc>
        <w:tc>
          <w:tcPr>
            <w:tcW w:type="dxa" w:w="1440"/>
            <w:vAlign w:val="center"/>
          </w:tcPr>
          <w:p>
            <w:pPr>
              <w:spacing w:after="0"/>
            </w:pPr>
            <w:r>
              <w:rPr>
                <w:rFonts w:ascii="Arial" w:hAnsi="Arial"/>
                <w:sz w:val="17"/>
              </w:rPr>
              <w:t>Cầu Giấy</w:t>
            </w:r>
          </w:p>
        </w:tc>
        <w:tc>
          <w:tcPr>
            <w:tcW w:type="dxa" w:w="1440"/>
            <w:vAlign w:val="center"/>
          </w:tcPr>
          <w:p>
            <w:pPr>
              <w:spacing w:after="0"/>
            </w:pPr>
            <w:r>
              <w:rPr>
                <w:rFonts w:ascii="Arial" w:hAnsi="Arial"/>
                <w:sz w:val="17"/>
              </w:rPr>
              <w:t>8.426 billion VND</w:t>
            </w:r>
          </w:p>
        </w:tc>
      </w:tr>
      <w:tr>
        <w:tc>
          <w:tcPr>
            <w:tcW w:type="dxa" w:w="1440"/>
            <w:vAlign w:val="center"/>
          </w:tcPr>
          <w:p>
            <w:pPr>
              <w:spacing w:after="0"/>
            </w:pPr>
            <w:r>
              <w:rPr>
                <w:rFonts w:ascii="Arial" w:hAnsi="Arial"/>
                <w:sz w:val="17"/>
              </w:rPr>
              <w:t>3</w:t>
            </w:r>
          </w:p>
        </w:tc>
        <w:tc>
          <w:tcPr>
            <w:tcW w:type="dxa" w:w="1440"/>
            <w:vAlign w:val="center"/>
          </w:tcPr>
          <w:p>
            <w:pPr>
              <w:spacing w:after="0"/>
            </w:pPr>
            <w:r>
              <w:rPr>
                <w:rFonts w:ascii="Arial" w:hAnsi="Arial"/>
                <w:sz w:val="17"/>
              </w:rPr>
              <w:t>120</w:t>
            </w:r>
          </w:p>
        </w:tc>
        <w:tc>
          <w:tcPr>
            <w:tcW w:type="dxa" w:w="1440"/>
            <w:vAlign w:val="center"/>
          </w:tcPr>
          <w:p>
            <w:pPr>
              <w:spacing w:after="0"/>
            </w:pPr>
            <w:r>
              <w:rPr>
                <w:rFonts w:ascii="Arial" w:hAnsi="Arial"/>
                <w:sz w:val="17"/>
              </w:rPr>
              <w:t>3</w:t>
            </w:r>
          </w:p>
        </w:tc>
        <w:tc>
          <w:tcPr>
            <w:tcW w:type="dxa" w:w="1440"/>
            <w:vAlign w:val="center"/>
          </w:tcPr>
          <w:p>
            <w:pPr>
              <w:spacing w:after="0"/>
            </w:pPr>
            <w:r>
              <w:rPr>
                <w:rFonts w:ascii="Arial" w:hAnsi="Arial"/>
                <w:sz w:val="17"/>
              </w:rPr>
              <w:t>4</w:t>
            </w:r>
          </w:p>
        </w:tc>
        <w:tc>
          <w:tcPr>
            <w:tcW w:type="dxa" w:w="1440"/>
            <w:vAlign w:val="center"/>
          </w:tcPr>
          <w:p>
            <w:pPr>
              <w:spacing w:after="0"/>
            </w:pPr>
            <w:r>
              <w:rPr>
                <w:rFonts w:ascii="Arial" w:hAnsi="Arial"/>
                <w:sz w:val="17"/>
              </w:rPr>
              <w:t>Đà Nẵng</w:t>
            </w:r>
          </w:p>
        </w:tc>
        <w:tc>
          <w:tcPr>
            <w:tcW w:type="dxa" w:w="1440"/>
            <w:vAlign w:val="center"/>
          </w:tcPr>
          <w:p>
            <w:pPr>
              <w:spacing w:after="0"/>
            </w:pPr>
            <w:r>
              <w:rPr>
                <w:rFonts w:ascii="Arial" w:hAnsi="Arial"/>
                <w:sz w:val="17"/>
              </w:rPr>
              <w:t>Ngũ Hành Sơn</w:t>
            </w:r>
          </w:p>
        </w:tc>
        <w:tc>
          <w:tcPr>
            <w:tcW w:type="dxa" w:w="1440"/>
            <w:vAlign w:val="center"/>
          </w:tcPr>
          <w:p>
            <w:pPr>
              <w:spacing w:after="0"/>
            </w:pPr>
            <w:r>
              <w:rPr>
                <w:rFonts w:ascii="Arial" w:hAnsi="Arial"/>
                <w:sz w:val="17"/>
              </w:rPr>
              <w:t>6.853 billion VND</w:t>
            </w:r>
          </w:p>
        </w:tc>
      </w:tr>
    </w:tbl>
    <w:p>
      <w:pPr>
        <w:spacing w:after="80" w:line="259" w:lineRule="auto"/>
      </w:pPr>
      <w:r>
        <w:t>These predictions are read directly from results/demo_predictions.csv, which is produced after loading the saved model in the notebook.</w:t>
      </w:r>
    </w:p>
    <w:p>
      <w:pPr>
        <w:pStyle w:val="Heading1"/>
        <w:spacing w:after="80" w:line="259" w:lineRule="auto"/>
      </w:pPr>
      <w:r>
        <w:t>13. Intelligent Application and Mobile Deployment</w:t>
      </w:r>
    </w:p>
    <w:p>
      <w:pPr>
        <w:spacing w:after="80" w:line="259" w:lineRule="auto"/>
      </w:pPr>
      <w:r>
        <w:t>A trained model alone is not the complete intelligent system. The project therefore includes app.py, which loads house_price_model.pkl, accepts user input, creates the same feature representation, applies the saved preprocessing, calls model.predict(), and returns the predicted price.</w:t>
      </w:r>
    </w:p>
    <w:p>
      <w:pPr>
        <w:spacing w:after="80" w:line="259" w:lineRule="auto"/>
      </w:pPr>
      <w:r>
        <w:t>The simplest free mobile deployment is a responsive Flask web application. The laptop runs the Python server and the phone acts as the front-end client over the same Wi-Fi network. The user runs python app.py, checks the laptop IPv4 address using ipconfig, and opens http://&lt;laptop-ip&gt;:5000 on the phone. This follows the REST/client architecture described in Chapter 12 while avoiding paid cloud hosting or Android Studio.</w:t>
      </w:r>
    </w:p>
    <w:p>
      <w:pPr>
        <w:spacing w:after="80" w:line="259" w:lineRule="auto"/>
      </w:pPr>
      <w:r>
        <w:rPr>
          <w:b/>
        </w:rPr>
        <w:t xml:space="preserve">Complete application path: </w:t>
      </w:r>
      <w:r>
        <w:t>User / Environment -&gt; Input -&gt; Feature Representation -&gt; Preprocessing -&gt; Trained Random Forest -&gt; Predicted Price -&gt; Mobile/Web Output.</w:t>
      </w:r>
    </w:p>
    <w:p>
      <w:pPr>
        <w:pStyle w:val="Heading1"/>
        <w:spacing w:after="80" w:line="259" w:lineRule="auto"/>
      </w:pPr>
      <w:r>
        <w:t>14. Reflection</w:t>
      </w:r>
    </w:p>
    <w:p>
      <w:pPr>
        <w:spacing w:after="80" w:line="259" w:lineRule="auto"/>
      </w:pPr>
      <w:r>
        <w:rPr>
          <w:b/>
        </w:rPr>
        <w:t xml:space="preserve">What information does the system receive? </w:t>
      </w:r>
      <w:r>
        <w:t>Physical house attributes, direction/status categories, and location derived from Address.</w:t>
      </w:r>
    </w:p>
    <w:p>
      <w:pPr>
        <w:spacing w:after="80" w:line="259" w:lineRule="auto"/>
      </w:pPr>
      <w:r>
        <w:rPr>
          <w:b/>
        </w:rPr>
        <w:t xml:space="preserve">What is the internal representation? </w:t>
      </w:r>
      <w:r>
        <w:t>Standardized numerical values and ordinal-encoded categorical values after missing-value imputation.</w:t>
      </w:r>
    </w:p>
    <w:p>
      <w:pPr>
        <w:spacing w:after="80" w:line="259" w:lineRule="auto"/>
      </w:pPr>
      <w:r>
        <w:rPr>
          <w:b/>
        </w:rPr>
        <w:t xml:space="preserve">What does the model learn? </w:t>
      </w:r>
      <w:r>
        <w:t>Statistical relationships between the feature vector and observed house prices.</w:t>
      </w:r>
    </w:p>
    <w:p>
      <w:pPr>
        <w:spacing w:after="80" w:line="259" w:lineRule="auto"/>
      </w:pPr>
      <w:r>
        <w:rPr>
          <w:b/>
        </w:rPr>
        <w:t xml:space="preserve">What prediction does it make? </w:t>
      </w:r>
      <w:r>
        <w:t>A numerical price estimate in billion VND.</w:t>
      </w:r>
    </w:p>
    <w:p>
      <w:pPr>
        <w:spacing w:after="80" w:line="259" w:lineRule="auto"/>
      </w:pPr>
      <w:r>
        <w:rPr>
          <w:b/>
        </w:rPr>
        <w:t xml:space="preserve">Why can it handle unseen input? </w:t>
      </w:r>
      <w:r>
        <w:t>The same fitted preprocessing is applied to new inputs and the trained model generalizes from observed examples.</w:t>
      </w:r>
    </w:p>
    <w:p>
      <w:pPr>
        <w:spacing w:after="80" w:line="259" w:lineRule="auto"/>
      </w:pPr>
      <w:r>
        <w:rPr>
          <w:b/>
        </w:rPr>
        <w:t xml:space="preserve">What can reasonably be called intelligent? </w:t>
      </w:r>
      <w:r>
        <w:t>The system learns a predictive mapping from examples instead of using manually written price rules.</w:t>
      </w:r>
    </w:p>
    <w:p>
      <w:pPr>
        <w:spacing w:after="80" w:line="259" w:lineRule="auto"/>
      </w:pPr>
      <w:r>
        <w:rPr>
          <w:b/>
        </w:rPr>
        <w:t xml:space="preserve">What prevents it from being more capable? </w:t>
      </w:r>
      <w:r>
        <w:t>No exact coordinates, limited temporal/market information, simplified address parsing, missing attributes, and noisy listing prices.</w:t>
      </w:r>
    </w:p>
    <w:p>
      <w:pPr>
        <w:pStyle w:val="Heading2"/>
        <w:spacing w:after="80" w:line="259" w:lineRule="auto"/>
      </w:pPr>
      <w:r>
        <w:t>14.1 Reflection on representation</w:t>
      </w:r>
    </w:p>
    <w:p>
      <w:pPr>
        <w:spacing w:after="80" w:line="259" w:lineRule="auto"/>
      </w:pPr>
      <w:r>
        <w:t>The current feature vector preserves important structural and coarse location information but loses fine-grained spatial relationships. The same problem could be represented by exact geospatial coordinates, neighborhood graphs, text sequences/embeddings from full addresses and descriptions, or images. A different representation would make different learning methods possible and could improve generalization.</w:t>
      </w:r>
    </w:p>
    <w:p>
      <w:pPr>
        <w:pStyle w:val="Heading1"/>
        <w:spacing w:after="80" w:line="259" w:lineRule="auto"/>
      </w:pPr>
      <w:r>
        <w:t>15. Limitations</w:t>
      </w:r>
    </w:p>
    <w:p>
      <w:pPr>
        <w:pStyle w:val="ListBullet"/>
        <w:spacing w:after="80" w:line="259" w:lineRule="auto"/>
      </w:pPr>
      <w:r>
        <w:t>Listing price is not necessarily final transaction price.</w:t>
      </w:r>
    </w:p>
    <w:p>
      <w:pPr>
        <w:pStyle w:val="ListBullet"/>
        <w:spacing w:after="80" w:line="259" w:lineRule="auto"/>
      </w:pPr>
      <w:r>
        <w:t>Province/District extraction is a simple rule and does not fully model geography.</w:t>
      </w:r>
    </w:p>
    <w:p>
      <w:pPr>
        <w:pStyle w:val="ListBullet"/>
        <w:spacing w:after="80" w:line="259" w:lineRule="auto"/>
      </w:pPr>
      <w:r>
        <w:t>Ordinal category codes are compact and easy to deploy, but arbitrary numeric codes are not ideal for linear models.</w:t>
      </w:r>
    </w:p>
    <w:p>
      <w:pPr>
        <w:pStyle w:val="ListBullet"/>
        <w:spacing w:after="80" w:line="259" w:lineRule="auto"/>
      </w:pPr>
      <w:r>
        <w:t>Important variables such as exact coordinates, property age, nearby amenities, time of listing, and market conditions are absent.</w:t>
      </w:r>
    </w:p>
    <w:p>
      <w:pPr>
        <w:pStyle w:val="ListBullet"/>
        <w:spacing w:after="80" w:line="259" w:lineRule="auto"/>
      </w:pPr>
      <w:r>
        <w:t>The model should not be treated as a professional valuation service.</w:t>
      </w:r>
    </w:p>
    <w:p>
      <w:pPr>
        <w:pStyle w:val="Heading1"/>
        <w:spacing w:after="80" w:line="259" w:lineRule="auto"/>
      </w:pPr>
      <w:r>
        <w:t>16. Conclusion</w:t>
      </w:r>
    </w:p>
    <w:p>
      <w:pPr>
        <w:spacing w:after="80" w:line="259" w:lineRule="auto"/>
      </w:pPr>
      <w:r>
        <w:t>The project satisfies Assignment 01 as a small intelligent system rather than a collection of unrelated Scikit-learn examples. It defines the problem, represents raw information as features, generates three distribution charts, creates a baseline, trains five traditional machine-learning models using explicit fit() calls, evaluates them using five regression metrics, performs three controlled experiments, selects and evaluates a final model on unseen data, saves/loads the trained system, demonstrates three inputs, and deploys the prediction pipeline through a mobile-friendly Flask application.</w:t>
      </w:r>
    </w:p>
    <w:p>
      <w:pPr>
        <w:pStyle w:val="Heading1"/>
        <w:spacing w:after="80" w:line="259" w:lineRule="auto"/>
      </w:pPr>
      <w:r>
        <w:t>References</w:t>
      </w:r>
    </w:p>
    <w:p>
      <w:pPr>
        <w:pStyle w:val="ListNumber"/>
        <w:spacing w:after="80" w:line="259" w:lineRule="auto"/>
      </w:pPr>
      <w:r>
        <w:t>Dinh Que Tran. Intelligent System Development - Assignment 01: From Data Representation to a First Intelligent System.</w:t>
      </w:r>
    </w:p>
    <w:p>
      <w:pPr>
        <w:pStyle w:val="ListNumber"/>
        <w:spacing w:after="80" w:line="259" w:lineRule="auto"/>
      </w:pPr>
      <w:r>
        <w:t>Dinh Que Tran. Intelligent System Development - Lecture 01: From Intelligence to Intelligent Systems.</w:t>
      </w:r>
    </w:p>
    <w:p>
      <w:pPr>
        <w:pStyle w:val="ListNumber"/>
        <w:spacing w:after="80" w:line="259" w:lineRule="auto"/>
      </w:pPr>
      <w:r>
        <w:t>Wei-Meng Lee. Python Machine Learning. Wiley, 2019. Chapter 12: Deploying Machine Learning Models.</w:t>
      </w:r>
    </w:p>
    <w:p>
      <w:pPr>
        <w:pStyle w:val="ListNumber"/>
        <w:spacing w:after="80" w:line="259" w:lineRule="auto"/>
      </w:pPr>
      <w:r>
        <w:t>Nguyen Tien Nhan. House Price Prediction Dataset Vietnam - 2024, Kaggle.</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Intelligent System Development - Assignment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