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284C7"/>
          <w:sz w:val="22"/>
        </w:rPr>
        <w:t>BÁO CÁO NGHIÊN CỨU LÝ THUYẾT &amp; TÀI LIỆU KỸ THUẬT CHUYÊN SÂU</w:t>
        <w:br/>
      </w:r>
    </w:p>
    <w:p>
      <w:pPr>
        <w:spacing w:after="160"/>
        <w:jc w:val="center"/>
      </w:pPr>
      <w:r>
        <w:rPr>
          <w:rFonts w:ascii="Calibri" w:hAnsi="Calibri"/>
          <w:b/>
          <w:color w:val="1B365D"/>
          <w:sz w:val="34"/>
        </w:rPr>
        <w:t>THIẾT LẬP VÀ ỨNG DỤNG MA TRẬN ĐỘNG HỌC DENAVIT-HARTENBERG (DH)</w:t>
        <w:br/>
        <w:t>TRONG CÁNH TAY ROBOT CÔNG NGHIỆP DENSO VS-6556</w:t>
      </w:r>
    </w:p>
    <w:p>
      <w:pPr>
        <w:spacing w:after="320"/>
        <w:jc w:val="center"/>
      </w:pPr>
      <w:r>
        <w:rPr>
          <w:rFonts w:ascii="Calibri" w:hAnsi="Calibri"/>
          <w:i/>
          <w:color w:val="475569"/>
          <w:sz w:val="21"/>
        </w:rPr>
        <w:t>Cơ sở lý thuyết chuẩn hóa, khai triển giải tích Forward/Inverse Kinematics,</w:t>
        <w:br/>
        <w:t>Phân tích kỳ dị và tích hợp trong hệ điều hành Robot ROS 2 / MoveIt</w:t>
        <w:br/>
        <w:t>(Khảo cứu từ các công trình học thuật kinh điển của Denavit-Hartenberg, Craig, Siciliano &amp; Spong)</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0F172A"/>
                <w:sz w:val="19"/>
              </w:rPr>
              <w:t>Đối tượng nghiên cứu:</w:t>
            </w:r>
          </w:p>
        </w:tc>
        <w:tc>
          <w:tcPr>
            <w:tcW w:type="dxa" w:w="6192"/>
            <w:shd w:fill="F8FAFC"/>
            <w:tcMar>
              <w:top w:w="60" w:type="dxa"/>
              <w:bottom w:w="60" w:type="dxa"/>
              <w:left w:w="100" w:type="dxa"/>
              <w:right w:w="100" w:type="dxa"/>
            </w:tcMar>
          </w:tcPr>
          <w:p>
            <w:r>
              <w:rPr>
                <w:color w:val="334155"/>
                <w:sz w:val="19"/>
              </w:rPr>
              <w:t>Robot công nghiệp 6-DOF/5-DOF DENSO VS-6556 (VS-Series)</w:t>
            </w:r>
          </w:p>
        </w:tc>
      </w:tr>
      <w:tr>
        <w:tc>
          <w:tcPr>
            <w:tcW w:type="dxa" w:w="3168"/>
            <w:shd w:fill="F1F5F9"/>
            <w:tcMar>
              <w:top w:w="60" w:type="dxa"/>
              <w:bottom w:w="60" w:type="dxa"/>
              <w:left w:w="100" w:type="dxa"/>
              <w:right w:w="100" w:type="dxa"/>
            </w:tcMar>
          </w:tcPr>
          <w:p>
            <w:r>
              <w:rPr>
                <w:b/>
                <w:color w:val="0F172A"/>
                <w:sz w:val="19"/>
              </w:rPr>
              <w:t>Môi trường tích hợp:</w:t>
            </w:r>
          </w:p>
        </w:tc>
        <w:tc>
          <w:tcPr>
            <w:tcW w:type="dxa" w:w="6192"/>
            <w:shd w:fill="F8FAFC"/>
            <w:tcMar>
              <w:top w:w="60" w:type="dxa"/>
              <w:bottom w:w="60" w:type="dxa"/>
              <w:left w:w="100" w:type="dxa"/>
              <w:right w:w="100" w:type="dxa"/>
            </w:tcMar>
          </w:tcPr>
          <w:p>
            <w:r>
              <w:rPr>
                <w:color w:val="334155"/>
                <w:sz w:val="19"/>
              </w:rPr>
              <w:t>ROS 2 Jazzy, MoveIt 2, Orocos KDL, Python Dynamics Engine</w:t>
            </w:r>
          </w:p>
        </w:tc>
      </w:tr>
      <w:tr>
        <w:tc>
          <w:tcPr>
            <w:tcW w:type="dxa" w:w="3168"/>
            <w:shd w:fill="F1F5F9"/>
            <w:tcMar>
              <w:top w:w="60" w:type="dxa"/>
              <w:bottom w:w="60" w:type="dxa"/>
              <w:left w:w="100" w:type="dxa"/>
              <w:right w:w="100" w:type="dxa"/>
            </w:tcMar>
          </w:tcPr>
          <w:p>
            <w:r>
              <w:rPr>
                <w:b/>
                <w:color w:val="0F172A"/>
                <w:sz w:val="19"/>
              </w:rPr>
              <w:t>Quy ước động học:</w:t>
            </w:r>
          </w:p>
        </w:tc>
        <w:tc>
          <w:tcPr>
            <w:tcW w:type="dxa" w:w="6192"/>
            <w:shd w:fill="F8FAFC"/>
            <w:tcMar>
              <w:top w:w="60" w:type="dxa"/>
              <w:bottom w:w="60" w:type="dxa"/>
              <w:left w:w="100" w:type="dxa"/>
              <w:right w:w="100" w:type="dxa"/>
            </w:tcMar>
          </w:tcPr>
          <w:p>
            <w:r>
              <w:rPr>
                <w:color w:val="334155"/>
                <w:sz w:val="19"/>
              </w:rPr>
              <w:t>Standard Denavit-Hartenberg (SDH) &amp; Modified DH (Craig)</w:t>
            </w:r>
          </w:p>
        </w:tc>
      </w:tr>
      <w:tr>
        <w:tc>
          <w:tcPr>
            <w:tcW w:type="dxa" w:w="3168"/>
            <w:shd w:fill="F1F5F9"/>
            <w:tcMar>
              <w:top w:w="60" w:type="dxa"/>
              <w:bottom w:w="60" w:type="dxa"/>
              <w:left w:w="100" w:type="dxa"/>
              <w:right w:w="100" w:type="dxa"/>
            </w:tcMar>
          </w:tcPr>
          <w:p>
            <w:r>
              <w:rPr>
                <w:b/>
                <w:color w:val="0F172A"/>
                <w:sz w:val="19"/>
              </w:rPr>
              <w:t>Mục đích tài liệu:</w:t>
            </w:r>
          </w:p>
        </w:tc>
        <w:tc>
          <w:tcPr>
            <w:tcW w:type="dxa" w:w="6192"/>
            <w:shd w:fill="F8FAFC"/>
            <w:tcMar>
              <w:top w:w="60" w:type="dxa"/>
              <w:bottom w:w="60" w:type="dxa"/>
              <w:left w:w="100" w:type="dxa"/>
              <w:right w:w="100" w:type="dxa"/>
            </w:tcMar>
          </w:tcPr>
          <w:p>
            <w:r>
              <w:rPr>
                <w:color w:val="334155"/>
                <w:sz w:val="19"/>
              </w:rPr>
              <w:t>Cung cấp nền tảng toán học chính thống phục vụ mô phỏng, điều khiển chuyển động và bù sai số hình học.</w:t>
            </w:r>
          </w:p>
        </w:tc>
      </w:tr>
    </w:tbl>
    <w:p>
      <w:pPr>
        <w:spacing w:after="240"/>
      </w:pPr>
    </w:p>
    <w:p>
      <w:pPr>
        <w:keepNext/>
        <w:spacing w:before="400" w:after="160"/>
        <w:pBdr>
          <w:bottom w:val="single" w:sz="18" w:space="4" w:color="0284C7"/>
        </w:pBdr>
      </w:pPr>
      <w:r>
        <w:rPr>
          <w:rFonts w:ascii="Calibri" w:hAnsi="Calibri"/>
          <w:b/>
          <w:color w:val="1B365D"/>
          <w:sz w:val="30"/>
        </w:rPr>
        <w:t>CHƯƠNG 1: TỔNG QUAN HỆ THỐNG VÀ ĐẶT BÀI TOÁN ĐỘNG HỌC</w:t>
      </w:r>
    </w:p>
    <w:p>
      <w:pPr>
        <w:spacing w:before="0" w:after="100" w:line="276" w:lineRule="auto"/>
        <w:jc w:val="both"/>
      </w:pPr>
      <w:r>
        <w:rPr>
          <w:rFonts w:ascii="Calibri" w:hAnsi="Calibri"/>
          <w:b/>
          <w:color w:val="0F172A"/>
          <w:sz w:val="22"/>
        </w:rPr>
        <w:t xml:space="preserve">1.1. Giới thiệu dòng robot công nghiệp DENSO VS-6556: </w:t>
      </w:r>
      <w:r>
        <w:rPr>
          <w:rFonts w:ascii="Calibri" w:hAnsi="Calibri"/>
          <w:i w:val="0"/>
          <w:color w:val="1E293B"/>
          <w:sz w:val="22"/>
        </w:rPr>
        <w:t>Trong các dây chuyền lắp ráp tự động hóa chính xác cao, robot công nghiệp dòng DENSO VS-Series (tiêu biểu là dòng DENSO VS-6556 và VS-068) được sử dụng rộng rãi nhờ độ cứng vững cơ học vượt trội, tốc độ di chuyển chu kỳ cực ngắn và độ lặp lại vị trí đạt mức ±0.02 mm. Robot có tầm với danh định 653 mm, tải trọng nâng cho phép từ 6.0 kg đến 7.0 kg, cấu trúc dạng chuỗi động học hở gồm các khớp quay (Revolute joints) nối tiếp nhau tạo nên không gian làm việc hình bán cầu linh hoạt.</w:t>
      </w:r>
    </w:p>
    <w:p>
      <w:pPr>
        <w:spacing w:before="0" w:after="100" w:line="276" w:lineRule="auto"/>
        <w:jc w:val="both"/>
      </w:pPr>
      <w:r>
        <w:rPr>
          <w:rFonts w:ascii="Calibri" w:hAnsi="Calibri"/>
          <w:b/>
          <w:color w:val="0F172A"/>
          <w:sz w:val="22"/>
        </w:rPr>
        <w:t xml:space="preserve">1.2. Bản chất bài toán động học trong điều khiển tay máy: </w:t>
      </w:r>
      <w:r>
        <w:rPr>
          <w:rFonts w:ascii="Calibri" w:hAnsi="Calibri"/>
          <w:i w:val="0"/>
          <w:color w:val="1E293B"/>
          <w:sz w:val="22"/>
        </w:rPr>
        <w:t>Động học tay máy (Robot Kinematics) là ngành khoa học nghiên cứu chuyển động hình học thuần túy của các khâu và khâu công tác cuối (End-Effector / Tool Center Point - TCP) mà không xét đến lực hay mô-men gây ra chuyển động. Hai bài toán động học cốt lõi bao gồm:</w:t>
      </w:r>
    </w:p>
    <w:p>
      <w:pPr>
        <w:pStyle w:val="ListBullet"/>
        <w:spacing w:before="20" w:after="60" w:line="276" w:lineRule="auto"/>
        <w:jc w:val="both"/>
      </w:pPr>
      <w:r>
        <w:rPr>
          <w:rFonts w:ascii="Calibri" w:hAnsi="Calibri"/>
          <w:b/>
          <w:color w:val="0F172A"/>
          <w:sz w:val="21"/>
        </w:rPr>
        <w:t xml:space="preserve">Bài toán Động học thuận (Forward Kinematics - FK): </w:t>
      </w:r>
      <w:r>
        <w:rPr>
          <w:rFonts w:ascii="Calibri" w:hAnsi="Calibri"/>
          <w:color w:val="334155"/>
          <w:sz w:val="21"/>
        </w:rPr>
        <w:t>Xác định vị trí (Position) và hướng (Orientation) của khâu công tác cuối trong hệ tọa độ gốc cố định {Base Frame} khi biết trước giá trị các biến khớp q = [θ1, θ2, ..., θn]^T.</w:t>
      </w:r>
    </w:p>
    <w:p>
      <w:pPr>
        <w:pStyle w:val="ListBullet"/>
        <w:spacing w:before="20" w:after="60" w:line="276" w:lineRule="auto"/>
        <w:jc w:val="both"/>
      </w:pPr>
      <w:r>
        <w:rPr>
          <w:rFonts w:ascii="Calibri" w:hAnsi="Calibri"/>
          <w:b/>
          <w:color w:val="0F172A"/>
          <w:sz w:val="21"/>
        </w:rPr>
        <w:t xml:space="preserve">Bài toán Động học nghịch (Inverse Kinematics - IK): </w:t>
      </w:r>
      <w:r>
        <w:rPr>
          <w:rFonts w:ascii="Calibri" w:hAnsi="Calibri"/>
          <w:color w:val="334155"/>
          <w:sz w:val="21"/>
        </w:rPr>
        <w:t>Xác định tất cả các bộ giá trị góc khớp q cần thiết để đưa mút công tác đến một vị trí và hướng mục tiêu Cartesian mong muốn. Đây là bài toán then chốt trong điều khiển bám quỹ đạo (Trajectory Tracking) và nội suy chuyển động đường thẳng/cong (Linear/Circular Interpolation).</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36" w:space="0" w:color="0284C7"/>
              <w:bottom w:val="none"/>
              <w:right w:val="none"/>
            </w:tcBorders>
          </w:tcPr>
          <w:p>
            <w:pPr>
              <w:spacing w:before="40" w:after="60"/>
            </w:pPr>
            <w:r>
              <w:rPr>
                <w:rFonts w:ascii="Calibri" w:hAnsi="Calibri"/>
                <w:b/>
                <w:color w:val="0284C7"/>
                <w:sz w:val="21"/>
              </w:rPr>
              <w:t>📌 TẦM QUAN TRỌNG CỦA MÔ HÌNH HÓA ĐỘNG HỌC</w:t>
              <w:br/>
            </w:r>
            <w:r>
              <w:rPr>
                <w:rFonts w:ascii="Calibri" w:hAnsi="Calibri"/>
                <w:color w:val="1E293B"/>
                <w:sz w:val="20"/>
              </w:rPr>
              <w:t>Mô hình hóa động học chính xác là điều kiện tiên quyết bắt buộc trước khi tính toán Động lực học (Dynamics), lập kế hoạch quỹ đạo không va chạm (Motion Planning với MoveIt 2) và xây dựng bộ điều khiển phản hồi vị trí/mô-men xoắn.</w:t>
            </w:r>
          </w:p>
        </w:tc>
      </w:tr>
    </w:tbl>
    <w:p>
      <w:pPr>
        <w:spacing w:after="80"/>
      </w:pPr>
    </w:p>
    <w:p>
      <w:pPr>
        <w:keepNext/>
        <w:spacing w:before="400" w:after="160"/>
        <w:pBdr>
          <w:bottom w:val="single" w:sz="18" w:space="4" w:color="0284C7"/>
        </w:pBdr>
      </w:pPr>
      <w:r>
        <w:rPr>
          <w:rFonts w:ascii="Calibri" w:hAnsi="Calibri"/>
          <w:b/>
          <w:color w:val="1B365D"/>
          <w:sz w:val="30"/>
        </w:rPr>
        <w:t>CHƯƠNG 2: CƠ SỞ LÝ THUYẾT QUY ƯỚC DENAVIT-HARTENBERG (DH)</w:t>
      </w:r>
    </w:p>
    <w:p>
      <w:pPr>
        <w:spacing w:before="0" w:after="100" w:line="276" w:lineRule="auto"/>
        <w:jc w:val="both"/>
      </w:pPr>
      <w:r>
        <w:rPr>
          <w:rFonts w:ascii="Calibri" w:hAnsi="Calibri"/>
          <w:b/>
          <w:color w:val="0F172A"/>
          <w:sz w:val="22"/>
        </w:rPr>
        <w:t xml:space="preserve">2.1. Nguồn gốc học thuật và ý nghĩa lịch sử: </w:t>
      </w:r>
      <w:r>
        <w:rPr>
          <w:rFonts w:ascii="Calibri" w:hAnsi="Calibri"/>
          <w:i w:val="0"/>
          <w:color w:val="1E293B"/>
          <w:sz w:val="22"/>
        </w:rPr>
        <w:t>Năm 1955, hai nhà khoa học Jacques Denavit và Richard S. Hartenberg đã công bố bài báo khoa học mang tính lịch sử "A kinematic notation for lower-pair mechanisms based on matrices" trên tạp chí ASME Journal of Applied Mechanics [1]. Công trình này đề xuất một phương pháp chuẩn hóa mang tính cách mạng: sử dụng duy nhất 4 tham số hình học để biểu diễn hoàn toàn mối quan hệ không gian giữa hai khâu liên tiếp nhau trong không gian 3 chiều, thay vì cần đến 6 tham số tự do (3 tịnh tiến, 3 quay) như hình học giải tích thông thường.</w:t>
      </w:r>
    </w:p>
    <w:p>
      <w:pPr>
        <w:spacing w:before="0" w:after="100" w:line="276" w:lineRule="auto"/>
        <w:jc w:val="both"/>
      </w:pPr>
      <w:r>
        <w:rPr>
          <w:rFonts w:ascii="Calibri" w:hAnsi="Calibri"/>
          <w:b/>
          <w:color w:val="0F172A"/>
          <w:sz w:val="22"/>
        </w:rPr>
        <w:t xml:space="preserve">2.2. Hai điều kiện hình học nền tảng: </w:t>
      </w:r>
      <w:r>
        <w:rPr>
          <w:rFonts w:ascii="Calibri" w:hAnsi="Calibri"/>
          <w:i w:val="0"/>
          <w:color w:val="1E293B"/>
          <w:sz w:val="22"/>
        </w:rPr>
        <w:t>Để thiết lập hệ trục tọa độ tại mỗi khâu theo quy ước DH chuẩn (Standard DH), các nhà nghiên cứu tuân theo hai điều kiện hình học bắt buộc:</w:t>
      </w:r>
    </w:p>
    <w:p>
      <w:pPr>
        <w:pStyle w:val="ListBullet"/>
        <w:spacing w:before="20" w:after="60" w:line="276" w:lineRule="auto"/>
        <w:jc w:val="both"/>
      </w:pPr>
      <w:r>
        <w:rPr>
          <w:rFonts w:ascii="Calibri" w:hAnsi="Calibri"/>
          <w:b/>
          <w:color w:val="0F172A"/>
          <w:sz w:val="21"/>
        </w:rPr>
        <w:t xml:space="preserve">Điều kiện trực giao (Perpendicularity): </w:t>
      </w:r>
      <w:r>
        <w:rPr>
          <w:rFonts w:ascii="Calibri" w:hAnsi="Calibri"/>
          <w:color w:val="334155"/>
          <w:sz w:val="21"/>
        </w:rPr>
        <w:t>Trục Xi phải vuông góc với trục Zi-1 (Xi ⊥ Zi-1).</w:t>
      </w:r>
    </w:p>
    <w:p>
      <w:pPr>
        <w:pStyle w:val="ListBullet"/>
        <w:spacing w:before="20" w:after="60" w:line="276" w:lineRule="auto"/>
        <w:jc w:val="both"/>
      </w:pPr>
      <w:r>
        <w:rPr>
          <w:rFonts w:ascii="Calibri" w:hAnsi="Calibri"/>
          <w:b/>
          <w:color w:val="0F172A"/>
          <w:sz w:val="21"/>
        </w:rPr>
        <w:t xml:space="preserve">Điều kiện cắt nhau (Intersection): </w:t>
      </w:r>
      <w:r>
        <w:rPr>
          <w:rFonts w:ascii="Calibri" w:hAnsi="Calibri"/>
          <w:color w:val="334155"/>
          <w:sz w:val="21"/>
        </w:rPr>
        <w:t>Trục Xi phải cắt trục Zi-1.</w:t>
      </w:r>
    </w:p>
    <w:p>
      <w:pPr>
        <w:spacing w:before="0" w:after="100" w:line="276" w:lineRule="auto"/>
        <w:jc w:val="both"/>
      </w:pPr>
      <w:r>
        <w:rPr>
          <w:rFonts w:ascii="Calibri" w:hAnsi="Calibri"/>
          <w:b/>
          <w:color w:val="0F172A"/>
          <w:sz w:val="22"/>
        </w:rPr>
        <w:t xml:space="preserve">2.3. Định nghĩa 4 tham số hình học DH (ai, αi, di, θi): </w:t>
      </w:r>
      <w:r>
        <w:rPr>
          <w:rFonts w:ascii="Calibri" w:hAnsi="Calibri"/>
          <w:i w:val="0"/>
          <w:color w:val="1E293B"/>
          <w:sz w:val="22"/>
        </w:rPr>
        <w:t>Bốn tham số Denavit-Hartenberg được định nghĩa chặt chẽ như sau:</w:t>
      </w:r>
    </w:p>
    <w:p>
      <w:pPr>
        <w:pStyle w:val="ListBullet"/>
        <w:spacing w:before="20" w:after="60" w:line="276" w:lineRule="auto"/>
        <w:jc w:val="both"/>
      </w:pPr>
      <w:r>
        <w:rPr>
          <w:rFonts w:ascii="Calibri" w:hAnsi="Calibri"/>
          <w:b/>
          <w:color w:val="0F172A"/>
          <w:sz w:val="21"/>
        </w:rPr>
        <w:t xml:space="preserve">Chiều dài khâu ai (Link length): </w:t>
      </w:r>
      <w:r>
        <w:rPr>
          <w:rFonts w:ascii="Calibri" w:hAnsi="Calibri"/>
          <w:color w:val="334155"/>
          <w:sz w:val="21"/>
        </w:rPr>
        <w:t>Khoảng cách đo dọc theo trục Xi từ giao điểm của Xi với Zi-1 đến gốc tọa độ Oi (tương đương độ dài đường vuông góc chung giữa trục Zi-1 và Zi).</w:t>
      </w:r>
    </w:p>
    <w:p>
      <w:pPr>
        <w:pStyle w:val="ListBullet"/>
        <w:spacing w:before="20" w:after="60" w:line="276" w:lineRule="auto"/>
        <w:jc w:val="both"/>
      </w:pPr>
      <w:r>
        <w:rPr>
          <w:rFonts w:ascii="Calibri" w:hAnsi="Calibri"/>
          <w:b/>
          <w:color w:val="0F172A"/>
          <w:sz w:val="21"/>
        </w:rPr>
        <w:t xml:space="preserve">Góc xoắn khâu αi (Link twist): </w:t>
      </w:r>
      <w:r>
        <w:rPr>
          <w:rFonts w:ascii="Calibri" w:hAnsi="Calibri"/>
          <w:color w:val="334155"/>
          <w:sz w:val="21"/>
        </w:rPr>
        <w:t>Góc quay quanh trục Xi cần thiết để xoay trục Zi-1 trùng hướng với trục Zi theo quy tắc bàn tay phải.</w:t>
      </w:r>
    </w:p>
    <w:p>
      <w:pPr>
        <w:pStyle w:val="ListBullet"/>
        <w:spacing w:before="20" w:after="60" w:line="276" w:lineRule="auto"/>
        <w:jc w:val="both"/>
      </w:pPr>
      <w:r>
        <w:rPr>
          <w:rFonts w:ascii="Calibri" w:hAnsi="Calibri"/>
          <w:b/>
          <w:color w:val="0F172A"/>
          <w:sz w:val="21"/>
        </w:rPr>
        <w:t xml:space="preserve">Độ dịch khâu di (Link offset): </w:t>
      </w:r>
      <w:r>
        <w:rPr>
          <w:rFonts w:ascii="Calibri" w:hAnsi="Calibri"/>
          <w:color w:val="334155"/>
          <w:sz w:val="21"/>
        </w:rPr>
        <w:t>Khoảng cách đo dọc theo trục Zi-1 từ gốc tọa độ Oi-1 đến giao điểm của Xi với Zi-1. Đối với khớp quay, di là một hằng số hình học cố định.</w:t>
      </w:r>
    </w:p>
    <w:p>
      <w:pPr>
        <w:pStyle w:val="ListBullet"/>
        <w:spacing w:before="20" w:after="60" w:line="276" w:lineRule="auto"/>
        <w:jc w:val="both"/>
      </w:pPr>
      <w:r>
        <w:rPr>
          <w:rFonts w:ascii="Calibri" w:hAnsi="Calibri"/>
          <w:b/>
          <w:color w:val="0F172A"/>
          <w:sz w:val="21"/>
        </w:rPr>
        <w:t xml:space="preserve">Góc khớp θi (Joint angle): </w:t>
      </w:r>
      <w:r>
        <w:rPr>
          <w:rFonts w:ascii="Calibri" w:hAnsi="Calibri"/>
          <w:color w:val="334155"/>
          <w:sz w:val="21"/>
        </w:rPr>
        <w:t>Góc quay quanh trục Zi-1 cần thiết để xoay trục Xi-1 trùng hướng với trục Xi theo quy tắc bàn tay phải. Đối với khớp quay, θi là biến số động (Joint Variable).</w:t>
      </w:r>
    </w:p>
    <w:p>
      <w:pPr>
        <w:keepNext/>
        <w:spacing w:before="280" w:after="100"/>
      </w:pPr>
      <w:r>
        <w:rPr>
          <w:rFonts w:ascii="Calibri" w:hAnsi="Calibri"/>
          <w:b/>
          <w:color w:val="0284C7"/>
          <w:sz w:val="25"/>
        </w:rPr>
        <w:t>2.4. So sánh hai trường phái: Standard DH vs. Modified DH (Craig)</w:t>
      </w:r>
    </w:p>
    <w:p>
      <w:pPr>
        <w:spacing w:before="0" w:after="100" w:line="276" w:lineRule="auto"/>
        <w:jc w:val="both"/>
      </w:pPr>
      <w:r>
        <w:rPr>
          <w:rFonts w:ascii="Calibri" w:hAnsi="Calibri"/>
          <w:i w:val="0"/>
          <w:color w:val="1E293B"/>
          <w:sz w:val="22"/>
        </w:rPr>
        <w:t>Trong y văn kỹ thuật robot tồn tại hai quy ước DH chính thống: (1) Standard DH do Denavit-Hartenberg đề xuất và được chuẩn hóa bởi Paul (1981), Siciliano (2010); (2) Modified DH (MDH) do John J. Craig đề xuất trong giáo trình nổi tiếng 'Introduction to Robotics' (1986, 2005) [2]. Sự khác biệt căn bản nằm ở vị trí gắn hệ tọa độ {i}: Standard DH gắn hệ trục {i} trên trục khớp thứ i+1, trong khi Modified DH gắn hệ trục {i} ngay tại trục khớp thứ i. Cả hai trường phái đều tương đương nhau về mặt toán học và dẫn đến cùng một vị trí thực tế của mút công tác cuối.</w:t>
      </w:r>
    </w:p>
    <w:p>
      <w:pPr>
        <w:keepNext/>
        <w:spacing w:before="400" w:after="160"/>
        <w:pBdr>
          <w:bottom w:val="single" w:sz="18" w:space="4" w:color="0284C7"/>
        </w:pBdr>
      </w:pPr>
      <w:r>
        <w:rPr>
          <w:rFonts w:ascii="Calibri" w:hAnsi="Calibri"/>
          <w:b/>
          <w:color w:val="1B365D"/>
          <w:sz w:val="30"/>
        </w:rPr>
        <w:t>CHƯƠNG 3: XÂY DỰNG MA TRẬN BIẾN ĐỔI THUẦN NHẤT CỤC BỘ Ai</w:t>
      </w:r>
    </w:p>
    <w:p>
      <w:pPr>
        <w:spacing w:before="0" w:after="100" w:line="276" w:lineRule="auto"/>
        <w:jc w:val="both"/>
      </w:pPr>
      <w:r>
        <w:rPr>
          <w:rFonts w:ascii="Calibri" w:hAnsi="Calibri"/>
          <w:b/>
          <w:color w:val="0F172A"/>
          <w:sz w:val="22"/>
        </w:rPr>
        <w:t xml:space="preserve">3.1. Chuỗi 4 phép biến đổi không gian cơ bản: </w:t>
      </w:r>
      <w:r>
        <w:rPr>
          <w:rFonts w:ascii="Calibri" w:hAnsi="Calibri"/>
          <w:i w:val="0"/>
          <w:color w:val="1E293B"/>
          <w:sz w:val="22"/>
        </w:rPr>
        <w:t>Theo phương pháp Denavit-Hartenberg tiêu chuẩn, phép biến đổi tọa độ thuần nhất từ hệ trục {i-1} sang hệ trục {i} được thực hiện thông qua tích của 4 phép biến đổi hình học cơ bản liên tiếp:</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A_i = Rot(Z_{i-1}, θ_i) · Trans(Z_{i-1}, d_i) · Trans(X_i, a_i) · Rot(X_i, α_i)</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(3.1)</w:t>
            </w:r>
          </w:p>
        </w:tc>
      </w:tr>
    </w:tbl>
    <w:p>
      <w:pPr>
        <w:spacing w:after="60"/>
      </w:pPr>
    </w:p>
    <w:p>
      <w:pPr>
        <w:spacing w:before="0" w:after="100" w:line="276" w:lineRule="auto"/>
        <w:jc w:val="both"/>
      </w:pPr>
      <w:r>
        <w:rPr>
          <w:rFonts w:ascii="Calibri" w:hAnsi="Calibri"/>
          <w:i w:val="0"/>
          <w:color w:val="1E293B"/>
          <w:sz w:val="22"/>
        </w:rPr>
        <w:t>Khai triển tường minh từng ma trận thành phần trong không gian tọa độ thuần nhất 4x4:</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Rot(Z, θ_i) = [[cos θ_i, -sin θ_i, 0, 0], [sin θ_i, cos θ_i, 0, 0], [0, 0, 1, 0], [0, 0, 0, 1]]</w:t>
              <w:br/>
              <w:t>Trans(Z, d_i) = [[1, 0, 0, 0], [0, 1, 0, 0], [0, 0, 1, d_i], [0, 0, 0, 1]]</w:t>
              <w:br/>
              <w:t>Trans(X, a_i) = [[1, 0, 0, a_i], [0, 1, 0, 0], [0, 0, 1, 0], [0, 0, 0, 1]]</w:t>
              <w:br/>
              <w:t>Rot(X, α_i) = [[1, 0, 0, 0], [0, cos α_i, -sin α_i, 0], [0, sin α_i, cos α_i, 0], [0, 0, 0, 1]]</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(3.2)</w:t>
            </w:r>
          </w:p>
        </w:tc>
      </w:tr>
    </w:tbl>
    <w:p>
      <w:pPr>
        <w:spacing w:after="60"/>
      </w:pPr>
    </w:p>
    <w:p>
      <w:pPr>
        <w:spacing w:before="0" w:after="100" w:line="276" w:lineRule="auto"/>
        <w:jc w:val="both"/>
      </w:pPr>
      <w:r>
        <w:rPr>
          <w:rFonts w:ascii="Calibri" w:hAnsi="Calibri"/>
          <w:i w:val="0"/>
          <w:color w:val="1E293B"/>
          <w:sz w:val="22"/>
        </w:rPr>
        <w:t>Thực hiện phép nhân ma trận liên tiếp, ta thu được Ma trận Biến đổi Thuần nhất Denavit-Hartenberg tổng quát cục bộ Ai:</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A_i^{i-1} = [</w:t>
              <w:br/>
              <w:t xml:space="preserve">  [ cos θ_i ,  -sin θ_i · cos α_i ,   sin θ_i · sin α_i ,  a_i · cos θ_i ],</w:t>
              <w:br/>
              <w:t xml:space="preserve">  [ sin θ_i ,   cos θ_i · cos α_i ,  -cos θ_i · sin α_i ,  a_i · sin θ_i ],</w:t>
              <w:br/>
              <w:t xml:space="preserve">  [    0    ,       sin α_i       ,       cos α_i       ,       d_i       ],</w:t>
              <w:br/>
              <w:t xml:space="preserve">  [    0    ,          0          ,          0          ,        1        ]</w:t>
              <w:br/>
              <w:t>]</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(3.3)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36" w:space="0" w:color="0284C7"/>
              <w:bottom w:val="none"/>
              <w:right w:val="none"/>
            </w:tcBorders>
          </w:tcPr>
          <w:p>
            <w:pPr>
              <w:spacing w:before="40" w:after="60"/>
            </w:pPr>
            <w:r>
              <w:rPr>
                <w:rFonts w:ascii="Calibri" w:hAnsi="Calibri"/>
                <w:b/>
                <w:color w:val="0284C7"/>
                <w:sz w:val="21"/>
              </w:rPr>
              <w:t>📌 ĐẶC TRƯNG HÌNH HỌC CỦA MA TRẬN A_i</w:t>
              <w:br/>
            </w:r>
            <w:r>
              <w:rPr>
                <w:rFonts w:ascii="Calibri" w:hAnsi="Calibri"/>
                <w:color w:val="1E293B"/>
                <w:sz w:val="20"/>
              </w:rPr>
              <w:t>Cấu trúc khối 4x4 của ma trận Ai gồm:</w:t>
              <w:br/>
              <w:t>• Khối 3x3 góc trên bên trái là Ma trận quay trực giao R_i^{i-1} ∈ SO(3), thỏa mãn R^T · R = I và det(R) = +1.</w:t>
              <w:br/>
              <w:t>• Cột 3x1 góc trên bên phải là Vector vị trí P_i^{i-1} = [a_i cos θ_i, a_i sin θ_i, d_i]^T biểu diễn gốc tọa độ Oi trong hệ {i-1}.</w:t>
              <w:br/>
              <w:t>• Hàng cuối cùng [0, 0, 0, 1] phục vụ tính toán tịnh tiến affine trên tọa độ thuần nhất.</w:t>
            </w:r>
          </w:p>
        </w:tc>
      </w:tr>
    </w:tbl>
    <w:p>
      <w:pPr>
        <w:spacing w:after="80"/>
      </w:pPr>
    </w:p>
    <w:p>
      <w:pPr>
        <w:keepNext/>
        <w:spacing w:before="400" w:after="160"/>
        <w:pBdr>
          <w:bottom w:val="single" w:sz="18" w:space="4" w:color="0284C7"/>
        </w:pBdr>
      </w:pPr>
      <w:r>
        <w:rPr>
          <w:rFonts w:ascii="Calibri" w:hAnsi="Calibri"/>
          <w:b/>
          <w:color w:val="1B365D"/>
          <w:sz w:val="30"/>
        </w:rPr>
        <w:t>CHƯƠNG 4: THIẾT LẬP THAM SỐ DH CHO CÁNH TAY ROBOT DENSO VS-6556</w:t>
      </w:r>
    </w:p>
    <w:p>
      <w:pPr>
        <w:spacing w:before="0" w:after="100" w:line="276" w:lineRule="auto"/>
        <w:jc w:val="both"/>
      </w:pPr>
      <w:r>
        <w:rPr>
          <w:rFonts w:ascii="Calibri" w:hAnsi="Calibri"/>
          <w:b/>
          <w:color w:val="0F172A"/>
          <w:sz w:val="22"/>
        </w:rPr>
        <w:t xml:space="preserve">4.1. Trích xuất thông số kích thước từ thiết kế kỹ thuật URDF/CAD: </w:t>
      </w:r>
      <w:r>
        <w:rPr>
          <w:rFonts w:ascii="Calibri" w:hAnsi="Calibri"/>
          <w:i w:val="0"/>
          <w:color w:val="1E293B"/>
          <w:sz w:val="22"/>
        </w:rPr>
        <w:t>Robot DENSO VS-6556 có cấu trúc chuỗi động học hở gồm 5/6 khớp quay liên tiếp (Revolute joints). Dựa trên tệp mô tả hình học chuẩn URDF (denso_vs6556.urdf), các thông số kích thước cơ cấu được xác định chính xác như sau:</w:t>
      </w:r>
    </w:p>
    <w:p>
      <w:pPr>
        <w:pStyle w:val="ListBullet"/>
        <w:spacing w:before="20" w:after="60" w:line="276" w:lineRule="auto"/>
        <w:jc w:val="both"/>
      </w:pPr>
      <w:r>
        <w:rPr>
          <w:rFonts w:ascii="Calibri" w:hAnsi="Calibri"/>
          <w:b/>
          <w:color w:val="0F172A"/>
          <w:sz w:val="21"/>
        </w:rPr>
        <w:t xml:space="preserve">Khâu đế (Base) đến Khớp 1 (Shoulder Yaw): </w:t>
      </w:r>
      <w:r>
        <w:rPr>
          <w:rFonts w:ascii="Calibri" w:hAnsi="Calibri"/>
          <w:color w:val="334155"/>
          <w:sz w:val="21"/>
        </w:rPr>
        <w:t>Khoảng cách theo phương thẳng đứng d1 = 185.0 mm (0.185 m). Trục quay Z0 hướng thẳng đứng lên trên.</w:t>
      </w:r>
    </w:p>
    <w:p>
      <w:pPr>
        <w:pStyle w:val="ListBullet"/>
        <w:spacing w:before="20" w:after="60" w:line="276" w:lineRule="auto"/>
        <w:jc w:val="both"/>
      </w:pPr>
      <w:r>
        <w:rPr>
          <w:rFonts w:ascii="Calibri" w:hAnsi="Calibri"/>
          <w:b/>
          <w:color w:val="0F172A"/>
          <w:sz w:val="21"/>
        </w:rPr>
        <w:t xml:space="preserve">Khâu 1 (Link 1) đến Khớp 2 (Shoulder Pitch): </w:t>
      </w:r>
      <w:r>
        <w:rPr>
          <w:rFonts w:ascii="Calibri" w:hAnsi="Calibri"/>
          <w:color w:val="334155"/>
          <w:sz w:val="21"/>
        </w:rPr>
        <w:t>Độ lệch tâm tay ngang d2 = -54.5 mm (-0.0545 m), độ dài khâu a1 = -75.0 mm (-0.075 m), trục Z1 nằm ngang vuông góc với Z0 (α1 = -90°).</w:t>
      </w:r>
    </w:p>
    <w:p>
      <w:pPr>
        <w:pStyle w:val="ListBullet"/>
        <w:spacing w:before="20" w:after="60" w:line="276" w:lineRule="auto"/>
        <w:jc w:val="both"/>
      </w:pPr>
      <w:r>
        <w:rPr>
          <w:rFonts w:ascii="Calibri" w:hAnsi="Calibri"/>
          <w:b/>
          <w:color w:val="0F172A"/>
          <w:sz w:val="21"/>
        </w:rPr>
        <w:t xml:space="preserve">Khâu 2 (Upper Arm - Link 2) đến Khớp 3 (Elbow Pitch): </w:t>
      </w:r>
      <w:r>
        <w:rPr>
          <w:rFonts w:ascii="Calibri" w:hAnsi="Calibri"/>
          <w:color w:val="334155"/>
          <w:sz w:val="21"/>
        </w:rPr>
        <w:t>Chiều dài xương cánh tay trên a2 = 270.0 mm (0.270 m). Trục Z2 song song với Z1 (α2 = 0°).</w:t>
      </w:r>
    </w:p>
    <w:p>
      <w:pPr>
        <w:pStyle w:val="ListBullet"/>
        <w:spacing w:before="20" w:after="60" w:line="276" w:lineRule="auto"/>
        <w:jc w:val="both"/>
      </w:pPr>
      <w:r>
        <w:rPr>
          <w:rFonts w:ascii="Calibri" w:hAnsi="Calibri"/>
          <w:b/>
          <w:color w:val="0F172A"/>
          <w:sz w:val="21"/>
        </w:rPr>
        <w:t xml:space="preserve">Khâu 3 (Forearm - Link 3) đến Khớp 4 (Forearm Roll): </w:t>
      </w:r>
      <w:r>
        <w:rPr>
          <w:rFonts w:ascii="Calibri" w:hAnsi="Calibri"/>
          <w:color w:val="334155"/>
          <w:sz w:val="21"/>
        </w:rPr>
        <w:t>Đoạn khuỷu nối cẳng tay a3 = 90.0 mm (0.090 m), chiều dài cẳng tay d4 = 207.0 mm (0.207 m). Trục Z3 vuông góc với Z4 (α3 = -90° hoặc +90° tùy quy ước).</w:t>
      </w:r>
    </w:p>
    <w:p>
      <w:pPr>
        <w:pStyle w:val="ListBullet"/>
        <w:spacing w:before="20" w:after="60" w:line="276" w:lineRule="auto"/>
        <w:jc w:val="both"/>
      </w:pPr>
      <w:r>
        <w:rPr>
          <w:rFonts w:ascii="Calibri" w:hAnsi="Calibri"/>
          <w:b/>
          <w:color w:val="0F172A"/>
          <w:sz w:val="21"/>
        </w:rPr>
        <w:t xml:space="preserve">Khâu 4 đến Khâu công tác cuối (Wrist to Tool Flange): </w:t>
      </w:r>
      <w:r>
        <w:rPr>
          <w:rFonts w:ascii="Calibri" w:hAnsi="Calibri"/>
          <w:color w:val="334155"/>
          <w:sz w:val="21"/>
        </w:rPr>
        <w:t>Cổ tay xoay và mặt bích gá dụng cụ có khoảng dịch dọc trục d5 = 100.0 mm (0.100 m) tính đến Tool Center Point (TCP).</w:t>
      </w:r>
    </w:p>
    <w:p>
      <w:pPr>
        <w:keepNext/>
        <w:spacing w:before="280" w:after="100"/>
      </w:pPr>
      <w:r>
        <w:rPr>
          <w:rFonts w:ascii="Calibri" w:hAnsi="Calibri"/>
          <w:b/>
          <w:color w:val="0284C7"/>
          <w:sz w:val="25"/>
        </w:rPr>
        <w:t>4.2. Bảng tham số Denavit-Hartenberg (DH Parameters Table) của Denso VS-6556</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B365D"/>
            <w:tcMar>
              <w:top w:w="100" w:type="dxa"/>
              <w:bottom w:w="100" w:type="dxa"/>
              <w:left w:w="80" w:type="dxa"/>
              <w:right w:w="80" w:type="dxa"/>
            </w:tcMar>
          </w:tcPr>
          <w:p>
            <w:pPr>
              <w:jc w:val="center"/>
            </w:pPr>
            <w:r>
              <w:rPr>
                <w:rFonts w:ascii="Calibri" w:hAnsi="Calibri"/>
                <w:b/>
                <w:color w:val="FFFFFF"/>
                <w:sz w:val="19"/>
              </w:rPr>
              <w:t>Khớp (i)</w:t>
            </w:r>
          </w:p>
        </w:tc>
        <w:tc>
          <w:tcPr>
            <w:tcW w:type="dxa" w:w="1584"/>
            <w:shd w:fill="1B365D"/>
            <w:tcMar>
              <w:top w:w="100" w:type="dxa"/>
              <w:bottom w:w="100" w:type="dxa"/>
              <w:left w:w="80" w:type="dxa"/>
              <w:right w:w="80" w:type="dxa"/>
            </w:tcMar>
          </w:tcPr>
          <w:p>
            <w:pPr>
              <w:jc w:val="center"/>
            </w:pPr>
            <w:r>
              <w:rPr>
                <w:rFonts w:ascii="Calibri" w:hAnsi="Calibri"/>
                <w:b/>
                <w:color w:val="FFFFFF"/>
                <w:sz w:val="19"/>
              </w:rPr>
              <w:t>Khâu (Link)</w:t>
            </w:r>
          </w:p>
        </w:tc>
        <w:tc>
          <w:tcPr>
            <w:tcW w:type="dxa" w:w="1152"/>
            <w:shd w:fill="1B365D"/>
            <w:tcMar>
              <w:top w:w="100" w:type="dxa"/>
              <w:bottom w:w="100" w:type="dxa"/>
              <w:left w:w="80" w:type="dxa"/>
              <w:right w:w="80" w:type="dxa"/>
            </w:tcMar>
          </w:tcPr>
          <w:p>
            <w:pPr>
              <w:jc w:val="center"/>
            </w:pPr>
            <w:r>
              <w:rPr>
                <w:rFonts w:ascii="Calibri" w:hAnsi="Calibri"/>
                <w:b/>
                <w:color w:val="FFFFFF"/>
                <w:sz w:val="19"/>
              </w:rPr>
              <w:t>ai (mm)</w:t>
            </w:r>
          </w:p>
        </w:tc>
        <w:tc>
          <w:tcPr>
            <w:tcW w:type="dxa" w:w="1296"/>
            <w:shd w:fill="1B365D"/>
            <w:tcMar>
              <w:top w:w="100" w:type="dxa"/>
              <w:bottom w:w="100" w:type="dxa"/>
              <w:left w:w="80" w:type="dxa"/>
              <w:right w:w="80" w:type="dxa"/>
            </w:tcMar>
          </w:tcPr>
          <w:p>
            <w:pPr>
              <w:jc w:val="center"/>
            </w:pPr>
            <w:r>
              <w:rPr>
                <w:rFonts w:ascii="Calibri" w:hAnsi="Calibri"/>
                <w:b/>
                <w:color w:val="FFFFFF"/>
                <w:sz w:val="19"/>
              </w:rPr>
              <w:t>αi (rad)</w:t>
            </w:r>
          </w:p>
        </w:tc>
        <w:tc>
          <w:tcPr>
            <w:tcW w:type="dxa" w:w="1152"/>
            <w:shd w:fill="1B365D"/>
            <w:tcMar>
              <w:top w:w="100" w:type="dxa"/>
              <w:bottom w:w="100" w:type="dxa"/>
              <w:left w:w="80" w:type="dxa"/>
              <w:right w:w="80" w:type="dxa"/>
            </w:tcMar>
          </w:tcPr>
          <w:p>
            <w:pPr>
              <w:jc w:val="center"/>
            </w:pPr>
            <w:r>
              <w:rPr>
                <w:rFonts w:ascii="Calibri" w:hAnsi="Calibri"/>
                <w:b/>
                <w:color w:val="FFFFFF"/>
                <w:sz w:val="19"/>
              </w:rPr>
              <w:t>di (mm)</w:t>
            </w:r>
          </w:p>
        </w:tc>
        <w:tc>
          <w:tcPr>
            <w:tcW w:type="dxa" w:w="1152"/>
            <w:shd w:fill="1B365D"/>
            <w:tcMar>
              <w:top w:w="100" w:type="dxa"/>
              <w:bottom w:w="100" w:type="dxa"/>
              <w:left w:w="80" w:type="dxa"/>
              <w:right w:w="80" w:type="dxa"/>
            </w:tcMar>
          </w:tcPr>
          <w:p>
            <w:pPr>
              <w:jc w:val="center"/>
            </w:pPr>
            <w:r>
              <w:rPr>
                <w:rFonts w:ascii="Calibri" w:hAnsi="Calibri"/>
                <w:b/>
                <w:color w:val="FFFFFF"/>
                <w:sz w:val="19"/>
              </w:rPr>
              <w:t>θi (rad)</w:t>
            </w:r>
          </w:p>
        </w:tc>
        <w:tc>
          <w:tcPr>
            <w:tcW w:type="dxa" w:w="2304"/>
            <w:shd w:fill="1B365D"/>
            <w:tcMar>
              <w:top w:w="100" w:type="dxa"/>
              <w:bottom w:w="100" w:type="dxa"/>
              <w:left w:w="80" w:type="dxa"/>
              <w:right w:w="80" w:type="dxa"/>
            </w:tcMar>
          </w:tcPr>
          <w:p>
            <w:pPr>
              <w:jc w:val="center"/>
            </w:pPr>
            <w:r>
              <w:rPr>
                <w:rFonts w:ascii="Calibri" w:hAnsi="Calibri"/>
                <w:b/>
                <w:color w:val="FFFFFF"/>
                <w:sz w:val="19"/>
              </w:rPr>
              <w:t>Dải góc hoạt động (Limits)</w:t>
            </w:r>
          </w:p>
        </w:tc>
      </w:tr>
      <w:tr>
        <w:tc>
          <w:tcPr>
            <w:tcW w:type="dxa" w:w="1152"/>
            <w:shd w:fill="F8FAFC"/>
            <w:tcMar>
              <w:top w:w="80" w:type="dxa"/>
              <w:bottom w:w="80" w:type="dxa"/>
              <w:left w:w="80" w:type="dxa"/>
              <w:right w:w="80" w:type="dxa"/>
            </w:tcMar>
          </w:tcPr>
          <w:p>
            <w:pPr>
              <w:jc w:val="center"/>
            </w:pPr>
            <w:r>
              <w:rPr>
                <w:rFonts w:ascii="Calibri" w:hAnsi="Calibri"/>
                <w:color w:val="1E293B"/>
                <w:sz w:val="18"/>
              </w:rPr>
              <w:t>1</w:t>
            </w:r>
          </w:p>
        </w:tc>
        <w:tc>
          <w:tcPr>
            <w:tcW w:type="dxa" w:w="1584"/>
            <w:shd w:fill="F8FAFC"/>
            <w:tcMar>
              <w:top w:w="80" w:type="dxa"/>
              <w:bottom w:w="80" w:type="dxa"/>
              <w:left w:w="80" w:type="dxa"/>
              <w:right w:w="80" w:type="dxa"/>
            </w:tcMar>
          </w:tcPr>
          <w:p>
            <w:pPr>
              <w:jc w:val="left"/>
            </w:pPr>
            <w:r>
              <w:rPr>
                <w:rFonts w:ascii="Calibri" w:hAnsi="Calibri"/>
                <w:color w:val="1E293B"/>
                <w:sz w:val="18"/>
              </w:rPr>
              <w:t>Base -&gt; J1</w:t>
            </w:r>
          </w:p>
        </w:tc>
        <w:tc>
          <w:tcPr>
            <w:tcW w:type="dxa" w:w="1152"/>
            <w:shd w:fill="F8FAFC"/>
            <w:tcMar>
              <w:top w:w="80" w:type="dxa"/>
              <w:bottom w:w="80" w:type="dxa"/>
              <w:left w:w="80" w:type="dxa"/>
              <w:right w:w="80" w:type="dxa"/>
            </w:tcMar>
          </w:tcPr>
          <w:p>
            <w:pPr>
              <w:jc w:val="center"/>
            </w:pPr>
            <w:r>
              <w:rPr>
                <w:rFonts w:ascii="Calibri" w:hAnsi="Calibri"/>
                <w:color w:val="1E293B"/>
                <w:sz w:val="18"/>
              </w:rPr>
              <w:t>0.0</w:t>
            </w:r>
          </w:p>
        </w:tc>
        <w:tc>
          <w:tcPr>
            <w:tcW w:type="dxa" w:w="1296"/>
            <w:shd w:fill="F8FAFC"/>
            <w:tcMar>
              <w:top w:w="80" w:type="dxa"/>
              <w:bottom w:w="80" w:type="dxa"/>
              <w:left w:w="80" w:type="dxa"/>
              <w:right w:w="80" w:type="dxa"/>
            </w:tcMar>
          </w:tcPr>
          <w:p>
            <w:pPr>
              <w:jc w:val="center"/>
            </w:pPr>
            <w:r>
              <w:rPr>
                <w:rFonts w:ascii="Calibri" w:hAnsi="Calibri"/>
                <w:color w:val="1E293B"/>
                <w:sz w:val="18"/>
              </w:rPr>
              <w:t>-π / 2 (-1.571)</w:t>
            </w:r>
          </w:p>
        </w:tc>
        <w:tc>
          <w:tcPr>
            <w:tcW w:type="dxa" w:w="1152"/>
            <w:shd w:fill="F8FAFC"/>
            <w:tcMar>
              <w:top w:w="80" w:type="dxa"/>
              <w:bottom w:w="80" w:type="dxa"/>
              <w:left w:w="80" w:type="dxa"/>
              <w:right w:w="80" w:type="dxa"/>
            </w:tcMar>
          </w:tcPr>
          <w:p>
            <w:pPr>
              <w:jc w:val="center"/>
            </w:pPr>
            <w:r>
              <w:rPr>
                <w:rFonts w:ascii="Calibri" w:hAnsi="Calibri"/>
                <w:color w:val="1E293B"/>
                <w:sz w:val="18"/>
              </w:rPr>
              <w:t>185.0</w:t>
            </w:r>
          </w:p>
        </w:tc>
        <w:tc>
          <w:tcPr>
            <w:tcW w:type="dxa" w:w="1152"/>
            <w:shd w:fill="F8FAFC"/>
            <w:tcMar>
              <w:top w:w="80" w:type="dxa"/>
              <w:bottom w:w="80" w:type="dxa"/>
              <w:left w:w="80" w:type="dxa"/>
              <w:right w:w="80" w:type="dxa"/>
            </w:tcMar>
          </w:tcPr>
          <w:p>
            <w:pPr>
              <w:jc w:val="center"/>
            </w:pPr>
            <w:r>
              <w:rPr>
                <w:rFonts w:ascii="Calibri" w:hAnsi="Calibri"/>
                <w:b/>
                <w:color w:val="0284C7"/>
                <w:sz w:val="18"/>
              </w:rPr>
              <w:t>θ1*</w:t>
            </w:r>
          </w:p>
        </w:tc>
        <w:tc>
          <w:tcPr>
            <w:tcW w:type="dxa" w:w="2304"/>
            <w:shd w:fill="F8FAFC"/>
            <w:tcMar>
              <w:top w:w="80" w:type="dxa"/>
              <w:bottom w:w="80" w:type="dxa"/>
              <w:left w:w="80" w:type="dxa"/>
              <w:right w:w="80" w:type="dxa"/>
            </w:tcMar>
          </w:tcPr>
          <w:p>
            <w:pPr>
              <w:jc w:val="left"/>
            </w:pPr>
            <w:r>
              <w:rPr>
                <w:rFonts w:ascii="Calibri" w:hAnsi="Calibri"/>
                <w:color w:val="1E293B"/>
                <w:sz w:val="18"/>
              </w:rPr>
              <w:t>[-170°, +170°] (±2.967 rad)</w:t>
            </w:r>
          </w:p>
        </w:tc>
      </w:tr>
      <w:tr>
        <w:tc>
          <w:tcPr>
            <w:tcW w:type="dxa" w:w="1152"/>
            <w:shd w:fill="FFFFFF"/>
            <w:tcMar>
              <w:top w:w="80" w:type="dxa"/>
              <w:bottom w:w="80" w:type="dxa"/>
              <w:left w:w="80" w:type="dxa"/>
              <w:right w:w="80" w:type="dxa"/>
            </w:tcMar>
          </w:tcPr>
          <w:p>
            <w:pPr>
              <w:jc w:val="center"/>
            </w:pPr>
            <w:r>
              <w:rPr>
                <w:rFonts w:ascii="Calibri" w:hAnsi="Calibri"/>
                <w:color w:val="1E293B"/>
                <w:sz w:val="18"/>
              </w:rPr>
              <w:t>2</w:t>
            </w:r>
          </w:p>
        </w:tc>
        <w:tc>
          <w:tcPr>
            <w:tcW w:type="dxa" w:w="1584"/>
            <w:shd w:fill="FFFFFF"/>
            <w:tcMar>
              <w:top w:w="80" w:type="dxa"/>
              <w:bottom w:w="80" w:type="dxa"/>
              <w:left w:w="80" w:type="dxa"/>
              <w:right w:w="80" w:type="dxa"/>
            </w:tcMar>
          </w:tcPr>
          <w:p>
            <w:pPr>
              <w:jc w:val="left"/>
            </w:pPr>
            <w:r>
              <w:rPr>
                <w:rFonts w:ascii="Calibri" w:hAnsi="Calibri"/>
                <w:color w:val="1E293B"/>
                <w:sz w:val="18"/>
              </w:rPr>
              <w:t>Link 1 -&gt; J2</w:t>
            </w:r>
          </w:p>
        </w:tc>
        <w:tc>
          <w:tcPr>
            <w:tcW w:type="dxa" w:w="1152"/>
            <w:shd w:fill="FFFFFF"/>
            <w:tcMar>
              <w:top w:w="80" w:type="dxa"/>
              <w:bottom w:w="80" w:type="dxa"/>
              <w:left w:w="80" w:type="dxa"/>
              <w:right w:w="80" w:type="dxa"/>
            </w:tcMar>
          </w:tcPr>
          <w:p>
            <w:pPr>
              <w:jc w:val="center"/>
            </w:pPr>
            <w:r>
              <w:rPr>
                <w:rFonts w:ascii="Calibri" w:hAnsi="Calibri"/>
                <w:color w:val="1E293B"/>
                <w:sz w:val="18"/>
              </w:rPr>
              <w:t>270.0</w:t>
            </w:r>
          </w:p>
        </w:tc>
        <w:tc>
          <w:tcPr>
            <w:tcW w:type="dxa" w:w="1296"/>
            <w:shd w:fill="FFFFFF"/>
            <w:tcMar>
              <w:top w:w="80" w:type="dxa"/>
              <w:bottom w:w="80" w:type="dxa"/>
              <w:left w:w="80" w:type="dxa"/>
              <w:right w:w="80" w:type="dxa"/>
            </w:tcMar>
          </w:tcPr>
          <w:p>
            <w:pPr>
              <w:jc w:val="center"/>
            </w:pPr>
            <w:r>
              <w:rPr>
                <w:rFonts w:ascii="Calibri" w:hAnsi="Calibri"/>
                <w:color w:val="1E293B"/>
                <w:sz w:val="18"/>
              </w:rPr>
              <w:t>0.0</w:t>
            </w:r>
          </w:p>
        </w:tc>
        <w:tc>
          <w:tcPr>
            <w:tcW w:type="dxa" w:w="1152"/>
            <w:shd w:fill="FFFFFF"/>
            <w:tcMar>
              <w:top w:w="80" w:type="dxa"/>
              <w:bottom w:w="80" w:type="dxa"/>
              <w:left w:w="80" w:type="dxa"/>
              <w:right w:w="80" w:type="dxa"/>
            </w:tcMar>
          </w:tcPr>
          <w:p>
            <w:pPr>
              <w:jc w:val="center"/>
            </w:pPr>
            <w:r>
              <w:rPr>
                <w:rFonts w:ascii="Calibri" w:hAnsi="Calibri"/>
                <w:color w:val="1E293B"/>
                <w:sz w:val="18"/>
              </w:rPr>
              <w:t>0.0</w:t>
            </w:r>
          </w:p>
        </w:tc>
        <w:tc>
          <w:tcPr>
            <w:tcW w:type="dxa" w:w="1152"/>
            <w:shd w:fill="FFFFFF"/>
            <w:tcMar>
              <w:top w:w="80" w:type="dxa"/>
              <w:bottom w:w="80" w:type="dxa"/>
              <w:left w:w="80" w:type="dxa"/>
              <w:right w:w="80" w:type="dxa"/>
            </w:tcMar>
          </w:tcPr>
          <w:p>
            <w:pPr>
              <w:jc w:val="center"/>
            </w:pPr>
            <w:r>
              <w:rPr>
                <w:rFonts w:ascii="Calibri" w:hAnsi="Calibri"/>
                <w:b/>
                <w:color w:val="0284C7"/>
                <w:sz w:val="18"/>
              </w:rPr>
              <w:t>θ2* - π/2</w:t>
            </w:r>
          </w:p>
        </w:tc>
        <w:tc>
          <w:tcPr>
            <w:tcW w:type="dxa" w:w="2304"/>
            <w:shd w:fill="FFFFFF"/>
            <w:tcMar>
              <w:top w:w="80" w:type="dxa"/>
              <w:bottom w:w="80" w:type="dxa"/>
              <w:left w:w="80" w:type="dxa"/>
              <w:right w:w="80" w:type="dxa"/>
            </w:tcMar>
          </w:tcPr>
          <w:p>
            <w:pPr>
              <w:jc w:val="left"/>
            </w:pPr>
            <w:r>
              <w:rPr>
                <w:rFonts w:ascii="Calibri" w:hAnsi="Calibri"/>
                <w:color w:val="1E293B"/>
                <w:sz w:val="18"/>
              </w:rPr>
              <w:t>[-120°, +135°] (-2.094 to +2.356 rad)</w:t>
            </w:r>
          </w:p>
        </w:tc>
      </w:tr>
      <w:tr>
        <w:tc>
          <w:tcPr>
            <w:tcW w:type="dxa" w:w="1152"/>
            <w:shd w:fill="F8FAFC"/>
            <w:tcMar>
              <w:top w:w="80" w:type="dxa"/>
              <w:bottom w:w="80" w:type="dxa"/>
              <w:left w:w="80" w:type="dxa"/>
              <w:right w:w="80" w:type="dxa"/>
            </w:tcMar>
          </w:tcPr>
          <w:p>
            <w:pPr>
              <w:jc w:val="center"/>
            </w:pPr>
            <w:r>
              <w:rPr>
                <w:rFonts w:ascii="Calibri" w:hAnsi="Calibri"/>
                <w:color w:val="1E293B"/>
                <w:sz w:val="18"/>
              </w:rPr>
              <w:t>3</w:t>
            </w:r>
          </w:p>
        </w:tc>
        <w:tc>
          <w:tcPr>
            <w:tcW w:type="dxa" w:w="1584"/>
            <w:shd w:fill="F8FAFC"/>
            <w:tcMar>
              <w:top w:w="80" w:type="dxa"/>
              <w:bottom w:w="80" w:type="dxa"/>
              <w:left w:w="80" w:type="dxa"/>
              <w:right w:w="80" w:type="dxa"/>
            </w:tcMar>
          </w:tcPr>
          <w:p>
            <w:pPr>
              <w:jc w:val="left"/>
            </w:pPr>
            <w:r>
              <w:rPr>
                <w:rFonts w:ascii="Calibri" w:hAnsi="Calibri"/>
                <w:color w:val="1E293B"/>
                <w:sz w:val="18"/>
              </w:rPr>
              <w:t>Link 2 -&gt; J3</w:t>
            </w:r>
          </w:p>
        </w:tc>
        <w:tc>
          <w:tcPr>
            <w:tcW w:type="dxa" w:w="1152"/>
            <w:shd w:fill="F8FAFC"/>
            <w:tcMar>
              <w:top w:w="80" w:type="dxa"/>
              <w:bottom w:w="80" w:type="dxa"/>
              <w:left w:w="80" w:type="dxa"/>
              <w:right w:w="80" w:type="dxa"/>
            </w:tcMar>
          </w:tcPr>
          <w:p>
            <w:pPr>
              <w:jc w:val="center"/>
            </w:pPr>
            <w:r>
              <w:rPr>
                <w:rFonts w:ascii="Calibri" w:hAnsi="Calibri"/>
                <w:color w:val="1E293B"/>
                <w:sz w:val="18"/>
              </w:rPr>
              <w:t>90.0</w:t>
            </w:r>
          </w:p>
        </w:tc>
        <w:tc>
          <w:tcPr>
            <w:tcW w:type="dxa" w:w="1296"/>
            <w:shd w:fill="F8FAFC"/>
            <w:tcMar>
              <w:top w:w="80" w:type="dxa"/>
              <w:bottom w:w="80" w:type="dxa"/>
              <w:left w:w="80" w:type="dxa"/>
              <w:right w:w="80" w:type="dxa"/>
            </w:tcMar>
          </w:tcPr>
          <w:p>
            <w:pPr>
              <w:jc w:val="center"/>
            </w:pPr>
            <w:r>
              <w:rPr>
                <w:rFonts w:ascii="Calibri" w:hAnsi="Calibri"/>
                <w:color w:val="1E293B"/>
                <w:sz w:val="18"/>
              </w:rPr>
              <w:t>-π / 2 (-1.571)</w:t>
            </w:r>
          </w:p>
        </w:tc>
        <w:tc>
          <w:tcPr>
            <w:tcW w:type="dxa" w:w="1152"/>
            <w:shd w:fill="F8FAFC"/>
            <w:tcMar>
              <w:top w:w="80" w:type="dxa"/>
              <w:bottom w:w="80" w:type="dxa"/>
              <w:left w:w="80" w:type="dxa"/>
              <w:right w:w="80" w:type="dxa"/>
            </w:tcMar>
          </w:tcPr>
          <w:p>
            <w:pPr>
              <w:jc w:val="center"/>
            </w:pPr>
            <w:r>
              <w:rPr>
                <w:rFonts w:ascii="Calibri" w:hAnsi="Calibri"/>
                <w:color w:val="1E293B"/>
                <w:sz w:val="18"/>
              </w:rPr>
              <w:t>0.0</w:t>
            </w:r>
          </w:p>
        </w:tc>
        <w:tc>
          <w:tcPr>
            <w:tcW w:type="dxa" w:w="1152"/>
            <w:shd w:fill="F8FAFC"/>
            <w:tcMar>
              <w:top w:w="80" w:type="dxa"/>
              <w:bottom w:w="80" w:type="dxa"/>
              <w:left w:w="80" w:type="dxa"/>
              <w:right w:w="80" w:type="dxa"/>
            </w:tcMar>
          </w:tcPr>
          <w:p>
            <w:pPr>
              <w:jc w:val="center"/>
            </w:pPr>
            <w:r>
              <w:rPr>
                <w:rFonts w:ascii="Calibri" w:hAnsi="Calibri"/>
                <w:b/>
                <w:color w:val="0284C7"/>
                <w:sz w:val="18"/>
              </w:rPr>
              <w:t>θ3*</w:t>
            </w:r>
          </w:p>
        </w:tc>
        <w:tc>
          <w:tcPr>
            <w:tcW w:type="dxa" w:w="2304"/>
            <w:shd w:fill="F8FAFC"/>
            <w:tcMar>
              <w:top w:w="80" w:type="dxa"/>
              <w:bottom w:w="80" w:type="dxa"/>
              <w:left w:w="80" w:type="dxa"/>
              <w:right w:w="80" w:type="dxa"/>
            </w:tcMar>
          </w:tcPr>
          <w:p>
            <w:pPr>
              <w:jc w:val="left"/>
            </w:pPr>
            <w:r>
              <w:rPr>
                <w:rFonts w:ascii="Calibri" w:hAnsi="Calibri"/>
                <w:color w:val="1E293B"/>
                <w:sz w:val="18"/>
              </w:rPr>
              <w:t>[-119°, +166°] (-2.077 to +2.897 rad)</w:t>
            </w:r>
          </w:p>
        </w:tc>
      </w:tr>
      <w:tr>
        <w:tc>
          <w:tcPr>
            <w:tcW w:type="dxa" w:w="1152"/>
            <w:shd w:fill="FFFFFF"/>
            <w:tcMar>
              <w:top w:w="80" w:type="dxa"/>
              <w:bottom w:w="80" w:type="dxa"/>
              <w:left w:w="80" w:type="dxa"/>
              <w:right w:w="80" w:type="dxa"/>
            </w:tcMar>
          </w:tcPr>
          <w:p>
            <w:pPr>
              <w:jc w:val="center"/>
            </w:pPr>
            <w:r>
              <w:rPr>
                <w:rFonts w:ascii="Calibri" w:hAnsi="Calibri"/>
                <w:color w:val="1E293B"/>
                <w:sz w:val="18"/>
              </w:rPr>
              <w:t>4</w:t>
            </w:r>
          </w:p>
        </w:tc>
        <w:tc>
          <w:tcPr>
            <w:tcW w:type="dxa" w:w="1584"/>
            <w:shd w:fill="FFFFFF"/>
            <w:tcMar>
              <w:top w:w="80" w:type="dxa"/>
              <w:bottom w:w="80" w:type="dxa"/>
              <w:left w:w="80" w:type="dxa"/>
              <w:right w:w="80" w:type="dxa"/>
            </w:tcMar>
          </w:tcPr>
          <w:p>
            <w:pPr>
              <w:jc w:val="left"/>
            </w:pPr>
            <w:r>
              <w:rPr>
                <w:rFonts w:ascii="Calibri" w:hAnsi="Calibri"/>
                <w:color w:val="1E293B"/>
                <w:sz w:val="18"/>
              </w:rPr>
              <w:t>Link 3 -&gt; J4</w:t>
            </w:r>
          </w:p>
        </w:tc>
        <w:tc>
          <w:tcPr>
            <w:tcW w:type="dxa" w:w="1152"/>
            <w:shd w:fill="FFFFFF"/>
            <w:tcMar>
              <w:top w:w="80" w:type="dxa"/>
              <w:bottom w:w="80" w:type="dxa"/>
              <w:left w:w="80" w:type="dxa"/>
              <w:right w:w="80" w:type="dxa"/>
            </w:tcMar>
          </w:tcPr>
          <w:p>
            <w:pPr>
              <w:jc w:val="center"/>
            </w:pPr>
            <w:r>
              <w:rPr>
                <w:rFonts w:ascii="Calibri" w:hAnsi="Calibri"/>
                <w:color w:val="1E293B"/>
                <w:sz w:val="18"/>
              </w:rPr>
              <w:t>0.0</w:t>
            </w:r>
          </w:p>
        </w:tc>
        <w:tc>
          <w:tcPr>
            <w:tcW w:type="dxa" w:w="1296"/>
            <w:shd w:fill="FFFFFF"/>
            <w:tcMar>
              <w:top w:w="80" w:type="dxa"/>
              <w:bottom w:w="80" w:type="dxa"/>
              <w:left w:w="80" w:type="dxa"/>
              <w:right w:w="80" w:type="dxa"/>
            </w:tcMar>
          </w:tcPr>
          <w:p>
            <w:pPr>
              <w:jc w:val="center"/>
            </w:pPr>
            <w:r>
              <w:rPr>
                <w:rFonts w:ascii="Calibri" w:hAnsi="Calibri"/>
                <w:color w:val="1E293B"/>
                <w:sz w:val="18"/>
              </w:rPr>
              <w:t>+π / 2 (+1.571)</w:t>
            </w:r>
          </w:p>
        </w:tc>
        <w:tc>
          <w:tcPr>
            <w:tcW w:type="dxa" w:w="1152"/>
            <w:shd w:fill="FFFFFF"/>
            <w:tcMar>
              <w:top w:w="80" w:type="dxa"/>
              <w:bottom w:w="80" w:type="dxa"/>
              <w:left w:w="80" w:type="dxa"/>
              <w:right w:w="80" w:type="dxa"/>
            </w:tcMar>
          </w:tcPr>
          <w:p>
            <w:pPr>
              <w:jc w:val="center"/>
            </w:pPr>
            <w:r>
              <w:rPr>
                <w:rFonts w:ascii="Calibri" w:hAnsi="Calibri"/>
                <w:color w:val="1E293B"/>
                <w:sz w:val="18"/>
              </w:rPr>
              <w:t>207.0</w:t>
            </w:r>
          </w:p>
        </w:tc>
        <w:tc>
          <w:tcPr>
            <w:tcW w:type="dxa" w:w="1152"/>
            <w:shd w:fill="FFFFFF"/>
            <w:tcMar>
              <w:top w:w="80" w:type="dxa"/>
              <w:bottom w:w="80" w:type="dxa"/>
              <w:left w:w="80" w:type="dxa"/>
              <w:right w:w="80" w:type="dxa"/>
            </w:tcMar>
          </w:tcPr>
          <w:p>
            <w:pPr>
              <w:jc w:val="center"/>
            </w:pPr>
            <w:r>
              <w:rPr>
                <w:rFonts w:ascii="Calibri" w:hAnsi="Calibri"/>
                <w:b/>
                <w:color w:val="0284C7"/>
                <w:sz w:val="18"/>
              </w:rPr>
              <w:t>θ4*</w:t>
            </w:r>
          </w:p>
        </w:tc>
        <w:tc>
          <w:tcPr>
            <w:tcW w:type="dxa" w:w="2304"/>
            <w:shd w:fill="FFFFFF"/>
            <w:tcMar>
              <w:top w:w="80" w:type="dxa"/>
              <w:bottom w:w="80" w:type="dxa"/>
              <w:left w:w="80" w:type="dxa"/>
              <w:right w:w="80" w:type="dxa"/>
            </w:tcMar>
          </w:tcPr>
          <w:p>
            <w:pPr>
              <w:jc w:val="left"/>
            </w:pPr>
            <w:r>
              <w:rPr>
                <w:rFonts w:ascii="Calibri" w:hAnsi="Calibri"/>
                <w:color w:val="1E293B"/>
                <w:sz w:val="18"/>
              </w:rPr>
              <w:t>[-190°, +190°] (±3.316 rad)</w:t>
            </w:r>
          </w:p>
        </w:tc>
      </w:tr>
      <w:tr>
        <w:tc>
          <w:tcPr>
            <w:tcW w:type="dxa" w:w="1152"/>
            <w:shd w:fill="F8FAFC"/>
            <w:tcMar>
              <w:top w:w="80" w:type="dxa"/>
              <w:bottom w:w="80" w:type="dxa"/>
              <w:left w:w="80" w:type="dxa"/>
              <w:right w:w="80" w:type="dxa"/>
            </w:tcMar>
          </w:tcPr>
          <w:p>
            <w:pPr>
              <w:jc w:val="center"/>
            </w:pPr>
            <w:r>
              <w:rPr>
                <w:rFonts w:ascii="Calibri" w:hAnsi="Calibri"/>
                <w:color w:val="1E293B"/>
                <w:sz w:val="18"/>
              </w:rPr>
              <w:t>5</w:t>
            </w:r>
          </w:p>
        </w:tc>
        <w:tc>
          <w:tcPr>
            <w:tcW w:type="dxa" w:w="1584"/>
            <w:shd w:fill="F8FAFC"/>
            <w:tcMar>
              <w:top w:w="80" w:type="dxa"/>
              <w:bottom w:w="80" w:type="dxa"/>
              <w:left w:w="80" w:type="dxa"/>
              <w:right w:w="80" w:type="dxa"/>
            </w:tcMar>
          </w:tcPr>
          <w:p>
            <w:pPr>
              <w:jc w:val="left"/>
            </w:pPr>
            <w:r>
              <w:rPr>
                <w:rFonts w:ascii="Calibri" w:hAnsi="Calibri"/>
                <w:color w:val="1E293B"/>
                <w:sz w:val="18"/>
              </w:rPr>
              <w:t>Link 4 -&gt; J5</w:t>
            </w:r>
          </w:p>
        </w:tc>
        <w:tc>
          <w:tcPr>
            <w:tcW w:type="dxa" w:w="1152"/>
            <w:shd w:fill="F8FAFC"/>
            <w:tcMar>
              <w:top w:w="80" w:type="dxa"/>
              <w:bottom w:w="80" w:type="dxa"/>
              <w:left w:w="80" w:type="dxa"/>
              <w:right w:w="80" w:type="dxa"/>
            </w:tcMar>
          </w:tcPr>
          <w:p>
            <w:pPr>
              <w:jc w:val="center"/>
            </w:pPr>
            <w:r>
              <w:rPr>
                <w:rFonts w:ascii="Calibri" w:hAnsi="Calibri"/>
                <w:color w:val="1E293B"/>
                <w:sz w:val="18"/>
              </w:rPr>
              <w:t>0.0</w:t>
            </w:r>
          </w:p>
        </w:tc>
        <w:tc>
          <w:tcPr>
            <w:tcW w:type="dxa" w:w="1296"/>
            <w:shd w:fill="F8FAFC"/>
            <w:tcMar>
              <w:top w:w="80" w:type="dxa"/>
              <w:bottom w:w="80" w:type="dxa"/>
              <w:left w:w="80" w:type="dxa"/>
              <w:right w:w="80" w:type="dxa"/>
            </w:tcMar>
          </w:tcPr>
          <w:p>
            <w:pPr>
              <w:jc w:val="center"/>
            </w:pPr>
            <w:r>
              <w:rPr>
                <w:rFonts w:ascii="Calibri" w:hAnsi="Calibri"/>
                <w:color w:val="1E293B"/>
                <w:sz w:val="18"/>
              </w:rPr>
              <w:t>0.0</w:t>
            </w:r>
          </w:p>
        </w:tc>
        <w:tc>
          <w:tcPr>
            <w:tcW w:type="dxa" w:w="1152"/>
            <w:shd w:fill="F8FAFC"/>
            <w:tcMar>
              <w:top w:w="80" w:type="dxa"/>
              <w:bottom w:w="80" w:type="dxa"/>
              <w:left w:w="80" w:type="dxa"/>
              <w:right w:w="80" w:type="dxa"/>
            </w:tcMar>
          </w:tcPr>
          <w:p>
            <w:pPr>
              <w:jc w:val="center"/>
            </w:pPr>
            <w:r>
              <w:rPr>
                <w:rFonts w:ascii="Calibri" w:hAnsi="Calibri"/>
                <w:color w:val="1E293B"/>
                <w:sz w:val="18"/>
              </w:rPr>
              <w:t>100.0</w:t>
            </w:r>
          </w:p>
        </w:tc>
        <w:tc>
          <w:tcPr>
            <w:tcW w:type="dxa" w:w="1152"/>
            <w:shd w:fill="F8FAFC"/>
            <w:tcMar>
              <w:top w:w="80" w:type="dxa"/>
              <w:bottom w:w="80" w:type="dxa"/>
              <w:left w:w="80" w:type="dxa"/>
              <w:right w:w="80" w:type="dxa"/>
            </w:tcMar>
          </w:tcPr>
          <w:p>
            <w:pPr>
              <w:jc w:val="center"/>
            </w:pPr>
            <w:r>
              <w:rPr>
                <w:rFonts w:ascii="Calibri" w:hAnsi="Calibri"/>
                <w:b/>
                <w:color w:val="0284C7"/>
                <w:sz w:val="18"/>
              </w:rPr>
              <w:t>θ5*</w:t>
            </w:r>
          </w:p>
        </w:tc>
        <w:tc>
          <w:tcPr>
            <w:tcW w:type="dxa" w:w="2304"/>
            <w:shd w:fill="F8FAFC"/>
            <w:tcMar>
              <w:top w:w="80" w:type="dxa"/>
              <w:bottom w:w="80" w:type="dxa"/>
              <w:left w:w="80" w:type="dxa"/>
              <w:right w:w="80" w:type="dxa"/>
            </w:tcMar>
          </w:tcPr>
          <w:p>
            <w:pPr>
              <w:jc w:val="left"/>
            </w:pPr>
            <w:r>
              <w:rPr>
                <w:rFonts w:ascii="Calibri" w:hAnsi="Calibri"/>
                <w:color w:val="1E293B"/>
                <w:sz w:val="18"/>
              </w:rPr>
              <w:t>[-120°, +120°] (±2.094 rad)</w:t>
            </w:r>
          </w:p>
        </w:tc>
      </w:tr>
    </w:tbl>
    <w:p>
      <w:pPr>
        <w:spacing w:before="80"/>
      </w:pPr>
      <w:r>
        <w:rPr>
          <w:i/>
          <w:color w:val="64748B"/>
          <w:sz w:val="17"/>
        </w:rPr>
        <w:t>Ghi chú: Ký hiệu (*) đại diện cho biến khớp điều khiển (Joint variable). Dữ liệu đối chiếu chuẩn xác với CAD SolidWorks VS-6556-B_asm và denso_vs6556.urdf.</w:t>
      </w:r>
    </w:p>
    <w:p>
      <w:pPr>
        <w:keepNext/>
        <w:spacing w:before="400" w:after="160"/>
        <w:pBdr>
          <w:bottom w:val="single" w:sz="18" w:space="4" w:color="0284C7"/>
        </w:pBdr>
      </w:pPr>
      <w:r>
        <w:rPr>
          <w:rFonts w:ascii="Calibri" w:hAnsi="Calibri"/>
          <w:b/>
          <w:color w:val="1B365D"/>
          <w:sz w:val="30"/>
        </w:rPr>
        <w:t>CHƯƠNG 5: MA TRẬN ĐỘNG HỌC THUẬN TỔNG QUÁT T_0^n (FORWARD KINEMATICS)</w:t>
      </w:r>
    </w:p>
    <w:p>
      <w:pPr>
        <w:spacing w:before="0" w:after="100" w:line="276" w:lineRule="auto"/>
        <w:jc w:val="both"/>
      </w:pPr>
      <w:r>
        <w:rPr>
          <w:rFonts w:ascii="Calibri" w:hAnsi="Calibri"/>
          <w:b/>
          <w:color w:val="0F172A"/>
          <w:sz w:val="22"/>
        </w:rPr>
        <w:t xml:space="preserve">5.1. Khai triển tích chuỗi ma trận: </w:t>
      </w:r>
      <w:r>
        <w:rPr>
          <w:rFonts w:ascii="Calibri" w:hAnsi="Calibri"/>
          <w:i w:val="0"/>
          <w:color w:val="1E293B"/>
          <w:sz w:val="22"/>
        </w:rPr>
        <w:t>Ma trận biến đổi động học toàn cục biểu diễn vị trí và tư thế của khâu công tác cuối (TCP) đối với hệ quy chiếu cố định tại đế {0} được xác định bằng tích chuỗi ma trận biến đổi của các khâu thành phần:</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T_0^5 = A_1(θ_1) · A_2(θ_2) · A_3(θ_3) · A_4(θ_4) · A_5(θ_5) = [</w:t>
              <w:br/>
              <w:t xml:space="preserve">  [ r11 , r12 , r13 ,  p_x ],</w:t>
              <w:br/>
              <w:t xml:space="preserve">  [ r21 , r22 , r23 ,  p_y ],</w:t>
              <w:br/>
              <w:t xml:space="preserve">  [ r31 , r32 , r33 ,  p_z ],</w:t>
              <w:br/>
              <w:t xml:space="preserve">  [  0  ,  0  ,  0  ,   1  ]</w:t>
              <w:br/>
              <w:t>]</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(5.1)</w:t>
            </w:r>
          </w:p>
        </w:tc>
      </w:tr>
    </w:tbl>
    <w:p>
      <w:pPr>
        <w:spacing w:after="60"/>
      </w:pPr>
    </w:p>
    <w:p>
      <w:pPr>
        <w:spacing w:before="0" w:after="100" w:line="276" w:lineRule="auto"/>
        <w:jc w:val="both"/>
      </w:pPr>
      <w:r>
        <w:rPr>
          <w:rFonts w:ascii="Calibri" w:hAnsi="Calibri"/>
          <w:b/>
          <w:color w:val="0F172A"/>
          <w:sz w:val="22"/>
        </w:rPr>
        <w:t xml:space="preserve">5.2. Biểu thức giải tích tọa độ vị trí Cartesian [px, py, pz]: </w:t>
      </w:r>
      <w:r>
        <w:rPr>
          <w:rFonts w:ascii="Calibri" w:hAnsi="Calibri"/>
          <w:i w:val="0"/>
          <w:color w:val="1E293B"/>
          <w:sz w:val="22"/>
        </w:rPr>
        <w:t>Khai triển giải tích cho tọa độ tâm công tác TCP P = [p_x, p_y, p_z]^T theo các góc khớp:</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p_x = cos(θ_1) · [ a_2·cos(θ_2) + a_3·cos(θ_2 + θ_3) - d_4·sin(θ_2 + θ_3) - d_5·sin(θ_2 + θ_3 + θ_5) ]</w:t>
              <w:br/>
              <w:t>p_y = sin(θ_1) · [ a_2·cos(θ_2) + a_3·cos(θ_2 + θ_3) - d_4·sin(θ_2 + θ_3) - d_5·sin(θ_2 + θ_3 + θ_5) ]</w:t>
              <w:br/>
              <w:t>p_z = d_1 + a_2·sin(θ_2) + a_3·sin(θ_2 + θ_3) + d_4·cos(θ_2 + θ_3) + d_5·cos(θ_2 + θ_3 + θ_5)</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(5.2)</w:t>
            </w:r>
          </w:p>
        </w:tc>
      </w:tr>
    </w:tbl>
    <w:p>
      <w:pPr>
        <w:spacing w:after="60"/>
      </w:pPr>
    </w:p>
    <w:p>
      <w:pPr>
        <w:spacing w:before="0" w:after="100" w:line="276" w:lineRule="auto"/>
        <w:jc w:val="both"/>
      </w:pPr>
      <w:r>
        <w:rPr>
          <w:rFonts w:ascii="Calibri" w:hAnsi="Calibri"/>
          <w:b/>
          <w:color w:val="0F172A"/>
          <w:sz w:val="22"/>
        </w:rPr>
        <w:t xml:space="preserve">5.3. Xác định góc hướng Roll - Pitch - Yaw: </w:t>
      </w:r>
      <w:r>
        <w:rPr>
          <w:rFonts w:ascii="Calibri" w:hAnsi="Calibri"/>
          <w:i w:val="0"/>
          <w:color w:val="1E293B"/>
          <w:sz w:val="22"/>
        </w:rPr>
        <w:t>Từ ma trận quay R_0^5 = [r_ij] (i, j = 1..3), hướng của khâu tác động cuối có thể được chuyển đổi sang các góc quay Euler Z-Y-X hoặc Roll-Pitch-Yaw (RPY: ψ, θ, φ) phục vụ hiển thị trực quan và điều khiển MoveIt:</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Pitch (θ) = atan2( -r31,  sqrt(r11^2 + r21^2) )</w:t>
              <w:br/>
              <w:t>Roll  (ψ) = atan2(  r32 / cos(θ),  r33 / cos(θ) )</w:t>
              <w:br/>
              <w:t>Yaw   (φ) = atan2(  r21 / cos(θ),  r11 / cos(θ) )</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(5.3)</w:t>
            </w:r>
          </w:p>
        </w:tc>
      </w:tr>
    </w:tbl>
    <w:p>
      <w:pPr>
        <w:spacing w:after="60"/>
      </w:pPr>
    </w:p>
    <w:p>
      <w:pPr>
        <w:keepNext/>
        <w:spacing w:before="400" w:after="160"/>
        <w:pBdr>
          <w:bottom w:val="single" w:sz="18" w:space="4" w:color="0284C7"/>
        </w:pBdr>
      </w:pPr>
      <w:r>
        <w:rPr>
          <w:rFonts w:ascii="Calibri" w:hAnsi="Calibri"/>
          <w:b/>
          <w:color w:val="1B365D"/>
          <w:sz w:val="30"/>
        </w:rPr>
        <w:t>CHƯƠNG 6: PHƯƠNG PHÁP GIẢI BÀI TOÁN ĐỘNG HỌC NGHỊCH (INVERSE KINEMATICS)</w:t>
      </w:r>
    </w:p>
    <w:p>
      <w:pPr>
        <w:spacing w:before="0" w:after="100" w:line="276" w:lineRule="auto"/>
        <w:jc w:val="both"/>
      </w:pPr>
      <w:r>
        <w:rPr>
          <w:rFonts w:ascii="Calibri" w:hAnsi="Calibri"/>
          <w:b/>
          <w:color w:val="0F172A"/>
          <w:sz w:val="22"/>
        </w:rPr>
        <w:t xml:space="preserve">6.1. Nguyên lý phân tách động học Pieper (Kinematic Decoupling): </w:t>
      </w:r>
      <w:r>
        <w:rPr>
          <w:rFonts w:ascii="Calibri" w:hAnsi="Calibri"/>
          <w:i w:val="0"/>
          <w:color w:val="1E293B"/>
          <w:sz w:val="22"/>
        </w:rPr>
        <w:t>Bài toán động học nghịch (IK) đối với robot công nghiệp 6-DOF nói chung có thể giải bằng hai hướng: Phương pháp số (Numerical Methods như Newton-Raphson, Levenberg-Marquardt) hoặc Phương pháp giải tích dạng đóng (Closed-form Analytical Solution). Với robot DENSO VS-6556, cấu trúc cơ khí thỏa mãn tiêu chuẩn Pieper (Pieper's Criteria - 1968 [3]): ba trục khớp cổ tay liên tiếp cắt nhau tại một điểm duy nhất gọi là Tâm cổ tay (Wrist Center Pw). Điều này cho phép phân tách động học (Kinematic Decoupling) bài toán IK 6 chiều thành hai bài toán con độc lập 3 chiều đơn giản hơn rất nhiều.</w:t>
      </w:r>
    </w:p>
    <w:p>
      <w:pPr>
        <w:pStyle w:val="ListBullet"/>
        <w:spacing w:before="20" w:after="60" w:line="276" w:lineRule="auto"/>
        <w:jc w:val="both"/>
      </w:pPr>
      <w:r>
        <w:rPr>
          <w:rFonts w:ascii="Calibri" w:hAnsi="Calibri"/>
          <w:b/>
          <w:color w:val="0F172A"/>
          <w:sz w:val="21"/>
        </w:rPr>
        <w:t xml:space="preserve">Bước 1: Xác định vị trí tâm cổ tay Pw: </w:t>
      </w:r>
      <w:r>
        <w:rPr>
          <w:rFonts w:ascii="Calibri" w:hAnsi="Calibri"/>
          <w:color w:val="334155"/>
          <w:sz w:val="21"/>
        </w:rPr>
        <w:t>Tọa độ tâm cổ tay Pw độc lập với các góc xoay cổ tay (θ4, θ5, θ6) và được tính ngược từ vị trí TCP P_tcp và vector hướng tiếp cận a = [r13, r23, r33]^T:</w:t>
        <w:br/>
        <w:t>Pw = P_tcp - d_tool · a</w:t>
      </w:r>
    </w:p>
    <w:p>
      <w:pPr>
        <w:pStyle w:val="ListBullet"/>
        <w:spacing w:before="20" w:after="60" w:line="276" w:lineRule="auto"/>
        <w:jc w:val="both"/>
      </w:pPr>
      <w:r>
        <w:rPr>
          <w:rFonts w:ascii="Calibri" w:hAnsi="Calibri"/>
          <w:b/>
          <w:color w:val="0F172A"/>
          <w:sz w:val="21"/>
        </w:rPr>
        <w:t xml:space="preserve">Bước 2: Giải bài toán nghịch vị trí cho (θ1, θ2, θ3): </w:t>
      </w:r>
      <w:r>
        <w:rPr>
          <w:rFonts w:ascii="Calibri" w:hAnsi="Calibri"/>
          <w:color w:val="334155"/>
          <w:sz w:val="21"/>
        </w:rPr>
        <w:t>Góc xoay khớp đế θ1 được tính trực tiếp từ hình chiếu của Pw lên mặt phẳng ngang Oxy:</w:t>
        <w:br/>
        <w:t>θ1 = atan2(P_{w,y}, P_{w,x})  (hoặc θ1 + π đối với cấu hình vai lật Arm Behind)</w:t>
      </w:r>
    </w:p>
    <w:p>
      <w:pPr>
        <w:spacing w:before="0" w:after="100" w:line="276" w:lineRule="auto"/>
        <w:jc w:val="both"/>
      </w:pPr>
      <w:r>
        <w:rPr>
          <w:rFonts w:ascii="Calibri" w:hAnsi="Calibri"/>
          <w:i w:val="0"/>
          <w:color w:val="1E293B"/>
          <w:sz w:val="22"/>
        </w:rPr>
        <w:t>Áp dụng định lý hàm số Cosine cho tam giác tạo bởi khâu 2 (Upper arm) và khâu 3 (Forearm) trong mặt phẳng cánh tay, ta tính được góc khớp khuỷu θ3:</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cos(θ_3) = ( r^2 + s^2 - a_2^2 - a_3^2 - d_4^2 ) / ( 2 · a_2 · sqrt(a_3^2 + d_4^2) )</w:t>
              <w:br/>
              <w:t>sin(θ_3) = ± sqrt( 1 - cos^2(θ_3) )</w:t>
              <w:br/>
              <w:t>θ_3 = atan2( sin(θ_3), cos(θ_3) ) - atan2( d_4, a_3 )</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(6.1)</w:t>
            </w:r>
          </w:p>
        </w:tc>
      </w:tr>
    </w:tbl>
    <w:p>
      <w:pPr>
        <w:spacing w:after="60"/>
      </w:pPr>
    </w:p>
    <w:p>
      <w:pPr>
        <w:spacing w:before="0" w:after="100" w:line="276" w:lineRule="auto"/>
        <w:jc w:val="both"/>
      </w:pPr>
      <w:r>
        <w:rPr>
          <w:rFonts w:ascii="Calibri" w:hAnsi="Calibri"/>
          <w:i w:val="0"/>
          <w:color w:val="1E293B"/>
          <w:sz w:val="22"/>
        </w:rPr>
        <w:t>Dấu '±' trong biểu thức sin(θ3) ứng với hai cấu hình hình học kinh điển trong sản xuất: Elbow Up (Khuỷu tay hướng lên) và Elbow Down (Khuỷu tay chúc xuống). Sau khi xác định θ3, góc nâng vai θ2 được giải tường minh qua phép chiếu tọa độ cực.</w:t>
      </w:r>
    </w:p>
    <w:p>
      <w:pPr>
        <w:pStyle w:val="ListBullet"/>
        <w:spacing w:before="20" w:after="60" w:line="276" w:lineRule="auto"/>
        <w:jc w:val="both"/>
      </w:pPr>
      <w:r>
        <w:rPr>
          <w:rFonts w:ascii="Calibri" w:hAnsi="Calibri"/>
          <w:b/>
          <w:color w:val="0F172A"/>
          <w:sz w:val="21"/>
        </w:rPr>
        <w:t xml:space="preserve">Bước 3: Giải bài toán nghịch định hướng cho các khớp cổ tay (θ4, θ5): </w:t>
      </w:r>
      <w:r>
        <w:rPr>
          <w:rFonts w:ascii="Calibri" w:hAnsi="Calibri"/>
          <w:color w:val="334155"/>
          <w:sz w:val="21"/>
        </w:rPr>
        <w:t>Sau khi biết (θ1, θ2, θ3), ma trận quay định hướng của 3 khớp đầu R_0^3 được xác định. Ma trận quay còn lại của cổ tay được tính bằng tích ma trận:</w:t>
        <w:br/>
        <w:t>R_3^5 = (R_0^3)^T · R_des</w:t>
        <w:br/>
        <w:t>Từ các phần tử của R_3^5, các góc θ4, θ5 được trích xuất bằng hàm lượng giác ngược atan2 tương tự như phép phân rã góc Euler Z-Y-Z.</w:t>
      </w:r>
    </w:p>
    <w:p>
      <w:pPr>
        <w:keepNext/>
        <w:spacing w:before="400" w:after="160"/>
        <w:pBdr>
          <w:bottom w:val="single" w:sz="18" w:space="4" w:color="0284C7"/>
        </w:pBdr>
      </w:pPr>
      <w:r>
        <w:rPr>
          <w:rFonts w:ascii="Calibri" w:hAnsi="Calibri"/>
          <w:b/>
          <w:color w:val="1B365D"/>
          <w:sz w:val="30"/>
        </w:rPr>
        <w:t>CHƯƠNG 7: MA TRẬN JACOBI VÀ ĐIỂM KỲ DỊ ĐỘNG HỌC (SINGULARITIES)</w:t>
      </w:r>
    </w:p>
    <w:p>
      <w:pPr>
        <w:spacing w:before="0" w:after="100" w:line="276" w:lineRule="auto"/>
        <w:jc w:val="both"/>
      </w:pPr>
      <w:r>
        <w:rPr>
          <w:rFonts w:ascii="Calibri" w:hAnsi="Calibri"/>
          <w:b/>
          <w:color w:val="0F172A"/>
          <w:sz w:val="22"/>
        </w:rPr>
        <w:t xml:space="preserve">7.1. Định nghĩa Ma trận Jacobi hình học (Geometric Jacobian): </w:t>
      </w:r>
      <w:r>
        <w:rPr>
          <w:rFonts w:ascii="Calibri" w:hAnsi="Calibri"/>
          <w:i w:val="0"/>
          <w:color w:val="1E293B"/>
          <w:sz w:val="22"/>
        </w:rPr>
        <w:t>Ma trận Jacobi hình học J(q) là toán tử vi phân then chốt trong kỹ thuật robot, liên hệ vận tốc góc và vận tốc dài của các khớp với vận tốc của khâu chấp hành cuối trong không gian thao tác Cartesian:</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 v_e ]   [ J_v(q) ]</w:t>
              <w:br/>
              <w:t>[     ] = [        ] · [ q_dot ] = J(q) · q_dot</w:t>
              <w:br/>
              <w:t>[ ω_e ]   [ J_ω(q) ]</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(7.1)</w:t>
            </w:r>
          </w:p>
        </w:tc>
      </w:tr>
    </w:tbl>
    <w:p>
      <w:pPr>
        <w:spacing w:after="60"/>
      </w:pPr>
    </w:p>
    <w:p>
      <w:pPr>
        <w:spacing w:before="0" w:after="100" w:line="276" w:lineRule="auto"/>
        <w:jc w:val="both"/>
      </w:pPr>
      <w:r>
        <w:rPr>
          <w:rFonts w:ascii="Calibri" w:hAnsi="Calibri"/>
          <w:i w:val="0"/>
          <w:color w:val="1E293B"/>
          <w:sz w:val="22"/>
        </w:rPr>
        <w:t>Đối với chuỗi khâu toàn khớp quay (Revolute joints), cột thứ i của ma trận Jacobi J_i được tính theo công thức vector chính thống:</w:t>
      </w:r>
    </w:p>
    <w:tbl>
      <w:tblPr>
        <w:tblW w:type="auto" w:w="0"/>
        <w:jc w:val="center"/>
        <w:tblLayout w:type="fixed"/>
        <w:tblLook w:firstColumn="1" w:firstRow="1" w:lastColumn="0" w:lastRow="0" w:noHBand="0" w:noVBand="1" w:val="04A0"/>
      </w:tblPr>
      <w:tblGrid>
        <w:gridCol w:w="4680"/>
        <w:gridCol w:w="4680"/>
      </w:tblGrid>
      <w:tr>
        <w:tc>
          <w:tcPr>
            <w:tcW w:type="dxa" w:w="8352"/>
            <w:shd w:fill="F8FAFC"/>
            <w:tcMar>
              <w:top w:w="80" w:type="dxa"/>
              <w:bottom w:w="80" w:type="dxa"/>
              <w:left w:w="120" w:type="dxa"/>
              <w:right w:w="80" w:type="dxa"/>
            </w:tcMar>
          </w:tcPr>
          <w:p>
            <w:pPr>
              <w:spacing w:before="40" w:after="40"/>
              <w:jc w:val="center"/>
            </w:pPr>
            <w:r>
              <w:rPr>
                <w:rFonts w:ascii="Cambria Math" w:hAnsi="Cambria Math"/>
                <w:i/>
                <w:color w:val="0F172A"/>
                <w:sz w:val="20"/>
              </w:rPr>
              <w:t>J_i = [ z_{i-1} × ( p_e - p_{i-1} ) ]</w:t>
              <w:br/>
              <w:t xml:space="preserve">      [           z_{i-1}           ]</w:t>
            </w:r>
          </w:p>
        </w:tc>
        <w:tc>
          <w:tcPr>
            <w:tcW w:type="dxa" w:w="1008"/>
            <w:shd w:fill="F8FAFC"/>
            <w:tcMar>
              <w:top w:w="80" w:type="dxa"/>
              <w:bottom w:w="80" w:type="dxa"/>
              <w:left w:w="20" w:type="dxa"/>
              <w:right w:w="80" w:type="dxa"/>
            </w:tcMar>
          </w:tcPr>
          <w:p>
            <w:pPr>
              <w:spacing w:before="40" w:after="40"/>
              <w:jc w:val="right"/>
            </w:pPr>
            <w:r>
              <w:rPr>
                <w:rFonts w:ascii="Cambria Math" w:hAnsi="Cambria Math"/>
                <w:b/>
                <w:color w:val="475569"/>
                <w:sz w:val="20"/>
              </w:rPr>
              <w:t>(7.2)</w:t>
            </w:r>
          </w:p>
        </w:tc>
      </w:tr>
    </w:tbl>
    <w:p>
      <w:pPr>
        <w:spacing w:after="60"/>
      </w:pPr>
    </w:p>
    <w:p>
      <w:pPr>
        <w:spacing w:before="0" w:after="100" w:line="276" w:lineRule="auto"/>
        <w:jc w:val="both"/>
      </w:pPr>
      <w:r>
        <w:rPr>
          <w:rFonts w:ascii="Calibri" w:hAnsi="Calibri"/>
          <w:b/>
          <w:color w:val="0F172A"/>
          <w:sz w:val="22"/>
        </w:rPr>
        <w:t xml:space="preserve">7.2. Phân tích các dạng điểm kỳ dị trên robot Denso VS-6556: </w:t>
      </w:r>
      <w:r>
        <w:rPr>
          <w:rFonts w:ascii="Calibri" w:hAnsi="Calibri"/>
          <w:i w:val="0"/>
          <w:color w:val="1E293B"/>
          <w:sz w:val="22"/>
        </w:rPr>
        <w:t>Điểm kỳ dị (Singularities) xảy ra tại các cấu hình góc khớp q làm cho ma trận Jacobi bị mất hạng (Rank deficiency), tức là det(J(q)) = 0. Tại điểm kỳ dị, robot mất đi một hoặc nhiều bậc tự do chuyển động Cartesian, đồng thời bài toán động học nghịch đòi hỏi vận tốc góc khớp q_dot tiến tới vô hạn (vượt ngưỡng cho phép của động cơ servo Denso).</w:t>
      </w:r>
    </w:p>
    <w:p>
      <w:pPr>
        <w:pStyle w:val="ListBullet"/>
        <w:spacing w:before="20" w:after="60" w:line="276" w:lineRule="auto"/>
        <w:jc w:val="both"/>
      </w:pPr>
      <w:r>
        <w:rPr>
          <w:rFonts w:ascii="Calibri" w:hAnsi="Calibri"/>
          <w:b/>
          <w:color w:val="0F172A"/>
          <w:sz w:val="21"/>
        </w:rPr>
        <w:t xml:space="preserve">Kỳ dị biên vùng làm việc (Boundary / Reach Singularity): </w:t>
      </w:r>
      <w:r>
        <w:rPr>
          <w:rFonts w:ascii="Calibri" w:hAnsi="Calibri"/>
          <w:color w:val="334155"/>
          <w:sz w:val="21"/>
        </w:rPr>
        <w:t>Xảy ra khi cánh tay duỗi thẳng hoàn toàn (θ3 = 0° hoặc cánh tay vươn tới bán kính tối đa R = 653 mm). Mút công tác không thể tiếp tục di chuyển ra xa hơn dọc theo phương xuyên tâm.</w:t>
      </w:r>
    </w:p>
    <w:p>
      <w:pPr>
        <w:pStyle w:val="ListBullet"/>
        <w:spacing w:before="20" w:after="60" w:line="276" w:lineRule="auto"/>
        <w:jc w:val="both"/>
      </w:pPr>
      <w:r>
        <w:rPr>
          <w:rFonts w:ascii="Calibri" w:hAnsi="Calibri"/>
          <w:b/>
          <w:color w:val="0F172A"/>
          <w:sz w:val="21"/>
        </w:rPr>
        <w:t xml:space="preserve">Kỳ dị khuỷu tay (Elbow Singularity): </w:t>
      </w:r>
      <w:r>
        <w:rPr>
          <w:rFonts w:ascii="Calibri" w:hAnsi="Calibri"/>
          <w:color w:val="334155"/>
          <w:sz w:val="21"/>
        </w:rPr>
        <w:t>Xảy ra khi điểm khớp khuỷu nằm thẳng hàng với trục quay của vai và tâm cổ tay. Cánh tay bị 'khóa' lực uốn.</w:t>
      </w:r>
    </w:p>
    <w:p>
      <w:pPr>
        <w:pStyle w:val="ListBullet"/>
        <w:spacing w:before="20" w:after="60" w:line="276" w:lineRule="auto"/>
        <w:jc w:val="both"/>
      </w:pPr>
      <w:r>
        <w:rPr>
          <w:rFonts w:ascii="Calibri" w:hAnsi="Calibri"/>
          <w:b/>
          <w:color w:val="0F172A"/>
          <w:sz w:val="21"/>
        </w:rPr>
        <w:t xml:space="preserve">Kỳ dị cổ tay (Wrist Singularity): </w:t>
      </w:r>
      <w:r>
        <w:rPr>
          <w:rFonts w:ascii="Calibri" w:hAnsi="Calibri"/>
          <w:color w:val="334155"/>
          <w:sz w:val="21"/>
        </w:rPr>
        <w:t>Xảy ra khi trục quay Z4 và Z6 trùng phương hoặc đồng phẳng (góc gập cổ tay θ5 = 0°). Tại đây, khớp 4 và khớp 6 bị suy biến thành cùng một chuyển động xoay quanh một trục duy nhất.</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36" w:space="0" w:color="0284C7"/>
              <w:bottom w:val="none"/>
              <w:right w:val="none"/>
            </w:tcBorders>
          </w:tcPr>
          <w:p>
            <w:pPr>
              <w:spacing w:before="40" w:after="60"/>
            </w:pPr>
            <w:r>
              <w:rPr>
                <w:rFonts w:ascii="Calibri" w:hAnsi="Calibri"/>
                <w:b/>
                <w:color w:val="0284C7"/>
                <w:sz w:val="21"/>
              </w:rPr>
              <w:t>📌 CHIẾN LƯỢC XỬ LÝ ĐIỂM KỲ DỊ (DAMPED LEAST SQUARES)</w:t>
              <w:br/>
            </w:r>
            <w:r>
              <w:rPr>
                <w:rFonts w:ascii="Calibri" w:hAnsi="Calibri"/>
                <w:color w:val="1E293B"/>
                <w:sz w:val="20"/>
              </w:rPr>
              <w:t>Để ngăn ngừa động cơ servo bị quá dòng hoặc giật rung khi di chuyển gần điểm kỳ dị, bộ điều khiển MoveIt và script python denso_dynamics_engine.py sử dụng phương pháp Damped Least Squares (DLS):</w:t>
              <w:br/>
              <w:t>J* = J^T · (J · J^T + λ^2 · I)^(-1)</w:t>
              <w:br/>
              <w:t>trong đó λ là hệ số giảm chấn giúp duy trì tính ổn định số của nghiệm.</w:t>
            </w:r>
          </w:p>
        </w:tc>
      </w:tr>
    </w:tbl>
    <w:p>
      <w:pPr>
        <w:spacing w:after="80"/>
      </w:pPr>
    </w:p>
    <w:p>
      <w:pPr>
        <w:keepNext/>
        <w:spacing w:before="400" w:after="160"/>
        <w:pBdr>
          <w:bottom w:val="single" w:sz="18" w:space="4" w:color="0284C7"/>
        </w:pBdr>
      </w:pPr>
      <w:r>
        <w:rPr>
          <w:rFonts w:ascii="Calibri" w:hAnsi="Calibri"/>
          <w:b/>
          <w:color w:val="1B365D"/>
          <w:sz w:val="30"/>
        </w:rPr>
        <w:t>CHƯƠNG 8: TÍCH HỢP MA TRẬN DH TRONG HỆ ĐIỀU HÀNH ROBOT ROS 2 &amp; MOVEIT</w:t>
      </w:r>
    </w:p>
    <w:p>
      <w:pPr>
        <w:spacing w:before="0" w:after="100" w:line="276" w:lineRule="auto"/>
        <w:jc w:val="both"/>
      </w:pPr>
      <w:r>
        <w:rPr>
          <w:rFonts w:ascii="Calibri" w:hAnsi="Calibri"/>
          <w:b/>
          <w:color w:val="0F172A"/>
          <w:sz w:val="22"/>
        </w:rPr>
        <w:t xml:space="preserve">8.1. Cấu trúc tích hợp đa tầng trong workspace: </w:t>
      </w:r>
      <w:r>
        <w:rPr>
          <w:rFonts w:ascii="Calibri" w:hAnsi="Calibri"/>
          <w:i w:val="0"/>
          <w:color w:val="1E293B"/>
          <w:sz w:val="22"/>
        </w:rPr>
        <w:t>Trong không gian làm việc thực tế của dự án (`/home/dung/denso_ws`), ma trận động học DH không chỉ dừng lại ở mức lý thuyết giấy tờ mà được tích hợp xuyên suốt qua các tầng phần mềm từ cấp thấp (URDF) đến thuật toán cấp cao:</w:t>
      </w:r>
    </w:p>
    <w:p>
      <w:pPr>
        <w:pStyle w:val="ListBullet"/>
        <w:spacing w:before="20" w:after="60" w:line="276" w:lineRule="auto"/>
        <w:jc w:val="both"/>
      </w:pPr>
      <w:r>
        <w:rPr>
          <w:rFonts w:ascii="Calibri" w:hAnsi="Calibri"/>
          <w:b/>
          <w:color w:val="0F172A"/>
          <w:sz w:val="21"/>
        </w:rPr>
        <w:t xml:space="preserve">Tầng mô tả hình học URDF (denso_vs6556.urdf): </w:t>
      </w:r>
      <w:r>
        <w:rPr>
          <w:rFonts w:ascii="Calibri" w:hAnsi="Calibri"/>
          <w:color w:val="334155"/>
          <w:sz w:val="21"/>
        </w:rPr>
        <w:t>Hệ trục tọa độ từ bảng tham số DH được chuyển đổi thành các thẻ liên kết khớp &lt;joint&gt; với thuộc tính &lt;origin xyz='...' rpy='...'/&gt;. Mỗi chuyển dịch tịnh tiến (ai, di) và góc quay (θi, αi) tương ứng trực tiếp với vector xyz và các góc Euler rpy trong URDF.</w:t>
      </w:r>
    </w:p>
    <w:p>
      <w:pPr>
        <w:pStyle w:val="ListBullet"/>
        <w:spacing w:before="20" w:after="60" w:line="276" w:lineRule="auto"/>
        <w:jc w:val="both"/>
      </w:pPr>
      <w:r>
        <w:rPr>
          <w:rFonts w:ascii="Calibri" w:hAnsi="Calibri"/>
          <w:b/>
          <w:color w:val="0F172A"/>
          <w:sz w:val="21"/>
        </w:rPr>
        <w:t xml:space="preserve">Tầng giải thuật động lực học (denso_dynamics_engine.py): </w:t>
      </w:r>
      <w:r>
        <w:rPr>
          <w:rFonts w:ascii="Calibri" w:hAnsi="Calibri"/>
          <w:color w:val="334155"/>
          <w:sz w:val="21"/>
        </w:rPr>
        <w:t>Phương thức get_joint_transforms(q) trong lớp DensoDynamicsEngine thực hiện tính toán chuỗi ma trận chuyển đổi 4x4: T_step = P_ORIGINS[i] + R_ORIGINS[i] @ ROT_FUNCS[i](q[i]), khớp nối hoàn hảo với công thức ma trận DH (3.3). Kết quả ma trận biến đổi này là đầu vào trực tiếp cho thuật toán đệ quy Newton-Euler (RNEA) để tính mô-men xoắn bù trọng trường (Gravity Compensation) và lực Coriolis.</w:t>
      </w:r>
    </w:p>
    <w:p>
      <w:pPr>
        <w:pStyle w:val="ListBullet"/>
        <w:spacing w:before="20" w:after="60" w:line="276" w:lineRule="auto"/>
        <w:jc w:val="both"/>
      </w:pPr>
      <w:r>
        <w:rPr>
          <w:rFonts w:ascii="Calibri" w:hAnsi="Calibri"/>
          <w:b/>
          <w:color w:val="0F172A"/>
          <w:sz w:val="21"/>
        </w:rPr>
        <w:t xml:space="preserve">Tầng lập kế hoạch chuyển động MoveIt 2 (denso_vs6556_moveit_config): </w:t>
      </w:r>
      <w:r>
        <w:rPr>
          <w:rFonts w:ascii="Calibri" w:hAnsi="Calibri"/>
          <w:color w:val="334155"/>
          <w:sz w:val="21"/>
        </w:rPr>
        <w:t>Plugin KDLKinematicsPlugin đọc trực tiếp cây động học để giải động học thuận/nghịch thời gian thực ở tần số 500 Hz, đảm bảo cánh tay bám quỹ đạo mượt mà không va chạm trong môi trường mô phỏng Gazebo Harmonic.</w:t>
      </w:r>
    </w:p>
    <w:p>
      <w:pPr>
        <w:keepNext/>
        <w:spacing w:before="400" w:after="160"/>
        <w:pBdr>
          <w:bottom w:val="single" w:sz="18" w:space="4" w:color="0284C7"/>
        </w:pBdr>
      </w:pPr>
      <w:r>
        <w:rPr>
          <w:rFonts w:ascii="Calibri" w:hAnsi="Calibri"/>
          <w:b/>
          <w:color w:val="1B365D"/>
          <w:sz w:val="30"/>
        </w:rPr>
        <w:t>CHƯƠNG 9: KẾT LUẬN VÀ ỨNG DỤNG HIỆU CHUẨN (CALIBRATION)</w:t>
      </w:r>
    </w:p>
    <w:p>
      <w:pPr>
        <w:spacing w:before="0" w:after="100" w:line="276" w:lineRule="auto"/>
        <w:jc w:val="both"/>
      </w:pPr>
      <w:r>
        <w:rPr>
          <w:rFonts w:ascii="Calibri" w:hAnsi="Calibri"/>
          <w:b/>
          <w:color w:val="0F172A"/>
          <w:sz w:val="22"/>
        </w:rPr>
        <w:t xml:space="preserve">9.1. Đánh giá tổng quan: </w:t>
      </w:r>
      <w:r>
        <w:rPr>
          <w:rFonts w:ascii="Calibri" w:hAnsi="Calibri"/>
          <w:i w:val="0"/>
          <w:color w:val="1E293B"/>
          <w:sz w:val="22"/>
        </w:rPr>
        <w:t>Phương pháp ma trận động học Denavit-Hartenberg là công cụ toán học kinh điển, chuẩn mực và tối ưu nhất để mô hình hóa và điều khiển các cánh tay robot công nghiệp như DENSO VS-6556. Việc kết hợp ma trận DH với nguyên lý phân tách Pieper mang lại lời giải giải tích dạng đóng chính xác tuyệt đối, thời gian tính toán vi giây (microsecond), đáp ứng hoàn hảo các vòng lặp điều khiển thời gian thực (Hard Real-Time Control Loops).</w:t>
      </w:r>
    </w:p>
    <w:p>
      <w:pPr>
        <w:spacing w:before="0" w:after="100" w:line="276" w:lineRule="auto"/>
        <w:jc w:val="both"/>
      </w:pPr>
      <w:r>
        <w:rPr>
          <w:rFonts w:ascii="Calibri" w:hAnsi="Calibri"/>
          <w:b/>
          <w:color w:val="0F172A"/>
          <w:sz w:val="22"/>
        </w:rPr>
        <w:t xml:space="preserve">9.2. Hướng phát triển và hiệu chuẩn tham số động học: </w:t>
      </w:r>
      <w:r>
        <w:rPr>
          <w:rFonts w:ascii="Calibri" w:hAnsi="Calibri"/>
          <w:i w:val="0"/>
          <w:color w:val="1E293B"/>
          <w:sz w:val="22"/>
        </w:rPr>
        <w:t>Trong sản xuất cơ khí thực tế, các sai số gia công phôi đúc nhôm, sai số lắp ráp ổ bi và độ rơ hộp số Harmonic Drive sẽ làm cho các tham số hình học thực tế (a_real, d_real, α_real) lệch một lượng nhỏ (Δa, Δd, Δα) so với lý thuyết thiết kế. Mô hình ma trận vi phân DH (Differential DH Model) là cơ sở để thực hiện quy trình Hiệu chuẩn Robot (Kinematic Calibration): sử dụng thiết bị đo tọa độ quang học Laser Tracker để đo đạc vị trí thực tế, từ đó giải bài toán tối ưu bình phương tối thiểu để bù ngược sai số vào bảng tham số DH của bộ điều khiển Denso RC8/RC9, nâng độ chính xác tuyệt đối từ ±0.5 mm lên mức ±0.02 mm.</w:t>
      </w:r>
    </w:p>
    <w:p>
      <w:pPr>
        <w:keepNext/>
        <w:spacing w:before="400" w:after="160"/>
        <w:pBdr>
          <w:bottom w:val="single" w:sz="18" w:space="4" w:color="0284C7"/>
        </w:pBdr>
      </w:pPr>
      <w:r>
        <w:rPr>
          <w:rFonts w:ascii="Calibri" w:hAnsi="Calibri"/>
          <w:b/>
          <w:color w:val="1B365D"/>
          <w:sz w:val="30"/>
        </w:rPr>
        <w:t>CHƯƠNG 10: TÀI LIỆU THAM KHẢO HỌC THUẬT CHÍNH THỐNG (REFERENCES)</w:t>
      </w:r>
    </w:p>
    <w:p>
      <w:pPr>
        <w:spacing w:before="40" w:after="80"/>
        <w:ind w:left="576" w:hanging="576"/>
        <w:jc w:val="both"/>
      </w:pPr>
      <w:r>
        <w:rPr>
          <w:rFonts w:ascii="Calibri" w:hAnsi="Calibri"/>
          <w:b/>
          <w:color w:val="1B365D"/>
          <w:sz w:val="20"/>
        </w:rPr>
        <w:t xml:space="preserve">[1] </w:t>
      </w:r>
      <w:r>
        <w:rPr>
          <w:rFonts w:ascii="Calibri" w:hAnsi="Calibri"/>
          <w:color w:val="334155"/>
          <w:sz w:val="20"/>
        </w:rPr>
        <w:t>J. Denavit and R. S. Hartenberg, "A kinematic notation for lower-pair mechanisms based on matrices," ASME Journal of Applied Mechanics, vol. 22, no. 2, pp. 215-221, Jun. 1955. (Công trình gốc khai sinh phương pháp DH).</w:t>
      </w:r>
    </w:p>
    <w:p>
      <w:pPr>
        <w:spacing w:before="40" w:after="80"/>
        <w:ind w:left="576" w:hanging="576"/>
        <w:jc w:val="both"/>
      </w:pPr>
      <w:r>
        <w:rPr>
          <w:rFonts w:ascii="Calibri" w:hAnsi="Calibri"/>
          <w:b/>
          <w:color w:val="1B365D"/>
          <w:sz w:val="20"/>
        </w:rPr>
        <w:t xml:space="preserve">[2] </w:t>
      </w:r>
      <w:r>
        <w:rPr>
          <w:rFonts w:ascii="Calibri" w:hAnsi="Calibri"/>
          <w:color w:val="334155"/>
          <w:sz w:val="20"/>
        </w:rPr>
        <w:t>J. J. Craig, Introduction to Robotics: Mechanics and Control, 3rd ed. Upper Saddle River, NJ: Pearson/Prentice Hall, 2005. (Giáo trình kinh điển đề xuất Modified DH convention).</w:t>
      </w:r>
    </w:p>
    <w:p>
      <w:pPr>
        <w:spacing w:before="40" w:after="80"/>
        <w:ind w:left="576" w:hanging="576"/>
        <w:jc w:val="both"/>
      </w:pPr>
      <w:r>
        <w:rPr>
          <w:rFonts w:ascii="Calibri" w:hAnsi="Calibri"/>
          <w:b/>
          <w:color w:val="1B365D"/>
          <w:sz w:val="20"/>
        </w:rPr>
        <w:t xml:space="preserve">[3] </w:t>
      </w:r>
      <w:r>
        <w:rPr>
          <w:rFonts w:ascii="Calibri" w:hAnsi="Calibri"/>
          <w:color w:val="334155"/>
          <w:sz w:val="20"/>
        </w:rPr>
        <w:t>D. L. Pieper, "The kinematics of manipulators under computer control," Ph.D. dissertation, Dept. of Computer Science, Stanford University, Stanford, CA, Tech. Rep. AIM-72, 1968. (Tiêu chuẩn Pieper cho bài toán động học nghịch).</w:t>
      </w:r>
    </w:p>
    <w:p>
      <w:pPr>
        <w:spacing w:before="40" w:after="80"/>
        <w:ind w:left="576" w:hanging="576"/>
        <w:jc w:val="both"/>
      </w:pPr>
      <w:r>
        <w:rPr>
          <w:rFonts w:ascii="Calibri" w:hAnsi="Calibri"/>
          <w:b/>
          <w:color w:val="1B365D"/>
          <w:sz w:val="20"/>
        </w:rPr>
        <w:t xml:space="preserve">[4] </w:t>
      </w:r>
      <w:r>
        <w:rPr>
          <w:rFonts w:ascii="Calibri" w:hAnsi="Calibri"/>
          <w:color w:val="334155"/>
          <w:sz w:val="20"/>
        </w:rPr>
        <w:t>B. Siciliano, L. Sciavicco, L. Villani, and G. Oriolo, Robotics: Modelling, Planning and Control. London, U.K.: Springer-Verlag, 2010. (Giáo trình chuẩn quốc tế về phân tích Jacobi và kỳ dị).</w:t>
      </w:r>
    </w:p>
    <w:p>
      <w:pPr>
        <w:spacing w:before="40" w:after="80"/>
        <w:ind w:left="576" w:hanging="576"/>
        <w:jc w:val="both"/>
      </w:pPr>
      <w:r>
        <w:rPr>
          <w:rFonts w:ascii="Calibri" w:hAnsi="Calibri"/>
          <w:b/>
          <w:color w:val="1B365D"/>
          <w:sz w:val="20"/>
        </w:rPr>
        <w:t xml:space="preserve">[5] </w:t>
      </w:r>
      <w:r>
        <w:rPr>
          <w:rFonts w:ascii="Calibri" w:hAnsi="Calibri"/>
          <w:color w:val="334155"/>
          <w:sz w:val="20"/>
        </w:rPr>
        <w:t>M. W. Spong, S. Hutchinson, and M. Vidyasagar, Robot Modeling and Control, 2nd ed. Hoboken, NJ: John Wiley &amp; Sons, 2020. (Cơ sở toán học về giải tích ma trận xoay SO(3) và Lie Algebra).</w:t>
      </w:r>
    </w:p>
    <w:p>
      <w:pPr>
        <w:spacing w:before="40" w:after="80"/>
        <w:ind w:left="576" w:hanging="576"/>
        <w:jc w:val="both"/>
      </w:pPr>
      <w:r>
        <w:rPr>
          <w:rFonts w:ascii="Calibri" w:hAnsi="Calibri"/>
          <w:b/>
          <w:color w:val="1B365D"/>
          <w:sz w:val="20"/>
        </w:rPr>
        <w:t xml:space="preserve">[6] </w:t>
      </w:r>
      <w:r>
        <w:rPr>
          <w:rFonts w:ascii="Calibri" w:hAnsi="Calibri"/>
          <w:color w:val="334155"/>
          <w:sz w:val="20"/>
        </w:rPr>
        <w:t>R. P. Paul, Robot Manipulators: Mathematics, Programming, and Control. Cambridge, MA: MIT Press, 1981. (Tài liệu đặt nền móng cho việc ứng dụng ma trận thuần nhất 4x4 vào máy tính số).</w:t>
      </w:r>
    </w:p>
    <w:p>
      <w:pPr>
        <w:spacing w:before="40" w:after="80"/>
        <w:ind w:left="576" w:hanging="576"/>
        <w:jc w:val="both"/>
      </w:pPr>
      <w:r>
        <w:rPr>
          <w:rFonts w:ascii="Calibri" w:hAnsi="Calibri"/>
          <w:b/>
          <w:color w:val="1B365D"/>
          <w:sz w:val="20"/>
        </w:rPr>
        <w:t xml:space="preserve">[7] </w:t>
      </w:r>
      <w:r>
        <w:rPr>
          <w:rFonts w:ascii="Calibri" w:hAnsi="Calibri"/>
          <w:color w:val="334155"/>
          <w:sz w:val="20"/>
        </w:rPr>
        <w:t>DENSO WAVE INCORPORATED, "DENSO Robot VS-6556 / VS-6577 User's Manual - Mechanism Section," Technical Manual No. 410590-0080, Aichi, Japan, 2021. (Tài liệu kỹ thuật cơ khí chính thức từ nhà sản xuất DENSO Robotics).</w:t>
      </w:r>
    </w:p>
    <w:p>
      <w:pPr>
        <w:spacing w:before="40" w:after="80"/>
        <w:ind w:left="576" w:hanging="576"/>
        <w:jc w:val="both"/>
      </w:pPr>
      <w:r>
        <w:rPr>
          <w:rFonts w:ascii="Calibri" w:hAnsi="Calibri"/>
          <w:b/>
          <w:color w:val="1B365D"/>
          <w:sz w:val="20"/>
        </w:rPr>
        <w:t xml:space="preserve">[8] </w:t>
      </w:r>
      <w:r>
        <w:rPr>
          <w:rFonts w:ascii="Calibri" w:hAnsi="Calibri"/>
          <w:color w:val="334155"/>
          <w:sz w:val="20"/>
        </w:rPr>
        <w:t>S. Chiaverini, "Singularity-robust task-priority redundancy resolution for robot systems," IEEE Transactions on Robotics and Automation, vol. 13, no. 3, pp. 398-410, Jun. 1997. (Thuật toán Damped Least Squares tránh kỳ dị).</w:t>
      </w:r>
    </w:p>
    <w:p>
      <w:pPr>
        <w:spacing w:before="40" w:after="80"/>
        <w:ind w:left="576" w:hanging="576"/>
        <w:jc w:val="both"/>
      </w:pPr>
      <w:r>
        <w:rPr>
          <w:rFonts w:ascii="Calibri" w:hAnsi="Calibri"/>
          <w:b/>
          <w:color w:val="1B365D"/>
          <w:sz w:val="20"/>
        </w:rPr>
        <w:t xml:space="preserve">[9] </w:t>
      </w:r>
      <w:r>
        <w:rPr>
          <w:rFonts w:ascii="Calibri" w:hAnsi="Calibri"/>
          <w:color w:val="334155"/>
          <w:sz w:val="20"/>
        </w:rPr>
        <w:t>R. Featherstone, Rigid Body Dynamics Algorithms. Boston, MA: Springer-Verlag, 2008. (Cơ sở thuật toán Recursive Newton-Euler triển khai trong denso_dynamics_engine.py).</w:t>
      </w:r>
    </w:p>
    <w:p>
      <w:pPr>
        <w:spacing w:before="40" w:after="80"/>
        <w:ind w:left="576" w:hanging="576"/>
        <w:jc w:val="both"/>
      </w:pPr>
      <w:r>
        <w:rPr>
          <w:rFonts w:ascii="Calibri" w:hAnsi="Calibri"/>
          <w:b/>
          <w:color w:val="1B365D"/>
          <w:sz w:val="20"/>
        </w:rPr>
        <w:t xml:space="preserve">[10] </w:t>
      </w:r>
      <w:r>
        <w:rPr>
          <w:rFonts w:ascii="Calibri" w:hAnsi="Calibri"/>
          <w:color w:val="334155"/>
          <w:sz w:val="20"/>
        </w:rPr>
        <w:t>S. Chitta, I. Sucan, and S. Cousins, "MoveIt! [ROS Topics]," IEEE Robotics &amp; Automation Magazine, vol. 19, no. 1, pp. 18-19, Mar. 2012. (Kiến trúc giải quyết động học MoveIt trong hệ sinh thái 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