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KNHANES 데이터를 활용한 COVID-19 전후 한국 젊은 성인의 고혈압 위험 예측</w:t>
      </w:r>
    </w:p>
    <w:p>
      <w:r>
        <w:t>Project proposal and data screening report</w:t>
      </w:r>
    </w:p>
    <w:p>
      <w:r>
        <w:t>Dataset: KNHANES 2017-2023</w:t>
      </w:r>
    </w:p>
    <w:p>
      <w:r>
        <w:t>Task type: Structured data, supervised learning, binary classification</w:t>
      </w:r>
    </w:p>
    <w:p>
      <w:pPr>
        <w:pStyle w:val="Heading1"/>
      </w:pPr>
      <w:r>
        <w:t>1. Project Purpose</w:t>
      </w:r>
    </w:p>
    <w:p>
      <w:r>
        <w:t>This project aims to predict hypertension risk among Korean young adults aged 19-39 using KNHANES data. The main purpose is to practice the machine learning workflow learned in class, including EDA, preprocessing, PyCaret model screening, and simple model evaluation.</w:t>
      </w:r>
    </w:p>
    <w:p>
      <w:r>
        <w:t>The first idea was to compare cardiovascular risk factors before and after COVID-19. However, the topic was changed to a supervised learning problem because the assignment requires model screening and classification.</w:t>
      </w:r>
    </w:p>
    <w:p>
      <w:pPr>
        <w:pStyle w:val="Heading1"/>
      </w:pPr>
      <w:r>
        <w:t>2. Data Collection</w:t>
      </w:r>
    </w:p>
    <w:p>
      <w:r>
        <w:t>The data source is KNHANES from 2017 to 2023. The original data files are structured SPSS .sav files. Each row represents one participant, and each column represents one health or survey variable.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F2F2F2"/>
            <w:vAlign w:val="center"/>
            <w:tcMar>
              <w:top w:w="80" w:type="dxa"/>
              <w:start w:w="120" w:type="dxa"/>
              <w:bottom w:w="80" w:type="dxa"/>
              <w:end w:w="120" w:type="dxa"/>
            </w:tcMar>
          </w:tcPr>
          <w:p>
            <w:r>
              <w:t>File</w:t>
            </w:r>
          </w:p>
        </w:tc>
        <w:tc>
          <w:tcPr>
            <w:tcW w:type="dxa" w:w="3120"/>
            <w:shd w:fill="F2F2F2"/>
            <w:vAlign w:val="center"/>
            <w:tcMar>
              <w:top w:w="80" w:type="dxa"/>
              <w:start w:w="120" w:type="dxa"/>
              <w:bottom w:w="80" w:type="dxa"/>
              <w:end w:w="120" w:type="dxa"/>
            </w:tcMar>
          </w:tcPr>
          <w:p>
            <w:r>
              <w:t>Year</w:t>
            </w:r>
          </w:p>
        </w:tc>
        <w:tc>
          <w:tcPr>
            <w:tcW w:type="dxa" w:w="3120"/>
            <w:shd w:fill="F2F2F2"/>
            <w:vAlign w:val="center"/>
            <w:tcMar>
              <w:top w:w="80" w:type="dxa"/>
              <w:start w:w="120" w:type="dxa"/>
              <w:bottom w:w="80" w:type="dxa"/>
              <w:end w:w="120" w:type="dxa"/>
            </w:tcMar>
          </w:tcPr>
          <w:p>
            <w:r>
              <w:t>Shape</w:t>
            </w:r>
          </w:p>
        </w:tc>
      </w:tr>
      <w:tr>
        <w:tc>
          <w:tcPr>
            <w:tcW w:type="dxa" w:w="3120"/>
            <w:vAlign w:val="center"/>
            <w:tcMar>
              <w:top w:w="80" w:type="dxa"/>
              <w:start w:w="120" w:type="dxa"/>
              <w:bottom w:w="80" w:type="dxa"/>
              <w:end w:w="120" w:type="dxa"/>
            </w:tcMar>
          </w:tcPr>
          <w:p>
            <w:r>
              <w:t>HN17_all.sav</w:t>
            </w:r>
          </w:p>
        </w:tc>
        <w:tc>
          <w:tcPr>
            <w:tcW w:type="dxa" w:w="3120"/>
            <w:vAlign w:val="center"/>
            <w:tcMar>
              <w:top w:w="80" w:type="dxa"/>
              <w:start w:w="120" w:type="dxa"/>
              <w:bottom w:w="80" w:type="dxa"/>
              <w:end w:w="120" w:type="dxa"/>
            </w:tcMar>
          </w:tcPr>
          <w:p>
            <w:r>
              <w:t>2017</w:t>
            </w:r>
          </w:p>
        </w:tc>
        <w:tc>
          <w:tcPr>
            <w:tcW w:type="dxa" w:w="3120"/>
            <w:vAlign w:val="center"/>
            <w:tcMar>
              <w:top w:w="80" w:type="dxa"/>
              <w:start w:w="120" w:type="dxa"/>
              <w:bottom w:w="80" w:type="dxa"/>
              <w:end w:w="120" w:type="dxa"/>
            </w:tcMar>
          </w:tcPr>
          <w:p>
            <w:r>
              <w:t>(8127, 899)</w:t>
            </w:r>
          </w:p>
        </w:tc>
      </w:tr>
      <w:tr>
        <w:tc>
          <w:tcPr>
            <w:tcW w:type="dxa" w:w="3120"/>
            <w:vAlign w:val="center"/>
            <w:tcMar>
              <w:top w:w="80" w:type="dxa"/>
              <w:start w:w="120" w:type="dxa"/>
              <w:bottom w:w="80" w:type="dxa"/>
              <w:end w:w="120" w:type="dxa"/>
            </w:tcMar>
          </w:tcPr>
          <w:p>
            <w:r>
              <w:t>HN18_all.sav</w:t>
            </w:r>
          </w:p>
        </w:tc>
        <w:tc>
          <w:tcPr>
            <w:tcW w:type="dxa" w:w="3120"/>
            <w:vAlign w:val="center"/>
            <w:tcMar>
              <w:top w:w="80" w:type="dxa"/>
              <w:start w:w="120" w:type="dxa"/>
              <w:bottom w:w="80" w:type="dxa"/>
              <w:end w:w="120" w:type="dxa"/>
            </w:tcMar>
          </w:tcPr>
          <w:p>
            <w:r>
              <w:t>2018</w:t>
            </w:r>
          </w:p>
        </w:tc>
        <w:tc>
          <w:tcPr>
            <w:tcW w:type="dxa" w:w="3120"/>
            <w:vAlign w:val="center"/>
            <w:tcMar>
              <w:top w:w="80" w:type="dxa"/>
              <w:start w:w="120" w:type="dxa"/>
              <w:bottom w:w="80" w:type="dxa"/>
              <w:end w:w="120" w:type="dxa"/>
            </w:tcMar>
          </w:tcPr>
          <w:p>
            <w:r>
              <w:t>(7992, 836)</w:t>
            </w:r>
          </w:p>
        </w:tc>
      </w:tr>
      <w:tr>
        <w:tc>
          <w:tcPr>
            <w:tcW w:type="dxa" w:w="3120"/>
            <w:vAlign w:val="center"/>
            <w:tcMar>
              <w:top w:w="80" w:type="dxa"/>
              <w:start w:w="120" w:type="dxa"/>
              <w:bottom w:w="80" w:type="dxa"/>
              <w:end w:w="120" w:type="dxa"/>
            </w:tcMar>
          </w:tcPr>
          <w:p>
            <w:r>
              <w:t>HN19_all.sav</w:t>
            </w:r>
          </w:p>
        </w:tc>
        <w:tc>
          <w:tcPr>
            <w:tcW w:type="dxa" w:w="3120"/>
            <w:vAlign w:val="center"/>
            <w:tcMar>
              <w:top w:w="80" w:type="dxa"/>
              <w:start w:w="120" w:type="dxa"/>
              <w:bottom w:w="80" w:type="dxa"/>
              <w:end w:w="120" w:type="dxa"/>
            </w:tcMar>
          </w:tcPr>
          <w:p>
            <w:r>
              <w:t>2019</w:t>
            </w:r>
          </w:p>
        </w:tc>
        <w:tc>
          <w:tcPr>
            <w:tcW w:type="dxa" w:w="3120"/>
            <w:vAlign w:val="center"/>
            <w:tcMar>
              <w:top w:w="80" w:type="dxa"/>
              <w:start w:w="120" w:type="dxa"/>
              <w:bottom w:w="80" w:type="dxa"/>
              <w:end w:w="120" w:type="dxa"/>
            </w:tcMar>
          </w:tcPr>
          <w:p>
            <w:r>
              <w:t>(8110, 930)</w:t>
            </w:r>
          </w:p>
        </w:tc>
      </w:tr>
      <w:tr>
        <w:tc>
          <w:tcPr>
            <w:tcW w:type="dxa" w:w="3120"/>
            <w:vAlign w:val="center"/>
            <w:tcMar>
              <w:top w:w="80" w:type="dxa"/>
              <w:start w:w="120" w:type="dxa"/>
              <w:bottom w:w="80" w:type="dxa"/>
              <w:end w:w="120" w:type="dxa"/>
            </w:tcMar>
          </w:tcPr>
          <w:p>
            <w:r>
              <w:t>HN20_all.sav</w:t>
            </w:r>
          </w:p>
        </w:tc>
        <w:tc>
          <w:tcPr>
            <w:tcW w:type="dxa" w:w="3120"/>
            <w:vAlign w:val="center"/>
            <w:tcMar>
              <w:top w:w="80" w:type="dxa"/>
              <w:start w:w="120" w:type="dxa"/>
              <w:bottom w:w="80" w:type="dxa"/>
              <w:end w:w="120" w:type="dxa"/>
            </w:tcMar>
          </w:tcPr>
          <w:p>
            <w:r>
              <w:t>2020</w:t>
            </w:r>
          </w:p>
        </w:tc>
        <w:tc>
          <w:tcPr>
            <w:tcW w:type="dxa" w:w="3120"/>
            <w:vAlign w:val="center"/>
            <w:tcMar>
              <w:top w:w="80" w:type="dxa"/>
              <w:start w:w="120" w:type="dxa"/>
              <w:bottom w:w="80" w:type="dxa"/>
              <w:end w:w="120" w:type="dxa"/>
            </w:tcMar>
          </w:tcPr>
          <w:p>
            <w:r>
              <w:t>(7359, 877)</w:t>
            </w:r>
          </w:p>
        </w:tc>
      </w:tr>
      <w:tr>
        <w:tc>
          <w:tcPr>
            <w:tcW w:type="dxa" w:w="3120"/>
            <w:vAlign w:val="center"/>
            <w:tcMar>
              <w:top w:w="80" w:type="dxa"/>
              <w:start w:w="120" w:type="dxa"/>
              <w:bottom w:w="80" w:type="dxa"/>
              <w:end w:w="120" w:type="dxa"/>
            </w:tcMar>
          </w:tcPr>
          <w:p>
            <w:r>
              <w:t>HN21_all.sav</w:t>
            </w:r>
          </w:p>
        </w:tc>
        <w:tc>
          <w:tcPr>
            <w:tcW w:type="dxa" w:w="3120"/>
            <w:vAlign w:val="center"/>
            <w:tcMar>
              <w:top w:w="80" w:type="dxa"/>
              <w:start w:w="120" w:type="dxa"/>
              <w:bottom w:w="80" w:type="dxa"/>
              <w:end w:w="120" w:type="dxa"/>
            </w:tcMar>
          </w:tcPr>
          <w:p>
            <w:r>
              <w:t>2021</w:t>
            </w:r>
          </w:p>
        </w:tc>
        <w:tc>
          <w:tcPr>
            <w:tcW w:type="dxa" w:w="3120"/>
            <w:vAlign w:val="center"/>
            <w:tcMar>
              <w:top w:w="80" w:type="dxa"/>
              <w:start w:w="120" w:type="dxa"/>
              <w:bottom w:w="80" w:type="dxa"/>
              <w:end w:w="120" w:type="dxa"/>
            </w:tcMar>
          </w:tcPr>
          <w:p>
            <w:r>
              <w:t>(7090, 882)</w:t>
            </w:r>
          </w:p>
        </w:tc>
      </w:tr>
      <w:tr>
        <w:tc>
          <w:tcPr>
            <w:tcW w:type="dxa" w:w="3120"/>
            <w:vAlign w:val="center"/>
            <w:tcMar>
              <w:top w:w="80" w:type="dxa"/>
              <w:start w:w="120" w:type="dxa"/>
              <w:bottom w:w="80" w:type="dxa"/>
              <w:end w:w="120" w:type="dxa"/>
            </w:tcMar>
          </w:tcPr>
          <w:p>
            <w:r>
              <w:t>HN22_all.sav</w:t>
            </w:r>
          </w:p>
        </w:tc>
        <w:tc>
          <w:tcPr>
            <w:tcW w:type="dxa" w:w="3120"/>
            <w:vAlign w:val="center"/>
            <w:tcMar>
              <w:top w:w="80" w:type="dxa"/>
              <w:start w:w="120" w:type="dxa"/>
              <w:bottom w:w="80" w:type="dxa"/>
              <w:end w:w="120" w:type="dxa"/>
            </w:tcMar>
          </w:tcPr>
          <w:p>
            <w:r>
              <w:t>2022</w:t>
            </w:r>
          </w:p>
        </w:tc>
        <w:tc>
          <w:tcPr>
            <w:tcW w:type="dxa" w:w="3120"/>
            <w:vAlign w:val="center"/>
            <w:tcMar>
              <w:top w:w="80" w:type="dxa"/>
              <w:start w:w="120" w:type="dxa"/>
              <w:bottom w:w="80" w:type="dxa"/>
              <w:end w:w="120" w:type="dxa"/>
            </w:tcMar>
          </w:tcPr>
          <w:p>
            <w:r>
              <w:t>(6265, 685)</w:t>
            </w:r>
          </w:p>
        </w:tc>
      </w:tr>
      <w:tr>
        <w:tc>
          <w:tcPr>
            <w:tcW w:type="dxa" w:w="3120"/>
            <w:vAlign w:val="center"/>
            <w:tcMar>
              <w:top w:w="80" w:type="dxa"/>
              <w:start w:w="120" w:type="dxa"/>
              <w:bottom w:w="80" w:type="dxa"/>
              <w:end w:w="120" w:type="dxa"/>
            </w:tcMar>
          </w:tcPr>
          <w:p>
            <w:r>
              <w:t>HN23_all.sav</w:t>
            </w:r>
          </w:p>
        </w:tc>
        <w:tc>
          <w:tcPr>
            <w:tcW w:type="dxa" w:w="3120"/>
            <w:vAlign w:val="center"/>
            <w:tcMar>
              <w:top w:w="80" w:type="dxa"/>
              <w:start w:w="120" w:type="dxa"/>
              <w:bottom w:w="80" w:type="dxa"/>
              <w:end w:w="120" w:type="dxa"/>
            </w:tcMar>
          </w:tcPr>
          <w:p>
            <w:r>
              <w:t>2023</w:t>
            </w:r>
          </w:p>
        </w:tc>
        <w:tc>
          <w:tcPr>
            <w:tcW w:type="dxa" w:w="3120"/>
            <w:vAlign w:val="center"/>
            <w:tcMar>
              <w:top w:w="80" w:type="dxa"/>
              <w:start w:w="120" w:type="dxa"/>
              <w:bottom w:w="80" w:type="dxa"/>
              <w:end w:w="120" w:type="dxa"/>
            </w:tcMar>
          </w:tcPr>
          <w:p>
            <w:r>
              <w:t>(6929, 632)</w:t>
            </w:r>
          </w:p>
        </w:tc>
      </w:tr>
    </w:tbl>
    <w:p>
      <w:pPr>
        <w:pStyle w:val="Heading1"/>
      </w:pPr>
      <w:r>
        <w:t>3. Target and Features</w:t>
      </w:r>
    </w:p>
    <w:p>
      <w:r>
        <w:t>The target variable is hypertension. It is a binary variable.</w:t>
      </w:r>
    </w:p>
    <w:p>
      <w:pPr>
        <w:pStyle w:val="ListBullet"/>
      </w:pPr>
      <w:r>
        <w:t>hypertension = 1 if HE_sbp &gt;= 140 or HE_dbp &gt;= 90</w:t>
      </w:r>
    </w:p>
    <w:p>
      <w:pPr>
        <w:pStyle w:val="ListBullet"/>
      </w:pPr>
      <w:r>
        <w:t>hypertension = 0 otherwise</w:t>
      </w:r>
    </w:p>
    <w:p>
      <w:pPr>
        <w:pStyle w:val="ListBullet"/>
      </w:pPr>
      <w:r>
        <w:t>The analysis only includes age 19-39.</w:t>
      </w:r>
    </w:p>
    <w:p>
      <w:r>
        <w:t>SBP and DBP are used only to create the target variable. After creating the target, they are removed from the input features to avoid data leakage.</w:t>
      </w:r>
    </w:p>
    <w:p>
      <w:r>
        <w:t>The selected input features are age, sex, BMI, fasting glucose, triglycerides, smoking, alcohol consumption, physical activity, income, education level, and COVID period.</w:t>
      </w:r>
    </w:p>
    <w:p>
      <w:pPr>
        <w:pStyle w:val="Heading1"/>
      </w:pPr>
      <w:r>
        <w:t>4. COVID Period</w:t>
      </w:r>
    </w:p>
    <w:p>
      <w:pPr>
        <w:pStyle w:val="ListBullet"/>
      </w:pPr>
      <w:r>
        <w:t>before: 2017-2019</w:t>
      </w:r>
    </w:p>
    <w:p>
      <w:pPr>
        <w:pStyle w:val="ListBullet"/>
      </w:pPr>
      <w:r>
        <w:t>during: 2020-2021</w:t>
      </w:r>
    </w:p>
    <w:p>
      <w:pPr>
        <w:pStyle w:val="ListBullet"/>
      </w:pPr>
      <w:r>
        <w:t>after: 2022-2023</w:t>
      </w:r>
    </w:p>
    <w:p>
      <w:pPr>
        <w:pStyle w:val="Heading1"/>
      </w:pPr>
      <w:r>
        <w:t>5. Data EDA</w:t>
      </w:r>
    </w:p>
    <w:p>
      <w:r>
        <w:t>The EDA is kept simple. It checks the number of participants, missing values, the target distribution, and basic distributions of health variables.</w:t>
      </w:r>
    </w:p>
    <w:p>
      <w:pPr>
        <w:pStyle w:val="ListBullet"/>
      </w:pPr>
      <w:r>
        <w:t>df.head(), df.info(), df.isnull().sum()</w:t>
      </w:r>
    </w:p>
    <w:p>
      <w:pPr>
        <w:pStyle w:val="ListBullet"/>
      </w:pPr>
      <w:r>
        <w:t>countplot for year, COVID period, and hypertension</w:t>
      </w:r>
    </w:p>
    <w:p>
      <w:pPr>
        <w:pStyle w:val="ListBullet"/>
      </w:pPr>
      <w:r>
        <w:t>histplot for BMI, fasting glucose, and triglycerides</w:t>
      </w:r>
    </w:p>
    <w:p>
      <w:pPr>
        <w:pStyle w:val="ListBullet"/>
      </w:pPr>
      <w:r>
        <w:t>boxplot for simple outlier checking</w:t>
      </w:r>
    </w:p>
    <w:p>
      <w:pPr>
        <w:pStyle w:val="Heading1"/>
      </w:pPr>
      <w:r>
        <w:t>6. Preprocessing</w:t>
      </w:r>
    </w:p>
    <w:p>
      <w:r>
        <w:t>The preprocessing follows a beginner/intermediate workflow.</w:t>
      </w:r>
    </w:p>
    <w:p>
      <w:pPr>
        <w:pStyle w:val="ListBullet"/>
      </w:pPr>
      <w:r>
        <w:t>Categorical variables are handled in PyCaret setup.</w:t>
      </w:r>
    </w:p>
    <w:p>
      <w:pPr>
        <w:pStyle w:val="ListBullet"/>
      </w:pPr>
      <w:r>
        <w:t>Missing numeric values are filled with the median.</w:t>
      </w:r>
    </w:p>
    <w:p>
      <w:pPr>
        <w:pStyle w:val="ListBullet"/>
      </w:pPr>
      <w:r>
        <w:t>Missing categorical values are filled with the mode.</w:t>
      </w:r>
    </w:p>
    <w:p>
      <w:pPr>
        <w:pStyle w:val="ListBullet"/>
      </w:pPr>
      <w:r>
        <w:t>Outliers are checked simply using describe(), histplot(), boxplot(), and a basic IQR count.</w:t>
      </w:r>
    </w:p>
    <w:p>
      <w:pPr>
        <w:pStyle w:val="ListBullet"/>
      </w:pPr>
      <w:r>
        <w:t>Scaling is applied with normalize=True and robust normalization in PyCaret.</w:t>
      </w:r>
    </w:p>
    <w:p>
      <w:pPr>
        <w:pStyle w:val="ListBullet"/>
      </w:pPr>
      <w:r>
        <w:t>Class imbalance is handled with fix_imbalance=True.</w:t>
      </w:r>
    </w:p>
    <w:p>
      <w:pPr>
        <w:pStyle w:val="Heading1"/>
      </w:pPr>
      <w:r>
        <w:t>7. PyCaret Model Screening</w:t>
      </w:r>
    </w:p>
    <w:p>
      <w:r>
        <w:t>PyCaret is used for model screening. The compared models are limited to algorithms covered in class, including logistic regression, random forest, and boosting-based models.</w:t>
      </w:r>
    </w:p>
    <w:p>
      <w:pPr>
        <w:pStyle w:val="ListBullet"/>
      </w:pPr>
      <w:r>
        <w:t>Logistic Regression</w:t>
      </w:r>
    </w:p>
    <w:p>
      <w:pPr>
        <w:pStyle w:val="ListBullet"/>
      </w:pPr>
      <w:r>
        <w:t>Random Forest</w:t>
      </w:r>
    </w:p>
    <w:p>
      <w:pPr>
        <w:pStyle w:val="ListBullet"/>
      </w:pPr>
      <w:r>
        <w:t>LightGBM</w:t>
      </w:r>
    </w:p>
    <w:p>
      <w:pPr>
        <w:pStyle w:val="ListBullet"/>
      </w:pPr>
      <w:r>
        <w:t>XGBoost</w:t>
      </w:r>
    </w:p>
    <w:p>
      <w:r>
        <w:t>The models are sorted by AUC score, and the top 3 models are selected. Hyperparameter tuning is done only for the best model, using a simple classroom-level workflow.</w:t>
      </w:r>
    </w:p>
    <w:p>
      <w:pPr>
        <w:pStyle w:val="Heading1"/>
      </w:pPr>
      <w:r>
        <w:t>8. Model Evaluation</w:t>
      </w:r>
    </w:p>
    <w:p>
      <w:r>
        <w:t>For the top 3 models, the following visualizations are checked as required by the assignment:</w:t>
      </w:r>
    </w:p>
    <w:p>
      <w:pPr>
        <w:pStyle w:val="ListBullet"/>
      </w:pPr>
      <w:r>
        <w:t>Confusion matrix</w:t>
      </w:r>
    </w:p>
    <w:p>
      <w:pPr>
        <w:pStyle w:val="ListBullet"/>
      </w:pPr>
      <w:r>
        <w:t>ROC curve</w:t>
      </w:r>
    </w:p>
    <w:p>
      <w:pPr>
        <w:pStyle w:val="ListBullet"/>
      </w:pPr>
      <w:r>
        <w:t>Feature importance</w:t>
      </w:r>
    </w:p>
    <w:p>
      <w:pPr>
        <w:pStyle w:val="Heading1"/>
      </w:pPr>
      <w:r>
        <w:t>9. Results and Interpretation</w:t>
      </w:r>
    </w:p>
    <w:p>
      <w:pPr/>
      <w:r>
        <w:t>In the PyCaret screening, Logistic Regression showed the highest AUC score among the compared models. The AUC was about 0.81 before and after simple tuning, so it was selected as the best model for this screening stage.</w:t>
      </w:r>
    </w:p>
    <w:p>
      <w:pPr/>
      <w:r>
        <w:t>The model comparison focused on AUC because the hypertension class was much smaller than the non-hypertension class. Accuracy alone can look high when the dataset is imbalanced.</w:t>
      </w:r>
    </w:p>
    <w:p>
      <w:pPr/>
      <w:r>
        <w:t>Important predictors were checked using the feature importance plot. Age, BMI, glucose, triglycerides, lifestyle variables, and COVID period were considered useful input variables for hypertension risk prediction.</w:t>
      </w:r>
    </w:p>
    <w:p>
      <w:pPr/>
      <w:r>
        <w:t>In the EDA, hypertension cases were relatively rare among young adults. BMI and lifestyle-related variables also showed some differences by COVID period, so COVID period was kept as one input feature.</w:t>
      </w:r>
    </w:p>
    <w:p>
      <w:pPr>
        <w:pStyle w:val="Heading1"/>
      </w:pPr>
      <w:r>
        <w:t>10. Limitations</w:t>
      </w:r>
    </w:p>
    <w:p>
      <w:pPr>
        <w:pStyle w:val="ListBullet"/>
      </w:pPr>
      <w:r>
        <w:t>This is a data screening and class assignment project, not a clinical prediction system.</w:t>
      </w:r>
    </w:p>
    <w:p>
      <w:pPr>
        <w:pStyle w:val="ListBullet"/>
      </w:pPr>
      <w:r>
        <w:t>The project predicts hypertension risk but does not prove causation.</w:t>
      </w:r>
    </w:p>
    <w:p>
      <w:pPr>
        <w:pStyle w:val="ListBullet"/>
      </w:pPr>
      <w:r>
        <w:t>Some variables may have missing values or different coding across years.</w:t>
      </w:r>
    </w:p>
    <w:p>
      <w:pPr>
        <w:pStyle w:val="ListBullet"/>
      </w:pPr>
      <w:r>
        <w:t>The target is based on blood pressure measurements in the survey data.</w:t>
      </w:r>
    </w:p>
    <w:p>
      <w:pPr>
        <w:pStyle w:val="Heading1"/>
      </w:pPr>
      <w:r>
        <w:t>11. Conclusion</w:t>
      </w:r>
    </w:p>
    <w:p>
      <w:r>
        <w:t>This project prepares KNHANES 2017-2023 data and screens simple machine learning models for hypertension risk prediction. The workflow follows the assignment requirements: data collection, EDA, preprocessing, PyCaret screening, top 3 model selection by AUC, and basic visual evaluation.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eastAsia="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Malgun Gothic"/>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Malgun Gothic"/>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Malgun Gothic"/>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Malgun Gothic"/>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