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p14">
  <w:body>
    <w:p>
      <w:pPr>
        <w:jc w:val="center"/>
      </w:pPr>
      <w:r>
        <w:rPr>
          <w:rFonts w:ascii="Malgun Gothic" w:hAnsi="Malgun Gothic"/>
          <w:b/>
          <w:sz w:val="34"/>
        </w:rPr>
        <w:t>KNHANES 데이터를 활용한 젊은 성인 고혈압 위험 예측</w:t>
      </w:r>
    </w:p>
    <w:p>
      <w:pPr>
        <w:jc w:val="center"/>
      </w:pPr>
      <w:r>
        <w:rPr>
          <w:rFonts w:ascii="Malgun Gothic" w:hAnsi="Malgun Gothic"/>
          <w:sz w:val="22"/>
        </w:rPr>
        <w:t>Advanced Data Analysis Assignment 3 Final Report</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r>
              <w:rPr>
                <w:rFonts w:ascii="Malgun Gothic" w:hAnsi="Malgun Gothic"/>
                <w:b/>
                <w:sz w:val="19"/>
              </w:rPr>
              <w:t>이름</w:t>
            </w:r>
          </w:p>
        </w:tc>
        <w:tc>
          <w:tcPr>
            <w:tcW w:type="dxa" w:w="3264"/>
            <w:vAlign w:val="center"/>
          </w:tcPr>
          <w:p>
            <w:r>
              <w:rPr>
                <w:rFonts w:ascii="Malgun Gothic" w:hAnsi="Malgun Gothic"/>
                <w:b/>
                <w:sz w:val="19"/>
              </w:rPr>
              <w:t>학번</w:t>
            </w:r>
          </w:p>
        </w:tc>
        <w:tc>
          <w:tcPr>
            <w:tcW w:type="dxa" w:w="3264"/>
            <w:vAlign w:val="center"/>
          </w:tcPr>
          <w:p>
            <w:r>
              <w:rPr>
                <w:rFonts w:ascii="Malgun Gothic" w:hAnsi="Malgun Gothic"/>
                <w:b/>
                <w:sz w:val="19"/>
              </w:rPr>
              <w:t>역할</w:t>
            </w:r>
          </w:p>
        </w:tc>
      </w:tr>
      <w:tr>
        <w:tc>
          <w:tcPr>
            <w:tcW w:type="dxa" w:w="3264"/>
            <w:vAlign w:val="center"/>
          </w:tcPr>
          <w:p>
            <w:r>
              <w:rPr>
                <w:rFonts w:ascii="Malgun Gothic" w:hAnsi="Malgun Gothic"/>
                <w:b w:val="0"/>
                <w:sz w:val="19"/>
              </w:rPr>
              <w:t>Jiarui Wu</w:t>
            </w:r>
          </w:p>
        </w:tc>
        <w:tc>
          <w:tcPr>
            <w:tcW w:type="dxa" w:w="3264"/>
            <w:vAlign w:val="center"/>
          </w:tcPr>
          <w:p>
            <w:r>
              <w:rPr>
                <w:rFonts w:ascii="Malgun Gothic" w:hAnsi="Malgun Gothic"/>
                <w:b w:val="0"/>
                <w:sz w:val="19"/>
              </w:rPr>
              <w:t>2024106039</w:t>
            </w:r>
          </w:p>
        </w:tc>
        <w:tc>
          <w:tcPr>
            <w:tcW w:type="dxa" w:w="3264"/>
            <w:vAlign w:val="center"/>
          </w:tcPr>
          <w:p>
            <w:r>
              <w:rPr>
                <w:rFonts w:ascii="Malgun Gothic" w:hAnsi="Malgun Gothic"/>
                <w:b w:val="0"/>
                <w:sz w:val="19"/>
              </w:rPr>
              <w:t>데이터 수집 및 전처리</w:t>
            </w:r>
          </w:p>
        </w:tc>
      </w:tr>
      <w:tr>
        <w:tc>
          <w:tcPr>
            <w:tcW w:type="dxa" w:w="3264"/>
            <w:vAlign w:val="center"/>
          </w:tcPr>
          <w:p>
            <w:r>
              <w:rPr>
                <w:rFonts w:ascii="Malgun Gothic" w:hAnsi="Malgun Gothic"/>
                <w:b w:val="0"/>
                <w:sz w:val="19"/>
              </w:rPr>
              <w:t>Micai Wang</w:t>
            </w:r>
          </w:p>
        </w:tc>
        <w:tc>
          <w:tcPr>
            <w:tcW w:type="dxa" w:w="3264"/>
            <w:vAlign w:val="center"/>
          </w:tcPr>
          <w:p>
            <w:r>
              <w:rPr>
                <w:rFonts w:ascii="Malgun Gothic" w:hAnsi="Malgun Gothic"/>
                <w:b w:val="0"/>
                <w:sz w:val="19"/>
              </w:rPr>
              <w:t>2024106071</w:t>
            </w:r>
          </w:p>
        </w:tc>
        <w:tc>
          <w:tcPr>
            <w:tcW w:type="dxa" w:w="3264"/>
            <w:vAlign w:val="center"/>
          </w:tcPr>
          <w:p>
            <w:r>
              <w:rPr>
                <w:rFonts w:ascii="Malgun Gothic" w:hAnsi="Malgun Gothic"/>
                <w:b w:val="0"/>
                <w:sz w:val="19"/>
              </w:rPr>
              <w:t>보고서 작성 및 발표</w:t>
            </w:r>
          </w:p>
        </w:tc>
      </w:tr>
      <w:tr>
        <w:tc>
          <w:tcPr>
            <w:tcW w:type="dxa" w:w="3264"/>
            <w:vAlign w:val="center"/>
          </w:tcPr>
          <w:p>
            <w:r>
              <w:rPr>
                <w:rFonts w:ascii="Malgun Gothic" w:hAnsi="Malgun Gothic"/>
                <w:b w:val="0"/>
                <w:sz w:val="19"/>
              </w:rPr>
              <w:t>Vu Thuy Anh Dinh</w:t>
            </w:r>
          </w:p>
        </w:tc>
        <w:tc>
          <w:tcPr>
            <w:tcW w:type="dxa" w:w="3264"/>
            <w:vAlign w:val="center"/>
          </w:tcPr>
          <w:p>
            <w:r>
              <w:rPr>
                <w:rFonts w:ascii="Malgun Gothic" w:hAnsi="Malgun Gothic"/>
                <w:b w:val="0"/>
                <w:sz w:val="19"/>
              </w:rPr>
              <w:t>2024106125</w:t>
            </w:r>
          </w:p>
        </w:tc>
        <w:tc>
          <w:tcPr>
            <w:tcW w:type="dxa" w:w="3264"/>
            <w:vAlign w:val="center"/>
          </w:tcPr>
          <w:p>
            <w:r>
              <w:rPr>
                <w:rFonts w:ascii="Malgun Gothic" w:hAnsi="Malgun Gothic"/>
                <w:b w:val="0"/>
                <w:sz w:val="19"/>
              </w:rPr>
              <w:t>EDA, 모델링 및 시각화</w:t>
            </w:r>
          </w:p>
        </w:tc>
      </w:tr>
    </w:tbl>
    <w:p/>
    <w:p>
      <w:pPr>
        <w:pStyle w:val="Heading1"/>
      </w:pPr>
      <w:r>
        <w:rPr>
          <w:rFonts w:ascii="Malgun Gothic" w:hAnsi="Malgun Gothic"/>
          <w:b/>
          <w:sz w:val="28"/>
        </w:rPr>
        <w:t>1. 연구목적</w:t>
      </w:r>
    </w:p>
    <w:p>
      <w:r>
        <w:rPr>
          <w:rFonts w:ascii="Malgun Gothic" w:hAnsi="Malgun Gothic"/>
          <w:b w:val="0"/>
          <w:sz w:val="21"/>
        </w:rPr>
        <w:t>본 프로젝트의 연구주제는 KNHANES 2017-2023년 자료를 활용하여 한국 젊은 성인(19-39세)의 고혈압 위험을 예측하는 것이다. 과제2에서는 140/90 기준을 사용했으나 고혈압군 비율이 약 5% 수준으로 낮아 class imbalance 문제가 컸다. 교수님 피드백 이후 ACC/AHA 2017 기준인 SBP &gt;= 130 또는 DBP &gt;= 80을 주분석 target으로 사용하였다.</w:t>
      </w:r>
    </w:p>
    <w:p>
      <w:r>
        <w:rPr>
          <w:rFonts w:ascii="Malgun Gothic" w:hAnsi="Malgun Gothic"/>
          <w:b w:val="0"/>
          <w:sz w:val="21"/>
        </w:rPr>
        <w:t>젊은 성인의 고혈압은 아직 진단되지 않거나 관리가 늦어질 수 있기 때문에, 건강검진 및 설문 변수를 이용한 위험 예측은 예방적 관점에서 의미가 있다. 본 프로젝트는 의학적 진단 모델이 아니라 수업에서 배운 machine learning screening 과정을 적용해 보는 것을 목표로 한다.</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rFonts w:ascii="Malgun Gothic" w:hAnsi="Malgun Gothic"/>
                <w:b/>
                <w:sz w:val="19"/>
              </w:rPr>
              <w:t>변수</w:t>
            </w:r>
          </w:p>
        </w:tc>
        <w:tc>
          <w:tcPr>
            <w:tcW w:type="dxa" w:w="4896"/>
            <w:vAlign w:val="center"/>
          </w:tcPr>
          <w:p>
            <w:r>
              <w:rPr>
                <w:rFonts w:ascii="Malgun Gothic" w:hAnsi="Malgun Gothic"/>
                <w:b/>
                <w:sz w:val="19"/>
              </w:rPr>
              <w:t>선행연구 기반 선정 이유</w:t>
            </w:r>
          </w:p>
        </w:tc>
      </w:tr>
      <w:tr>
        <w:tc>
          <w:tcPr>
            <w:tcW w:type="dxa" w:w="4896"/>
            <w:vAlign w:val="center"/>
          </w:tcPr>
          <w:p>
            <w:r>
              <w:rPr>
                <w:rFonts w:ascii="Malgun Gothic" w:hAnsi="Malgun Gothic"/>
                <w:b w:val="0"/>
                <w:sz w:val="19"/>
              </w:rPr>
              <w:t>Age / Sex</w:t>
            </w:r>
          </w:p>
        </w:tc>
        <w:tc>
          <w:tcPr>
            <w:tcW w:type="dxa" w:w="4896"/>
            <w:vAlign w:val="center"/>
          </w:tcPr>
          <w:p>
            <w:r>
              <w:rPr>
                <w:rFonts w:ascii="Malgun Gothic" w:hAnsi="Malgun Gothic"/>
                <w:b w:val="0"/>
                <w:sz w:val="19"/>
              </w:rPr>
              <w:t>고혈압 유병률은 연령과 성별에 따라 차이가 보고되어 기본 인구학적 변수로 포함하였다.</w:t>
            </w:r>
          </w:p>
        </w:tc>
      </w:tr>
      <w:tr>
        <w:tc>
          <w:tcPr>
            <w:tcW w:type="dxa" w:w="4896"/>
            <w:vAlign w:val="center"/>
          </w:tcPr>
          <w:p>
            <w:r>
              <w:rPr>
                <w:rFonts w:ascii="Malgun Gothic" w:hAnsi="Malgun Gothic"/>
                <w:b w:val="0"/>
                <w:sz w:val="19"/>
              </w:rPr>
              <w:t>BMI / Waist circumference</w:t>
            </w:r>
          </w:p>
        </w:tc>
        <w:tc>
          <w:tcPr>
            <w:tcW w:type="dxa" w:w="4896"/>
            <w:vAlign w:val="center"/>
          </w:tcPr>
          <w:p>
            <w:r>
              <w:rPr>
                <w:rFonts w:ascii="Malgun Gothic" w:hAnsi="Malgun Gothic"/>
                <w:b w:val="0"/>
                <w:sz w:val="19"/>
              </w:rPr>
              <w:t>비만과 복부비만은 혈압 상승 및 고혈압 위험과 관련이 있어 포함하였다.</w:t>
            </w:r>
          </w:p>
        </w:tc>
      </w:tr>
      <w:tr>
        <w:tc>
          <w:tcPr>
            <w:tcW w:type="dxa" w:w="4896"/>
            <w:vAlign w:val="center"/>
          </w:tcPr>
          <w:p>
            <w:r>
              <w:rPr>
                <w:rFonts w:ascii="Malgun Gothic" w:hAnsi="Malgun Gothic"/>
                <w:b w:val="0"/>
                <w:sz w:val="19"/>
              </w:rPr>
              <w:t>Glucose / HbA1c</w:t>
            </w:r>
          </w:p>
        </w:tc>
        <w:tc>
          <w:tcPr>
            <w:tcW w:type="dxa" w:w="4896"/>
            <w:vAlign w:val="center"/>
          </w:tcPr>
          <w:p>
            <w:r>
              <w:rPr>
                <w:rFonts w:ascii="Malgun Gothic" w:hAnsi="Malgun Gothic"/>
                <w:b w:val="0"/>
                <w:sz w:val="19"/>
              </w:rPr>
              <w:t>혈당 및 당대사 이상은 고혈압 위험과 함께 나타나는 경우가 있어 포함하였다.</w:t>
            </w:r>
          </w:p>
        </w:tc>
      </w:tr>
      <w:tr>
        <w:tc>
          <w:tcPr>
            <w:tcW w:type="dxa" w:w="4896"/>
            <w:vAlign w:val="center"/>
          </w:tcPr>
          <w:p>
            <w:r>
              <w:rPr>
                <w:rFonts w:ascii="Malgun Gothic" w:hAnsi="Malgun Gothic"/>
                <w:b w:val="0"/>
                <w:sz w:val="19"/>
              </w:rPr>
              <w:t>TG / Total cholesterol</w:t>
            </w:r>
          </w:p>
        </w:tc>
        <w:tc>
          <w:tcPr>
            <w:tcW w:type="dxa" w:w="4896"/>
            <w:vAlign w:val="center"/>
          </w:tcPr>
          <w:p>
            <w:r>
              <w:rPr>
                <w:rFonts w:ascii="Malgun Gothic" w:hAnsi="Malgun Gothic"/>
                <w:b w:val="0"/>
                <w:sz w:val="19"/>
              </w:rPr>
              <w:t>이상지질혈증 관련 지표는 심혈관 위험과 관련되어 포함하였다.</w:t>
            </w:r>
          </w:p>
        </w:tc>
      </w:tr>
      <w:tr>
        <w:tc>
          <w:tcPr>
            <w:tcW w:type="dxa" w:w="4896"/>
            <w:vAlign w:val="center"/>
          </w:tcPr>
          <w:p>
            <w:r>
              <w:rPr>
                <w:rFonts w:ascii="Malgun Gothic" w:hAnsi="Malgun Gothic"/>
                <w:b w:val="0"/>
                <w:sz w:val="19"/>
              </w:rPr>
              <w:t>Smoking / Drinking / Physical activity / Stress</w:t>
            </w:r>
          </w:p>
        </w:tc>
        <w:tc>
          <w:tcPr>
            <w:tcW w:type="dxa" w:w="4896"/>
            <w:vAlign w:val="center"/>
          </w:tcPr>
          <w:p>
            <w:r>
              <w:rPr>
                <w:rFonts w:ascii="Malgun Gothic" w:hAnsi="Malgun Gothic"/>
                <w:b w:val="0"/>
                <w:sz w:val="19"/>
              </w:rPr>
              <w:t>생활습관과 스트레스는 고혈압 위험요인으로 알려져 있어 포함하였다.</w:t>
            </w:r>
          </w:p>
        </w:tc>
      </w:tr>
      <w:tr>
        <w:tc>
          <w:tcPr>
            <w:tcW w:type="dxa" w:w="4896"/>
            <w:vAlign w:val="center"/>
          </w:tcPr>
          <w:p>
            <w:r>
              <w:rPr>
                <w:rFonts w:ascii="Malgun Gothic" w:hAnsi="Malgun Gothic"/>
                <w:b w:val="0"/>
                <w:sz w:val="19"/>
              </w:rPr>
              <w:t>Family history</w:t>
            </w:r>
          </w:p>
        </w:tc>
        <w:tc>
          <w:tcPr>
            <w:tcW w:type="dxa" w:w="4896"/>
            <w:vAlign w:val="center"/>
          </w:tcPr>
          <w:p>
            <w:r>
              <w:rPr>
                <w:rFonts w:ascii="Malgun Gothic" w:hAnsi="Malgun Gothic"/>
                <w:b w:val="0"/>
                <w:sz w:val="19"/>
              </w:rPr>
              <w:t>고혈압 가족력은 개인의 고혈압 위험을 설명하는 데 도움이 되어 포함하였다.</w:t>
            </w:r>
          </w:p>
        </w:tc>
      </w:tr>
    </w:tbl>
    <w:p/>
    <w:p>
      <w:pPr>
        <w:pStyle w:val="Heading1"/>
      </w:pPr>
      <w:r>
        <w:rPr>
          <w:rFonts w:ascii="Malgun Gothic" w:hAnsi="Malgun Gothic"/>
          <w:b/>
          <w:sz w:val="28"/>
        </w:rPr>
        <w:t>2. 데이터 수집 및 연구대상자 선정</w:t>
      </w:r>
    </w:p>
    <w:p>
      <w:r>
        <w:rPr>
          <w:rFonts w:ascii="Malgun Gothic" w:hAnsi="Malgun Gothic"/>
          <w:b w:val="0"/>
          <w:sz w:val="21"/>
        </w:rPr>
        <w:t>자료는 국민건강영양조사(KNHANES) 2017-2023년 원자료를 사용하였다. 각 연도 SPSS 파일에서 필요한 변수를 선택한 뒤 하나의 데이터프레임으로 병합하였다.</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rFonts w:ascii="Malgun Gothic" w:hAnsi="Malgun Gothic"/>
                <w:b/>
                <w:sz w:val="19"/>
              </w:rPr>
              <w:t>항목</w:t>
            </w:r>
          </w:p>
        </w:tc>
        <w:tc>
          <w:tcPr>
            <w:tcW w:type="dxa" w:w="4896"/>
            <w:vAlign w:val="center"/>
          </w:tcPr>
          <w:p>
            <w:r>
              <w:rPr>
                <w:rFonts w:ascii="Malgun Gothic" w:hAnsi="Malgun Gothic"/>
                <w:b/>
                <w:sz w:val="19"/>
              </w:rPr>
              <w:t>내용</w:t>
            </w:r>
          </w:p>
        </w:tc>
      </w:tr>
      <w:tr>
        <w:tc>
          <w:tcPr>
            <w:tcW w:type="dxa" w:w="4896"/>
            <w:vAlign w:val="center"/>
          </w:tcPr>
          <w:p>
            <w:r>
              <w:rPr>
                <w:rFonts w:ascii="Malgun Gothic" w:hAnsi="Malgun Gothic"/>
                <w:b w:val="0"/>
                <w:sz w:val="19"/>
              </w:rPr>
              <w:t>자료 출처</w:t>
            </w:r>
          </w:p>
        </w:tc>
        <w:tc>
          <w:tcPr>
            <w:tcW w:type="dxa" w:w="4896"/>
            <w:vAlign w:val="center"/>
          </w:tcPr>
          <w:p>
            <w:r>
              <w:rPr>
                <w:rFonts w:ascii="Malgun Gothic" w:hAnsi="Malgun Gothic"/>
                <w:b w:val="0"/>
                <w:sz w:val="19"/>
              </w:rPr>
              <w:t>KNHANES 2017-2023</w:t>
            </w:r>
          </w:p>
        </w:tc>
      </w:tr>
      <w:tr>
        <w:tc>
          <w:tcPr>
            <w:tcW w:type="dxa" w:w="4896"/>
            <w:vAlign w:val="center"/>
          </w:tcPr>
          <w:p>
            <w:r>
              <w:rPr>
                <w:rFonts w:ascii="Malgun Gothic" w:hAnsi="Malgun Gothic"/>
                <w:b w:val="0"/>
                <w:sz w:val="19"/>
              </w:rPr>
              <w:t>연구대상</w:t>
            </w:r>
          </w:p>
        </w:tc>
        <w:tc>
          <w:tcPr>
            <w:tcW w:type="dxa" w:w="4896"/>
            <w:vAlign w:val="center"/>
          </w:tcPr>
          <w:p>
            <w:r>
              <w:rPr>
                <w:rFonts w:ascii="Malgun Gothic" w:hAnsi="Malgun Gothic"/>
                <w:b w:val="0"/>
                <w:sz w:val="19"/>
              </w:rPr>
              <w:t>19-39세 젊은 성인</w:t>
            </w:r>
          </w:p>
        </w:tc>
      </w:tr>
      <w:tr>
        <w:tc>
          <w:tcPr>
            <w:tcW w:type="dxa" w:w="4896"/>
            <w:vAlign w:val="center"/>
          </w:tcPr>
          <w:p>
            <w:r>
              <w:rPr>
                <w:rFonts w:ascii="Malgun Gothic" w:hAnsi="Malgun Gothic"/>
                <w:b w:val="0"/>
                <w:sz w:val="19"/>
              </w:rPr>
              <w:t>제외 기준</w:t>
            </w:r>
          </w:p>
        </w:tc>
        <w:tc>
          <w:tcPr>
            <w:tcW w:type="dxa" w:w="4896"/>
            <w:vAlign w:val="center"/>
          </w:tcPr>
          <w:p>
            <w:r>
              <w:rPr>
                <w:rFonts w:ascii="Malgun Gothic" w:hAnsi="Malgun Gothic"/>
                <w:b w:val="0"/>
                <w:sz w:val="19"/>
              </w:rPr>
              <w:t>SBP 또는 DBP 결측 대상자 제외</w:t>
            </w:r>
          </w:p>
        </w:tc>
      </w:tr>
      <w:tr>
        <w:tc>
          <w:tcPr>
            <w:tcW w:type="dxa" w:w="4896"/>
            <w:vAlign w:val="center"/>
          </w:tcPr>
          <w:p>
            <w:r>
              <w:rPr>
                <w:rFonts w:ascii="Malgun Gothic" w:hAnsi="Malgun Gothic"/>
                <w:b w:val="0"/>
                <w:sz w:val="19"/>
              </w:rPr>
              <w:t>최종 분석 대상자 수</w:t>
            </w:r>
          </w:p>
        </w:tc>
        <w:tc>
          <w:tcPr>
            <w:tcW w:type="dxa" w:w="4896"/>
            <w:vAlign w:val="center"/>
          </w:tcPr>
          <w:p>
            <w:r>
              <w:rPr>
                <w:rFonts w:ascii="Malgun Gothic" w:hAnsi="Malgun Gothic"/>
                <w:b w:val="0"/>
                <w:sz w:val="19"/>
              </w:rPr>
              <w:t>10,319명</w:t>
            </w:r>
          </w:p>
        </w:tc>
      </w:tr>
      <w:tr>
        <w:tc>
          <w:tcPr>
            <w:tcW w:type="dxa" w:w="4896"/>
            <w:vAlign w:val="center"/>
          </w:tcPr>
          <w:p>
            <w:r>
              <w:rPr>
                <w:rFonts w:ascii="Malgun Gothic" w:hAnsi="Malgun Gothic"/>
                <w:b w:val="0"/>
                <w:sz w:val="19"/>
              </w:rPr>
              <w:t>Target 정의</w:t>
            </w:r>
          </w:p>
        </w:tc>
        <w:tc>
          <w:tcPr>
            <w:tcW w:type="dxa" w:w="4896"/>
            <w:vAlign w:val="center"/>
          </w:tcPr>
          <w:p>
            <w:r>
              <w:rPr>
                <w:rFonts w:ascii="Malgun Gothic" w:hAnsi="Malgun Gothic"/>
                <w:b w:val="0"/>
                <w:sz w:val="19"/>
              </w:rPr>
              <w:t>SBP &gt;= 130 또는 DBP &gt;= 80</w:t>
            </w:r>
          </w:p>
        </w:tc>
      </w:tr>
      <w:tr>
        <w:tc>
          <w:tcPr>
            <w:tcW w:type="dxa" w:w="4896"/>
            <w:vAlign w:val="center"/>
          </w:tcPr>
          <w:p>
            <w:r>
              <w:rPr>
                <w:rFonts w:ascii="Malgun Gothic" w:hAnsi="Malgun Gothic"/>
                <w:b w:val="0"/>
                <w:sz w:val="19"/>
              </w:rPr>
              <w:t>비고혈압군</w:t>
            </w:r>
          </w:p>
        </w:tc>
        <w:tc>
          <w:tcPr>
            <w:tcW w:type="dxa" w:w="4896"/>
            <w:vAlign w:val="center"/>
          </w:tcPr>
          <w:p>
            <w:r>
              <w:rPr>
                <w:rFonts w:ascii="Malgun Gothic" w:hAnsi="Malgun Gothic"/>
                <w:b w:val="0"/>
                <w:sz w:val="19"/>
              </w:rPr>
              <w:t>7,947명</w:t>
            </w:r>
          </w:p>
        </w:tc>
      </w:tr>
      <w:tr>
        <w:tc>
          <w:tcPr>
            <w:tcW w:type="dxa" w:w="4896"/>
            <w:vAlign w:val="center"/>
          </w:tcPr>
          <w:p>
            <w:r>
              <w:rPr>
                <w:rFonts w:ascii="Malgun Gothic" w:hAnsi="Malgun Gothic"/>
                <w:b w:val="0"/>
                <w:sz w:val="19"/>
              </w:rPr>
              <w:t>고혈압군</w:t>
            </w:r>
          </w:p>
        </w:tc>
        <w:tc>
          <w:tcPr>
            <w:tcW w:type="dxa" w:w="4896"/>
            <w:vAlign w:val="center"/>
          </w:tcPr>
          <w:p>
            <w:r>
              <w:rPr>
                <w:rFonts w:ascii="Malgun Gothic" w:hAnsi="Malgun Gothic"/>
                <w:b w:val="0"/>
                <w:sz w:val="19"/>
              </w:rPr>
              <w:t>2,372명 (23.0%)</w:t>
            </w:r>
          </w:p>
        </w:tc>
      </w:tr>
    </w:tbl>
    <w:p/>
    <w:p>
      <w:pPr>
        <w:pStyle w:val="Heading1"/>
      </w:pPr>
      <w:r>
        <w:rPr>
          <w:rFonts w:ascii="Malgun Gothic" w:hAnsi="Malgun Gothic"/>
          <w:b/>
          <w:sz w:val="28"/>
        </w:rPr>
        <w:t>3. EDA</w:t>
      </w:r>
    </w:p>
    <w:p>
      <w:r>
        <w:rPr>
          <w:rFonts w:ascii="Malgun Gothic" w:hAnsi="Malgun Gothic"/>
          <w:b w:val="0"/>
          <w:sz w:val="21"/>
        </w:rPr>
        <w:t>EDA에서는 연도별 대상자 수, covid_period별 분포, target distribution, 주요 수치형 변수의 histogram/boxplot, 결측치 분포, 이상치 분포, 상관분석을 확인하였다.</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r>
              <w:rPr>
                <w:rFonts w:ascii="Malgun Gothic" w:hAnsi="Malgun Gothic"/>
                <w:b/>
                <w:sz w:val="19"/>
              </w:rPr>
              <w:t>covid_period</w:t>
            </w:r>
          </w:p>
        </w:tc>
        <w:tc>
          <w:tcPr>
            <w:tcW w:type="dxa" w:w="3264"/>
            <w:vAlign w:val="center"/>
          </w:tcPr>
          <w:p>
            <w:r>
              <w:rPr>
                <w:rFonts w:ascii="Malgun Gothic" w:hAnsi="Malgun Gothic"/>
                <w:b/>
                <w:sz w:val="19"/>
              </w:rPr>
              <w:t>대상자 수</w:t>
            </w:r>
          </w:p>
        </w:tc>
        <w:tc>
          <w:tcPr>
            <w:tcW w:type="dxa" w:w="3264"/>
            <w:vAlign w:val="center"/>
          </w:tcPr>
          <w:p>
            <w:r>
              <w:rPr>
                <w:rFonts w:ascii="Malgun Gothic" w:hAnsi="Malgun Gothic"/>
                <w:b/>
                <w:sz w:val="19"/>
              </w:rPr>
              <w:t>고혈압 비율</w:t>
            </w:r>
          </w:p>
        </w:tc>
      </w:tr>
      <w:tr>
        <w:tc>
          <w:tcPr>
            <w:tcW w:type="dxa" w:w="3264"/>
            <w:vAlign w:val="center"/>
          </w:tcPr>
          <w:p>
            <w:r>
              <w:rPr>
                <w:rFonts w:ascii="Malgun Gothic" w:hAnsi="Malgun Gothic"/>
                <w:b w:val="0"/>
                <w:sz w:val="19"/>
              </w:rPr>
              <w:t>before (2017-2019)</w:t>
            </w:r>
          </w:p>
        </w:tc>
        <w:tc>
          <w:tcPr>
            <w:tcW w:type="dxa" w:w="3264"/>
            <w:vAlign w:val="center"/>
          </w:tcPr>
          <w:p>
            <w:r>
              <w:rPr>
                <w:rFonts w:ascii="Malgun Gothic" w:hAnsi="Malgun Gothic"/>
                <w:b w:val="0"/>
                <w:sz w:val="19"/>
              </w:rPr>
              <w:t>4978</w:t>
            </w:r>
          </w:p>
        </w:tc>
        <w:tc>
          <w:tcPr>
            <w:tcW w:type="dxa" w:w="3264"/>
            <w:vAlign w:val="center"/>
          </w:tcPr>
          <w:p>
            <w:r>
              <w:rPr>
                <w:rFonts w:ascii="Malgun Gothic" w:hAnsi="Malgun Gothic"/>
                <w:b w:val="0"/>
                <w:sz w:val="19"/>
              </w:rPr>
              <w:t>26.4%</w:t>
            </w:r>
          </w:p>
        </w:tc>
      </w:tr>
      <w:tr>
        <w:tc>
          <w:tcPr>
            <w:tcW w:type="dxa" w:w="3264"/>
            <w:vAlign w:val="center"/>
          </w:tcPr>
          <w:p>
            <w:r>
              <w:rPr>
                <w:rFonts w:ascii="Malgun Gothic" w:hAnsi="Malgun Gothic"/>
                <w:b w:val="0"/>
                <w:sz w:val="19"/>
              </w:rPr>
              <w:t>during (2020-2021)</w:t>
            </w:r>
          </w:p>
        </w:tc>
        <w:tc>
          <w:tcPr>
            <w:tcW w:type="dxa" w:w="3264"/>
            <w:vAlign w:val="center"/>
          </w:tcPr>
          <w:p>
            <w:r>
              <w:rPr>
                <w:rFonts w:ascii="Malgun Gothic" w:hAnsi="Malgun Gothic"/>
                <w:b w:val="0"/>
                <w:sz w:val="19"/>
              </w:rPr>
              <w:t>2832</w:t>
            </w:r>
          </w:p>
        </w:tc>
        <w:tc>
          <w:tcPr>
            <w:tcW w:type="dxa" w:w="3264"/>
            <w:vAlign w:val="center"/>
          </w:tcPr>
          <w:p>
            <w:r>
              <w:rPr>
                <w:rFonts w:ascii="Malgun Gothic" w:hAnsi="Malgun Gothic"/>
                <w:b w:val="0"/>
                <w:sz w:val="19"/>
              </w:rPr>
              <w:t>24.0%</w:t>
            </w:r>
          </w:p>
        </w:tc>
      </w:tr>
      <w:tr>
        <w:tc>
          <w:tcPr>
            <w:tcW w:type="dxa" w:w="3264"/>
            <w:vAlign w:val="center"/>
          </w:tcPr>
          <w:p>
            <w:r>
              <w:rPr>
                <w:rFonts w:ascii="Malgun Gothic" w:hAnsi="Malgun Gothic"/>
                <w:b w:val="0"/>
                <w:sz w:val="19"/>
              </w:rPr>
              <w:t>after (2022-2023)</w:t>
            </w:r>
          </w:p>
        </w:tc>
        <w:tc>
          <w:tcPr>
            <w:tcW w:type="dxa" w:w="3264"/>
            <w:vAlign w:val="center"/>
          </w:tcPr>
          <w:p>
            <w:r>
              <w:rPr>
                <w:rFonts w:ascii="Malgun Gothic" w:hAnsi="Malgun Gothic"/>
                <w:b w:val="0"/>
                <w:sz w:val="19"/>
              </w:rPr>
              <w:t>2509</w:t>
            </w:r>
          </w:p>
        </w:tc>
        <w:tc>
          <w:tcPr>
            <w:tcW w:type="dxa" w:w="3264"/>
            <w:vAlign w:val="center"/>
          </w:tcPr>
          <w:p>
            <w:r>
              <w:rPr>
                <w:rFonts w:ascii="Malgun Gothic" w:hAnsi="Malgun Gothic"/>
                <w:b w:val="0"/>
                <w:sz w:val="19"/>
              </w:rPr>
              <w:t>15.1%</w:t>
            </w:r>
          </w:p>
        </w:tc>
      </w:tr>
    </w:tbl>
    <w:p/>
    <w:p>
      <w:r>
        <w:rPr>
          <w:rFonts w:ascii="Malgun Gothic" w:hAnsi="Malgun Gothic"/>
          <w:b w:val="0"/>
          <w:sz w:val="21"/>
        </w:rPr>
        <w:t>단순 시기별 비교에서 after period의 고혈압 비율이 낮게 보였지만, 이는 COVID의 인과효과로 해석하지 않는다. 교수님 피드백에 따라 조사 시기와 혈압 측정 장비 변화가 서로 분리되기 어려운 문제로 제한해서 해석하였다.</w:t>
      </w:r>
    </w:p>
    <w:p>
      <w:r>
        <w:rPr>
          <w:rFonts w:ascii="Malgun Gothic" w:hAnsi="Malgun Gothic"/>
          <w:b w:val="0"/>
          <w:sz w:val="21"/>
        </w:rPr>
        <w:t>상관분석에서는 BMI, 허리둘레, 혈당, HbA1c, 중성지방, 총콜레스테롤 등 주요 건강검진 변수와 고혈압 target의 관계를 확인하였다. 상관관계는 인과관계를 의미하지 않으며, 모델 feature 타당성을 검토하는 참고 자료로 사용하였다.</w:t>
      </w:r>
    </w:p>
    <w:p>
      <w:pPr>
        <w:pStyle w:val="Heading1"/>
      </w:pPr>
      <w:r>
        <w:rPr>
          <w:rFonts w:ascii="Malgun Gothic" w:hAnsi="Malgun Gothic"/>
          <w:b/>
          <w:sz w:val="28"/>
        </w:rPr>
        <w:t>4. 전처리</w:t>
      </w:r>
    </w:p>
    <w:p>
      <w:r>
        <w:rPr>
          <w:rFonts w:ascii="Malgun Gothic" w:hAnsi="Malgun Gothic"/>
          <w:b w:val="0"/>
          <w:sz w:val="21"/>
        </w:rPr>
        <w:t>결측률 30% 이하 변수는 결측치 대체 후 사용하고, 30% 초과 변수는 주분석에서 제외하였다. LDL은 전체 결측률이 약 68%로 높아 주분석에서 제외하였다. HDL은 결측률은 낮지만 2022년 이후 측정 시기별 변화 가능성이 있어 주분석 모델에서는 제외하고 민감도 분석 수준에서만 검토하였다.</w:t>
      </w:r>
    </w:p>
    <w:p>
      <w:r>
        <w:rPr>
          <w:rFonts w:ascii="Malgun Gothic" w:hAnsi="Malgun Gothic"/>
          <w:b w:val="0"/>
          <w:sz w:val="21"/>
        </w:rPr>
        <w:t>수치형 변수는 중앙값 대체와 RobustScaler를 사용하였다. 범주형 변수는 최빈값 대체와 one-hot encoding을 사용하였다. educ=99, 가족력 변수의 8/9와 같이 정상 범주로 보기 어려운 특수 코드는 결측으로 바꾼 후 처리하였다.</w:t>
      </w:r>
    </w:p>
    <w:p>
      <w:r>
        <w:rPr>
          <w:rFonts w:ascii="Malgun Gothic" w:hAnsi="Malgun Gothic"/>
          <w:b w:val="0"/>
          <w:sz w:val="21"/>
        </w:rPr>
        <w:t>HE_sbp와 HE_dbp는 target 생성에 직접 사용되므로 모델 feature에서는 제외하였다. 이를 통해 target을 만든 변수를 다시 예측에 사용하는 data leakage를 방지하였다.</w:t>
      </w:r>
    </w:p>
    <w:p>
      <w:r>
        <w:rPr>
          <w:rFonts w:ascii="Malgun Gothic" w:hAnsi="Malgun Gothic"/>
          <w:b w:val="0"/>
          <w:sz w:val="21"/>
        </w:rPr>
        <w:t>Class imbalance는 두 단계로 고려하였다. 첫째, 교수님 피드백에 따라 target 기준을 130/80으로 수정하여 양성 class 비율을 약 23%로 높였다. 둘째, PyCaret setup에서 SMOTE를 적용하고, 최종 Logistic Regression pipeline에서는 class_weight='balanced'를 함께 사용하였다.</w:t>
      </w:r>
    </w:p>
    <w:p>
      <w:pPr>
        <w:pStyle w:val="Heading1"/>
      </w:pPr>
      <w:r>
        <w:rPr>
          <w:rFonts w:ascii="Malgun Gothic" w:hAnsi="Malgun Gothic"/>
          <w:b/>
          <w:sz w:val="28"/>
        </w:rPr>
        <w:t>5. 측정 방식 변화 및 민감도 분석</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tcPr>
          <w:p>
            <w:r>
              <w:rPr>
                <w:rFonts w:ascii="Malgun Gothic" w:hAnsi="Malgun Gothic"/>
                <w:b/>
                <w:sz w:val="19"/>
              </w:rPr>
              <w:t>분석</w:t>
            </w:r>
          </w:p>
        </w:tc>
        <w:tc>
          <w:tcPr>
            <w:tcW w:type="dxa" w:w="1958"/>
            <w:vAlign w:val="center"/>
          </w:tcPr>
          <w:p>
            <w:r>
              <w:rPr>
                <w:rFonts w:ascii="Malgun Gothic" w:hAnsi="Malgun Gothic"/>
                <w:b/>
                <w:sz w:val="19"/>
              </w:rPr>
              <w:t>before</w:t>
            </w:r>
          </w:p>
        </w:tc>
        <w:tc>
          <w:tcPr>
            <w:tcW w:type="dxa" w:w="1958"/>
            <w:vAlign w:val="center"/>
          </w:tcPr>
          <w:p>
            <w:r>
              <w:rPr>
                <w:rFonts w:ascii="Malgun Gothic" w:hAnsi="Malgun Gothic"/>
                <w:b/>
                <w:sz w:val="19"/>
              </w:rPr>
              <w:t>during</w:t>
            </w:r>
          </w:p>
        </w:tc>
        <w:tc>
          <w:tcPr>
            <w:tcW w:type="dxa" w:w="1958"/>
            <w:vAlign w:val="center"/>
          </w:tcPr>
          <w:p>
            <w:r>
              <w:rPr>
                <w:rFonts w:ascii="Malgun Gothic" w:hAnsi="Malgun Gothic"/>
                <w:b/>
                <w:sz w:val="19"/>
              </w:rPr>
              <w:t>after</w:t>
            </w:r>
          </w:p>
        </w:tc>
        <w:tc>
          <w:tcPr>
            <w:tcW w:type="dxa" w:w="1958"/>
            <w:vAlign w:val="center"/>
          </w:tcPr>
          <w:p>
            <w:r>
              <w:rPr>
                <w:rFonts w:ascii="Malgun Gothic" w:hAnsi="Malgun Gothic"/>
                <w:b/>
                <w:sz w:val="19"/>
              </w:rPr>
              <w:t>해석</w:t>
            </w:r>
          </w:p>
        </w:tc>
      </w:tr>
      <w:tr>
        <w:tc>
          <w:tcPr>
            <w:tcW w:type="dxa" w:w="1958"/>
            <w:vAlign w:val="center"/>
          </w:tcPr>
          <w:p>
            <w:r>
              <w:rPr>
                <w:rFonts w:ascii="Malgun Gothic" w:hAnsi="Malgun Gothic"/>
                <w:b w:val="0"/>
                <w:sz w:val="19"/>
              </w:rPr>
              <w:t>원자료 기준</w:t>
            </w:r>
          </w:p>
        </w:tc>
        <w:tc>
          <w:tcPr>
            <w:tcW w:type="dxa" w:w="1958"/>
            <w:vAlign w:val="center"/>
          </w:tcPr>
          <w:p>
            <w:r>
              <w:rPr>
                <w:rFonts w:ascii="Malgun Gothic" w:hAnsi="Malgun Gothic"/>
                <w:b w:val="0"/>
                <w:sz w:val="19"/>
              </w:rPr>
              <w:t>26.4%</w:t>
            </w:r>
          </w:p>
        </w:tc>
        <w:tc>
          <w:tcPr>
            <w:tcW w:type="dxa" w:w="1958"/>
            <w:vAlign w:val="center"/>
          </w:tcPr>
          <w:p>
            <w:r>
              <w:rPr>
                <w:rFonts w:ascii="Malgun Gothic" w:hAnsi="Malgun Gothic"/>
                <w:b w:val="0"/>
                <w:sz w:val="19"/>
              </w:rPr>
              <w:t>24.0%</w:t>
            </w:r>
          </w:p>
        </w:tc>
        <w:tc>
          <w:tcPr>
            <w:tcW w:type="dxa" w:w="1958"/>
            <w:vAlign w:val="center"/>
          </w:tcPr>
          <w:p>
            <w:r>
              <w:rPr>
                <w:rFonts w:ascii="Malgun Gothic" w:hAnsi="Malgun Gothic"/>
                <w:b w:val="0"/>
                <w:sz w:val="19"/>
              </w:rPr>
              <w:t>15.1%</w:t>
            </w:r>
          </w:p>
        </w:tc>
        <w:tc>
          <w:tcPr>
            <w:tcW w:type="dxa" w:w="1958"/>
            <w:vAlign w:val="center"/>
          </w:tcPr>
          <w:p>
            <w:r>
              <w:rPr>
                <w:rFonts w:ascii="Malgun Gothic" w:hAnsi="Malgun Gothic"/>
                <w:b w:val="0"/>
                <w:sz w:val="19"/>
              </w:rPr>
              <w:t>after period에서 급격한 감소가 보임</w:t>
            </w:r>
          </w:p>
        </w:tc>
      </w:tr>
      <w:tr>
        <w:tc>
          <w:tcPr>
            <w:tcW w:type="dxa" w:w="1958"/>
            <w:vAlign w:val="center"/>
          </w:tcPr>
          <w:p>
            <w:r>
              <w:rPr>
                <w:rFonts w:ascii="Malgun Gothic" w:hAnsi="Malgun Gothic"/>
                <w:b w:val="0"/>
                <w:sz w:val="19"/>
              </w:rPr>
              <w:t>DBP 보정 민감도분석</w:t>
            </w:r>
          </w:p>
        </w:tc>
        <w:tc>
          <w:tcPr>
            <w:tcW w:type="dxa" w:w="1958"/>
            <w:vAlign w:val="center"/>
          </w:tcPr>
          <w:p>
            <w:r>
              <w:rPr>
                <w:rFonts w:ascii="Malgun Gothic" w:hAnsi="Malgun Gothic"/>
                <w:b w:val="0"/>
                <w:sz w:val="19"/>
              </w:rPr>
              <w:t>26.4%</w:t>
            </w:r>
          </w:p>
        </w:tc>
        <w:tc>
          <w:tcPr>
            <w:tcW w:type="dxa" w:w="1958"/>
            <w:vAlign w:val="center"/>
          </w:tcPr>
          <w:p>
            <w:r>
              <w:rPr>
                <w:rFonts w:ascii="Malgun Gothic" w:hAnsi="Malgun Gothic"/>
                <w:b w:val="0"/>
                <w:sz w:val="19"/>
              </w:rPr>
              <w:t>27.4%</w:t>
            </w:r>
          </w:p>
        </w:tc>
        <w:tc>
          <w:tcPr>
            <w:tcW w:type="dxa" w:w="1958"/>
            <w:vAlign w:val="center"/>
          </w:tcPr>
          <w:p>
            <w:r>
              <w:rPr>
                <w:rFonts w:ascii="Malgun Gothic" w:hAnsi="Malgun Gothic"/>
                <w:b w:val="0"/>
                <w:sz w:val="19"/>
              </w:rPr>
              <w:t>23.0%</w:t>
            </w:r>
          </w:p>
        </w:tc>
        <w:tc>
          <w:tcPr>
            <w:tcW w:type="dxa" w:w="1958"/>
            <w:vAlign w:val="center"/>
          </w:tcPr>
          <w:p>
            <w:r>
              <w:rPr>
                <w:rFonts w:ascii="Malgun Gothic" w:hAnsi="Malgun Gothic"/>
                <w:b w:val="0"/>
                <w:sz w:val="19"/>
              </w:rPr>
              <w:t>단순 감소 폭이 줄어듦</w:t>
            </w:r>
          </w:p>
        </w:tc>
      </w:tr>
      <w:tr>
        <w:tc>
          <w:tcPr>
            <w:tcW w:type="dxa" w:w="1958"/>
            <w:vAlign w:val="center"/>
          </w:tcPr>
          <w:p>
            <w:r>
              <w:rPr>
                <w:rFonts w:ascii="Malgun Gothic" w:hAnsi="Malgun Gothic"/>
                <w:b w:val="0"/>
                <w:sz w:val="19"/>
              </w:rPr>
              <w:t>측정 일관 연도 제한분석</w:t>
            </w:r>
          </w:p>
        </w:tc>
        <w:tc>
          <w:tcPr>
            <w:tcW w:type="dxa" w:w="1958"/>
            <w:vAlign w:val="center"/>
          </w:tcPr>
          <w:p>
            <w:r>
              <w:rPr>
                <w:rFonts w:ascii="Malgun Gothic" w:hAnsi="Malgun Gothic"/>
                <w:b w:val="0"/>
                <w:sz w:val="19"/>
              </w:rPr>
              <w:t>2017-2020: 27.3%</w:t>
            </w:r>
          </w:p>
        </w:tc>
        <w:tc>
          <w:tcPr>
            <w:tcW w:type="dxa" w:w="1958"/>
            <w:vAlign w:val="center"/>
          </w:tcPr>
          <w:p>
            <w:r>
              <w:rPr>
                <w:rFonts w:ascii="Malgun Gothic" w:hAnsi="Malgun Gothic"/>
                <w:b w:val="0"/>
                <w:sz w:val="19"/>
              </w:rPr>
              <w:t>-</w:t>
            </w:r>
          </w:p>
        </w:tc>
        <w:tc>
          <w:tcPr>
            <w:tcW w:type="dxa" w:w="1958"/>
            <w:vAlign w:val="center"/>
          </w:tcPr>
          <w:p>
            <w:r>
              <w:rPr>
                <w:rFonts w:ascii="Malgun Gothic" w:hAnsi="Malgun Gothic"/>
                <w:b w:val="0"/>
                <w:sz w:val="19"/>
              </w:rPr>
              <w:t>2022-2023: 15.1%</w:t>
            </w:r>
          </w:p>
        </w:tc>
        <w:tc>
          <w:tcPr>
            <w:tcW w:type="dxa" w:w="1958"/>
            <w:vAlign w:val="center"/>
          </w:tcPr>
          <w:p>
            <w:r>
              <w:rPr>
                <w:rFonts w:ascii="Malgun Gothic" w:hAnsi="Malgun Gothic"/>
                <w:b w:val="0"/>
                <w:sz w:val="19"/>
              </w:rPr>
              <w:t>측정체계 차이를 따로 고려</w:t>
            </w:r>
          </w:p>
        </w:tc>
      </w:tr>
    </w:tbl>
    <w:p/>
    <w:p>
      <w:r>
        <w:rPr>
          <w:rFonts w:ascii="Malgun Gothic" w:hAnsi="Malgun Gothic"/>
          <w:b w:val="0"/>
          <w:sz w:val="21"/>
        </w:rPr>
        <w:t>DBP 보정 결과는 본분석이 아니라 민감도 분석으로 제시하였다. 이 부분은 COVID 전후 변화라기보다 KNHANES 측정체계 변화에 따른 심혈관·대사 변수의 불연속성으로 해석하는 것이 적절하다.</w:t>
      </w:r>
    </w:p>
    <w:p>
      <w:pPr>
        <w:pStyle w:val="Heading1"/>
      </w:pPr>
      <w:r>
        <w:rPr>
          <w:rFonts w:ascii="Malgun Gothic" w:hAnsi="Malgun Gothic"/>
          <w:b/>
          <w:sz w:val="28"/>
        </w:rPr>
        <w:t>6. 모델 Screening</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vAlign w:val="center"/>
          </w:tcPr>
          <w:p>
            <w:r>
              <w:rPr>
                <w:rFonts w:ascii="Malgun Gothic" w:hAnsi="Malgun Gothic"/>
                <w:b/>
                <w:sz w:val="19"/>
              </w:rPr>
              <w:t>모델</w:t>
            </w:r>
          </w:p>
        </w:tc>
        <w:tc>
          <w:tcPr>
            <w:tcW w:type="dxa" w:w="1632"/>
            <w:vAlign w:val="center"/>
          </w:tcPr>
          <w:p>
            <w:r>
              <w:rPr>
                <w:rFonts w:ascii="Malgun Gothic" w:hAnsi="Malgun Gothic"/>
                <w:b/>
                <w:sz w:val="19"/>
              </w:rPr>
              <w:t>Accuracy</w:t>
            </w:r>
          </w:p>
        </w:tc>
        <w:tc>
          <w:tcPr>
            <w:tcW w:type="dxa" w:w="1632"/>
            <w:vAlign w:val="center"/>
          </w:tcPr>
          <w:p>
            <w:r>
              <w:rPr>
                <w:rFonts w:ascii="Malgun Gothic" w:hAnsi="Malgun Gothic"/>
                <w:b/>
                <w:sz w:val="19"/>
              </w:rPr>
              <w:t>AUC</w:t>
            </w:r>
          </w:p>
        </w:tc>
        <w:tc>
          <w:tcPr>
            <w:tcW w:type="dxa" w:w="1632"/>
            <w:vAlign w:val="center"/>
          </w:tcPr>
          <w:p>
            <w:r>
              <w:rPr>
                <w:rFonts w:ascii="Malgun Gothic" w:hAnsi="Malgun Gothic"/>
                <w:b/>
                <w:sz w:val="19"/>
              </w:rPr>
              <w:t>Recall</w:t>
            </w:r>
          </w:p>
        </w:tc>
        <w:tc>
          <w:tcPr>
            <w:tcW w:type="dxa" w:w="1632"/>
            <w:vAlign w:val="center"/>
          </w:tcPr>
          <w:p>
            <w:r>
              <w:rPr>
                <w:rFonts w:ascii="Malgun Gothic" w:hAnsi="Malgun Gothic"/>
                <w:b/>
                <w:sz w:val="19"/>
              </w:rPr>
              <w:t>Precision</w:t>
            </w:r>
          </w:p>
        </w:tc>
        <w:tc>
          <w:tcPr>
            <w:tcW w:type="dxa" w:w="1632"/>
            <w:vAlign w:val="center"/>
          </w:tcPr>
          <w:p>
            <w:r>
              <w:rPr>
                <w:rFonts w:ascii="Malgun Gothic" w:hAnsi="Malgun Gothic"/>
                <w:b/>
                <w:sz w:val="19"/>
              </w:rPr>
              <w:t>F1</w:t>
            </w:r>
          </w:p>
        </w:tc>
      </w:tr>
      <w:tr>
        <w:tc>
          <w:tcPr>
            <w:tcW w:type="dxa" w:w="1632"/>
          </w:tcPr>
          <w:p>
            <w:r>
              <w:rPr>
                <w:rFonts w:ascii="Malgun Gothic" w:hAnsi="Malgun Gothic"/>
                <w:b w:val="0"/>
                <w:sz w:val="19"/>
              </w:rPr>
              <w:t>Logistic Regression</w:t>
            </w:r>
          </w:p>
        </w:tc>
        <w:tc>
          <w:tcPr>
            <w:tcW w:type="dxa" w:w="1632"/>
          </w:tcPr>
          <w:p>
            <w:r>
              <w:rPr>
                <w:rFonts w:ascii="Malgun Gothic" w:hAnsi="Malgun Gothic"/>
                <w:b w:val="0"/>
                <w:sz w:val="19"/>
              </w:rPr>
              <w:t>0.7146</w:t>
            </w:r>
          </w:p>
        </w:tc>
        <w:tc>
          <w:tcPr>
            <w:tcW w:type="dxa" w:w="1632"/>
          </w:tcPr>
          <w:p>
            <w:r>
              <w:rPr>
                <w:rFonts w:ascii="Malgun Gothic" w:hAnsi="Malgun Gothic"/>
                <w:b w:val="0"/>
                <w:sz w:val="19"/>
              </w:rPr>
              <w:t>0.7855</w:t>
            </w:r>
          </w:p>
        </w:tc>
        <w:tc>
          <w:tcPr>
            <w:tcW w:type="dxa" w:w="1632"/>
          </w:tcPr>
          <w:p>
            <w:r>
              <w:rPr>
                <w:rFonts w:ascii="Malgun Gothic" w:hAnsi="Malgun Gothic"/>
                <w:b w:val="0"/>
                <w:sz w:val="19"/>
              </w:rPr>
              <w:t>0.7160</w:t>
            </w:r>
          </w:p>
        </w:tc>
        <w:tc>
          <w:tcPr>
            <w:tcW w:type="dxa" w:w="1632"/>
          </w:tcPr>
          <w:p>
            <w:r>
              <w:rPr>
                <w:rFonts w:ascii="Malgun Gothic" w:hAnsi="Malgun Gothic"/>
                <w:b w:val="0"/>
                <w:sz w:val="19"/>
              </w:rPr>
              <w:t>0.4278</w:t>
            </w:r>
          </w:p>
        </w:tc>
        <w:tc>
          <w:tcPr>
            <w:tcW w:type="dxa" w:w="1632"/>
          </w:tcPr>
          <w:p>
            <w:r>
              <w:rPr>
                <w:rFonts w:ascii="Malgun Gothic" w:hAnsi="Malgun Gothic"/>
                <w:b w:val="0"/>
                <w:sz w:val="19"/>
              </w:rPr>
              <w:t>0.5354</w:t>
            </w:r>
          </w:p>
        </w:tc>
      </w:tr>
      <w:tr>
        <w:tc>
          <w:tcPr>
            <w:tcW w:type="dxa" w:w="1632"/>
          </w:tcPr>
          <w:p>
            <w:r>
              <w:rPr>
                <w:rFonts w:ascii="Malgun Gothic" w:hAnsi="Malgun Gothic"/>
                <w:b w:val="0"/>
                <w:sz w:val="19"/>
              </w:rPr>
              <w:t>CatBoost Classifier</w:t>
            </w:r>
          </w:p>
        </w:tc>
        <w:tc>
          <w:tcPr>
            <w:tcW w:type="dxa" w:w="1632"/>
          </w:tcPr>
          <w:p>
            <w:r>
              <w:rPr>
                <w:rFonts w:ascii="Malgun Gothic" w:hAnsi="Malgun Gothic"/>
                <w:b w:val="0"/>
                <w:sz w:val="19"/>
              </w:rPr>
              <w:t>0.7921</w:t>
            </w:r>
          </w:p>
        </w:tc>
        <w:tc>
          <w:tcPr>
            <w:tcW w:type="dxa" w:w="1632"/>
          </w:tcPr>
          <w:p>
            <w:r>
              <w:rPr>
                <w:rFonts w:ascii="Malgun Gothic" w:hAnsi="Malgun Gothic"/>
                <w:b w:val="0"/>
                <w:sz w:val="19"/>
              </w:rPr>
              <w:t>0.7772</w:t>
            </w:r>
          </w:p>
        </w:tc>
        <w:tc>
          <w:tcPr>
            <w:tcW w:type="dxa" w:w="1632"/>
          </w:tcPr>
          <w:p>
            <w:r>
              <w:rPr>
                <w:rFonts w:ascii="Malgun Gothic" w:hAnsi="Malgun Gothic"/>
                <w:b w:val="0"/>
                <w:sz w:val="19"/>
              </w:rPr>
              <w:t>0.3483</w:t>
            </w:r>
          </w:p>
        </w:tc>
        <w:tc>
          <w:tcPr>
            <w:tcW w:type="dxa" w:w="1632"/>
          </w:tcPr>
          <w:p>
            <w:r>
              <w:rPr>
                <w:rFonts w:ascii="Malgun Gothic" w:hAnsi="Malgun Gothic"/>
                <w:b w:val="0"/>
                <w:sz w:val="19"/>
              </w:rPr>
              <w:t>0.5807</w:t>
            </w:r>
          </w:p>
        </w:tc>
        <w:tc>
          <w:tcPr>
            <w:tcW w:type="dxa" w:w="1632"/>
          </w:tcPr>
          <w:p>
            <w:r>
              <w:rPr>
                <w:rFonts w:ascii="Malgun Gothic" w:hAnsi="Malgun Gothic"/>
                <w:b w:val="0"/>
                <w:sz w:val="19"/>
              </w:rPr>
              <w:t>0.4350</w:t>
            </w:r>
          </w:p>
        </w:tc>
      </w:tr>
      <w:tr>
        <w:tc>
          <w:tcPr>
            <w:tcW w:type="dxa" w:w="1632"/>
          </w:tcPr>
          <w:p>
            <w:r>
              <w:rPr>
                <w:rFonts w:ascii="Malgun Gothic" w:hAnsi="Malgun Gothic"/>
                <w:b w:val="0"/>
                <w:sz w:val="19"/>
              </w:rPr>
              <w:t>Light Gradient Boosting Machine</w:t>
            </w:r>
          </w:p>
        </w:tc>
        <w:tc>
          <w:tcPr>
            <w:tcW w:type="dxa" w:w="1632"/>
          </w:tcPr>
          <w:p>
            <w:r>
              <w:rPr>
                <w:rFonts w:ascii="Malgun Gothic" w:hAnsi="Malgun Gothic"/>
                <w:b w:val="0"/>
                <w:sz w:val="19"/>
              </w:rPr>
              <w:t>0.7958</w:t>
            </w:r>
          </w:p>
        </w:tc>
        <w:tc>
          <w:tcPr>
            <w:tcW w:type="dxa" w:w="1632"/>
          </w:tcPr>
          <w:p>
            <w:r>
              <w:rPr>
                <w:rFonts w:ascii="Malgun Gothic" w:hAnsi="Malgun Gothic"/>
                <w:b w:val="0"/>
                <w:sz w:val="19"/>
              </w:rPr>
              <w:t>0.7746</w:t>
            </w:r>
          </w:p>
        </w:tc>
        <w:tc>
          <w:tcPr>
            <w:tcW w:type="dxa" w:w="1632"/>
          </w:tcPr>
          <w:p>
            <w:r>
              <w:rPr>
                <w:rFonts w:ascii="Malgun Gothic" w:hAnsi="Malgun Gothic"/>
                <w:b w:val="0"/>
                <w:sz w:val="19"/>
              </w:rPr>
              <w:t>0.3593</w:t>
            </w:r>
          </w:p>
        </w:tc>
        <w:tc>
          <w:tcPr>
            <w:tcW w:type="dxa" w:w="1632"/>
          </w:tcPr>
          <w:p>
            <w:r>
              <w:rPr>
                <w:rFonts w:ascii="Malgun Gothic" w:hAnsi="Malgun Gothic"/>
                <w:b w:val="0"/>
                <w:sz w:val="19"/>
              </w:rPr>
              <w:t>0.5922</w:t>
            </w:r>
          </w:p>
        </w:tc>
        <w:tc>
          <w:tcPr>
            <w:tcW w:type="dxa" w:w="1632"/>
          </w:tcPr>
          <w:p>
            <w:r>
              <w:rPr>
                <w:rFonts w:ascii="Malgun Gothic" w:hAnsi="Malgun Gothic"/>
                <w:b w:val="0"/>
                <w:sz w:val="19"/>
              </w:rPr>
              <w:t>0.4469</w:t>
            </w:r>
          </w:p>
        </w:tc>
      </w:tr>
      <w:tr>
        <w:tc>
          <w:tcPr>
            <w:tcW w:type="dxa" w:w="1632"/>
          </w:tcPr>
          <w:p>
            <w:r>
              <w:rPr>
                <w:rFonts w:ascii="Malgun Gothic" w:hAnsi="Malgun Gothic"/>
                <w:b w:val="0"/>
                <w:sz w:val="19"/>
              </w:rPr>
              <w:t>Random Forest Classifier</w:t>
            </w:r>
          </w:p>
        </w:tc>
        <w:tc>
          <w:tcPr>
            <w:tcW w:type="dxa" w:w="1632"/>
          </w:tcPr>
          <w:p>
            <w:r>
              <w:rPr>
                <w:rFonts w:ascii="Malgun Gothic" w:hAnsi="Malgun Gothic"/>
                <w:b w:val="0"/>
                <w:sz w:val="19"/>
              </w:rPr>
              <w:t>0.7906</w:t>
            </w:r>
          </w:p>
        </w:tc>
        <w:tc>
          <w:tcPr>
            <w:tcW w:type="dxa" w:w="1632"/>
          </w:tcPr>
          <w:p>
            <w:r>
              <w:rPr>
                <w:rFonts w:ascii="Malgun Gothic" w:hAnsi="Malgun Gothic"/>
                <w:b w:val="0"/>
                <w:sz w:val="19"/>
              </w:rPr>
              <w:t>0.7740</w:t>
            </w:r>
          </w:p>
        </w:tc>
        <w:tc>
          <w:tcPr>
            <w:tcW w:type="dxa" w:w="1632"/>
          </w:tcPr>
          <w:p>
            <w:r>
              <w:rPr>
                <w:rFonts w:ascii="Malgun Gothic" w:hAnsi="Malgun Gothic"/>
                <w:b w:val="0"/>
                <w:sz w:val="19"/>
              </w:rPr>
              <w:t>0.3393</w:t>
            </w:r>
          </w:p>
        </w:tc>
        <w:tc>
          <w:tcPr>
            <w:tcW w:type="dxa" w:w="1632"/>
          </w:tcPr>
          <w:p>
            <w:r>
              <w:rPr>
                <w:rFonts w:ascii="Malgun Gothic" w:hAnsi="Malgun Gothic"/>
                <w:b w:val="0"/>
                <w:sz w:val="19"/>
              </w:rPr>
              <w:t>0.5750</w:t>
            </w:r>
          </w:p>
        </w:tc>
        <w:tc>
          <w:tcPr>
            <w:tcW w:type="dxa" w:w="1632"/>
          </w:tcPr>
          <w:p>
            <w:r>
              <w:rPr>
                <w:rFonts w:ascii="Malgun Gothic" w:hAnsi="Malgun Gothic"/>
                <w:b w:val="0"/>
                <w:sz w:val="19"/>
              </w:rPr>
              <w:t>0.4266</w:t>
            </w:r>
          </w:p>
        </w:tc>
      </w:tr>
      <w:tr>
        <w:tc>
          <w:tcPr>
            <w:tcW w:type="dxa" w:w="1632"/>
          </w:tcPr>
          <w:p>
            <w:r>
              <w:rPr>
                <w:rFonts w:ascii="Malgun Gothic" w:hAnsi="Malgun Gothic"/>
                <w:b w:val="0"/>
                <w:sz w:val="19"/>
              </w:rPr>
              <w:t>Extreme Gradient Boosting</w:t>
            </w:r>
          </w:p>
        </w:tc>
        <w:tc>
          <w:tcPr>
            <w:tcW w:type="dxa" w:w="1632"/>
          </w:tcPr>
          <w:p>
            <w:r>
              <w:rPr>
                <w:rFonts w:ascii="Malgun Gothic" w:hAnsi="Malgun Gothic"/>
                <w:b w:val="0"/>
                <w:sz w:val="19"/>
              </w:rPr>
              <w:t>0.7845</w:t>
            </w:r>
          </w:p>
        </w:tc>
        <w:tc>
          <w:tcPr>
            <w:tcW w:type="dxa" w:w="1632"/>
          </w:tcPr>
          <w:p>
            <w:r>
              <w:rPr>
                <w:rFonts w:ascii="Malgun Gothic" w:hAnsi="Malgun Gothic"/>
                <w:b w:val="0"/>
                <w:sz w:val="19"/>
              </w:rPr>
              <w:t>0.7497</w:t>
            </w:r>
          </w:p>
        </w:tc>
        <w:tc>
          <w:tcPr>
            <w:tcW w:type="dxa" w:w="1632"/>
          </w:tcPr>
          <w:p>
            <w:r>
              <w:rPr>
                <w:rFonts w:ascii="Malgun Gothic" w:hAnsi="Malgun Gothic"/>
                <w:b w:val="0"/>
                <w:sz w:val="19"/>
              </w:rPr>
              <w:t>0.3588</w:t>
            </w:r>
          </w:p>
        </w:tc>
        <w:tc>
          <w:tcPr>
            <w:tcW w:type="dxa" w:w="1632"/>
          </w:tcPr>
          <w:p>
            <w:r>
              <w:rPr>
                <w:rFonts w:ascii="Malgun Gothic" w:hAnsi="Malgun Gothic"/>
                <w:b w:val="0"/>
                <w:sz w:val="19"/>
              </w:rPr>
              <w:t>0.5473</w:t>
            </w:r>
          </w:p>
        </w:tc>
        <w:tc>
          <w:tcPr>
            <w:tcW w:type="dxa" w:w="1632"/>
          </w:tcPr>
          <w:p>
            <w:r>
              <w:rPr>
                <w:rFonts w:ascii="Malgun Gothic" w:hAnsi="Malgun Gothic"/>
                <w:b w:val="0"/>
                <w:sz w:val="19"/>
              </w:rPr>
              <w:t>0.4330</w:t>
            </w:r>
          </w:p>
        </w:tc>
      </w:tr>
    </w:tbl>
    <w:p/>
    <w:p>
      <w:r>
        <w:rPr>
          <w:rFonts w:ascii="Malgun Gothic" w:hAnsi="Malgun Gothic"/>
          <w:sz w:val="21"/>
        </w:rPr>
        <w:t>PyCaret workflow인 setup() → compare_models() → 상위 모델 선택 → tune_model() → plot_model() → SHAP 해석 순서로 모델링을 진행하였다. Logistic Regression, Random Forest, LightGBM, XGBoost, CatBoost를 비교하였고, AUC 기준 상위 3개 모델은 Logistic Regression, CatBoost, LightGBM이었다.</w:t>
      </w:r>
    </w:p>
    <w:p>
      <w:pPr>
        <w:jc w:val="center"/>
      </w:pPr>
      <w:r>
        <w:drawing>
          <ns2:inline>
            <ns2:extent cx="5303520" cy="3030583"/>
            <ns2:docPr id="1" name="Picture 1"/>
            <ns2:cNvGraphicFramePr>
              <ns3:graphicFrameLocks noChangeAspect="1"/>
            </ns2:cNvGraphicFramePr>
            <ns3:graphic>
              <ns3:graphicData uri="http://schemas.openxmlformats.org/drawingml/2006/picture">
                <ns4:pic>
                  <ns4:nvPicPr>
                    <ns4:cNvPr id="0" name="model_comparison_auc.png"/>
                    <ns4:cNvPicPr/>
                  </ns4:nvPicPr>
                  <ns4:blipFill>
                    <ns3:blip ns5:embed="rId9"/>
                    <ns3:stretch>
                      <ns3:fillRect/>
                    </ns3:stretch>
                  </ns4:blipFill>
                  <ns4:spPr>
                    <ns3:xfrm>
                      <ns3:off x="0" y="0"/>
                      <ns3:ext cx="5303520" cy="3030583"/>
                    </ns3:xfrm>
                    <ns3:prstGeom prst="rect"/>
                  </ns4:spPr>
                </ns4:pic>
              </ns3:graphicData>
            </ns3:graphic>
          </ns2:inline>
        </w:drawing>
      </w:r>
    </w:p>
    <w:p>
      <w:pPr>
        <w:jc w:val="center"/>
      </w:pPr>
      <w:r>
        <w:rPr>
          <w:rFonts w:ascii="Malgun Gothic" w:hAnsi="Malgun Gothic"/>
          <w:b w:val="0"/>
          <w:sz w:val="19"/>
        </w:rPr>
        <w:t>Figure 1. Model comparison by AUC</w:t>
      </w:r>
    </w:p>
    <w:p>
      <w:pPr>
        <w:pStyle w:val="Heading1"/>
      </w:pPr>
      <w:r>
        <w:rPr>
          <w:rFonts w:ascii="Malgun Gothic" w:hAnsi="Malgun Gothic"/>
          <w:b/>
          <w:sz w:val="28"/>
        </w:rPr>
        <w:t>7. 최종 모델 구현</w:t>
      </w:r>
    </w:p>
    <w:p>
      <w:r>
        <w:rPr>
          <w:rFonts w:ascii="Malgun Gothic" w:hAnsi="Malgun Gothic"/>
          <w:b w:val="0"/>
          <w:sz w:val="21"/>
        </w:rPr>
        <w:t>최종 모델은 PyCaret에서 tuning한 Logistic Regression으로 선정하였다. AUC가 가장 높고 recall이 안정적이며 coefficient 기반 해석이 가능하기 때문에 수업 발표에서 설명하기 적절하다고 판단하였다.</w:t>
      </w:r>
    </w:p>
    <w:p>
      <w:r>
        <w:rPr>
          <w:rFonts w:ascii="Malgun Gothic" w:hAnsi="Malgun Gothic"/>
          <w:sz w:val="21"/>
        </w:rPr>
        <w:t>PyCaret setup()에서 결측치 대체, scaling, categorical encoding, class imbalance 처리를 설정하였다. Class imbalance는 SMOTE와 최종 Logistic Regression의 class_weight='balanced'를 함께 사용하였다. Hyperparameter tuning은 tune_model(tuned_best_model, optimize='AUC') 방식으로 수행하였다.</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r>
              <w:rPr>
                <w:rFonts w:ascii="Malgun Gothic" w:hAnsi="Malgun Gothic"/>
                <w:b w:val="0"/>
                <w:sz w:val="19"/>
              </w:rPr>
              <w:t>Actual / Predicted</w:t>
            </w:r>
          </w:p>
        </w:tc>
        <w:tc>
          <w:tcPr>
            <w:tcW w:type="dxa" w:w="3264"/>
            <w:vAlign w:val="center"/>
          </w:tcPr>
          <w:p>
            <w:r>
              <w:rPr>
                <w:rFonts w:ascii="Malgun Gothic" w:hAnsi="Malgun Gothic"/>
                <w:b w:val="0"/>
                <w:sz w:val="19"/>
              </w:rPr>
              <w:t>Predicted 0</w:t>
            </w:r>
          </w:p>
        </w:tc>
        <w:tc>
          <w:tcPr>
            <w:tcW w:type="dxa" w:w="3264"/>
            <w:vAlign w:val="center"/>
          </w:tcPr>
          <w:p>
            <w:r>
              <w:rPr>
                <w:rFonts w:ascii="Malgun Gothic" w:hAnsi="Malgun Gothic"/>
                <w:b w:val="0"/>
                <w:sz w:val="19"/>
              </w:rPr>
              <w:t>Predicted 1</w:t>
            </w:r>
          </w:p>
        </w:tc>
      </w:tr>
      <w:tr>
        <w:tc>
          <w:tcPr>
            <w:tcW w:type="dxa" w:w="3264"/>
            <w:vAlign w:val="center"/>
          </w:tcPr>
          <w:p>
            <w:r>
              <w:rPr>
                <w:rFonts w:ascii="Malgun Gothic" w:hAnsi="Malgun Gothic"/>
                <w:b w:val="0"/>
                <w:sz w:val="19"/>
              </w:rPr>
              <w:t>Actual 0</w:t>
            </w:r>
          </w:p>
        </w:tc>
        <w:tc>
          <w:tcPr>
            <w:tcW w:type="dxa" w:w="3264"/>
            <w:vAlign w:val="center"/>
          </w:tcPr>
          <w:p>
            <w:r>
              <w:rPr>
                <w:rFonts w:ascii="Malgun Gothic" w:hAnsi="Malgun Gothic"/>
                <w:b w:val="0"/>
                <w:sz w:val="19"/>
              </w:rPr>
              <w:t>1133</w:t>
            </w:r>
          </w:p>
        </w:tc>
        <w:tc>
          <w:tcPr>
            <w:tcW w:type="dxa" w:w="3264"/>
            <w:vAlign w:val="center"/>
          </w:tcPr>
          <w:p>
            <w:r>
              <w:rPr>
                <w:rFonts w:ascii="Malgun Gothic" w:hAnsi="Malgun Gothic"/>
                <w:b w:val="0"/>
                <w:sz w:val="19"/>
              </w:rPr>
              <w:t>457</w:t>
            </w:r>
          </w:p>
        </w:tc>
      </w:tr>
      <w:tr>
        <w:tc>
          <w:tcPr>
            <w:tcW w:type="dxa" w:w="3264"/>
            <w:vAlign w:val="center"/>
          </w:tcPr>
          <w:p>
            <w:r>
              <w:rPr>
                <w:rFonts w:ascii="Malgun Gothic" w:hAnsi="Malgun Gothic"/>
                <w:b w:val="0"/>
                <w:sz w:val="19"/>
              </w:rPr>
              <w:t>Actual 1</w:t>
            </w:r>
          </w:p>
        </w:tc>
        <w:tc>
          <w:tcPr>
            <w:tcW w:type="dxa" w:w="3264"/>
            <w:vAlign w:val="center"/>
          </w:tcPr>
          <w:p>
            <w:r>
              <w:rPr>
                <w:rFonts w:ascii="Malgun Gothic" w:hAnsi="Malgun Gothic"/>
                <w:b w:val="0"/>
                <w:sz w:val="19"/>
              </w:rPr>
              <w:t>161</w:t>
            </w:r>
          </w:p>
        </w:tc>
        <w:tc>
          <w:tcPr>
            <w:tcW w:type="dxa" w:w="3264"/>
            <w:vAlign w:val="center"/>
          </w:tcPr>
          <w:p>
            <w:r>
              <w:rPr>
                <w:rFonts w:ascii="Malgun Gothic" w:hAnsi="Malgun Gothic"/>
                <w:b w:val="0"/>
                <w:sz w:val="19"/>
              </w:rPr>
              <w:t>313</w:t>
            </w:r>
          </w:p>
        </w:tc>
      </w:tr>
    </w:tbl>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rFonts w:ascii="Malgun Gothic" w:hAnsi="Malgun Gothic"/>
                <w:b/>
                <w:sz w:val="19"/>
              </w:rPr>
              <w:t>지표</w:t>
            </w:r>
          </w:p>
        </w:tc>
        <w:tc>
          <w:tcPr>
            <w:tcW w:type="dxa" w:w="4896"/>
            <w:vAlign w:val="center"/>
          </w:tcPr>
          <w:p>
            <w:r>
              <w:rPr>
                <w:rFonts w:ascii="Malgun Gothic" w:hAnsi="Malgun Gothic"/>
                <w:b/>
                <w:sz w:val="19"/>
              </w:rPr>
              <w:t>값</w:t>
            </w:r>
          </w:p>
        </w:tc>
      </w:tr>
      <w:tr>
        <w:tc>
          <w:tcPr>
            <w:tcW w:type="dxa" w:w="4896"/>
            <w:vAlign w:val="center"/>
          </w:tcPr>
          <w:p>
            <w:r>
              <w:rPr>
                <w:rFonts w:ascii="Malgun Gothic" w:hAnsi="Malgun Gothic"/>
                <w:b w:val="0"/>
                <w:sz w:val="19"/>
              </w:rPr>
              <w:t>Precision</w:t>
            </w:r>
          </w:p>
        </w:tc>
        <w:tc>
          <w:tcPr>
            <w:tcW w:type="dxa" w:w="4896"/>
            <w:vAlign w:val="center"/>
          </w:tcPr>
          <w:p>
            <w:r>
              <w:rPr>
                <w:rFonts w:ascii="Malgun Gothic" w:hAnsi="Malgun Gothic"/>
                <w:b w:val="0"/>
                <w:sz w:val="19"/>
              </w:rPr>
              <w:t>0.406</w:t>
            </w:r>
          </w:p>
        </w:tc>
      </w:tr>
      <w:tr>
        <w:tc>
          <w:tcPr>
            <w:tcW w:type="dxa" w:w="4896"/>
            <w:vAlign w:val="center"/>
          </w:tcPr>
          <w:p>
            <w:r>
              <w:rPr>
                <w:rFonts w:ascii="Malgun Gothic" w:hAnsi="Malgun Gothic"/>
                <w:b w:val="0"/>
                <w:sz w:val="19"/>
              </w:rPr>
              <w:t>Recall</w:t>
            </w:r>
          </w:p>
        </w:tc>
        <w:tc>
          <w:tcPr>
            <w:tcW w:type="dxa" w:w="4896"/>
            <w:vAlign w:val="center"/>
          </w:tcPr>
          <w:p>
            <w:r>
              <w:rPr>
                <w:rFonts w:ascii="Malgun Gothic" w:hAnsi="Malgun Gothic"/>
                <w:b w:val="0"/>
                <w:sz w:val="19"/>
              </w:rPr>
              <w:t>0.660</w:t>
            </w:r>
          </w:p>
        </w:tc>
      </w:tr>
      <w:tr>
        <w:tc>
          <w:tcPr>
            <w:tcW w:type="dxa" w:w="4896"/>
            <w:vAlign w:val="center"/>
          </w:tcPr>
          <w:p>
            <w:r>
              <w:rPr>
                <w:rFonts w:ascii="Malgun Gothic" w:hAnsi="Malgun Gothic"/>
                <w:b w:val="0"/>
                <w:sz w:val="19"/>
              </w:rPr>
              <w:t>F1</w:t>
            </w:r>
          </w:p>
        </w:tc>
        <w:tc>
          <w:tcPr>
            <w:tcW w:type="dxa" w:w="4896"/>
            <w:vAlign w:val="center"/>
          </w:tcPr>
          <w:p>
            <w:r>
              <w:rPr>
                <w:rFonts w:ascii="Malgun Gothic" w:hAnsi="Malgun Gothic"/>
                <w:b w:val="0"/>
                <w:sz w:val="19"/>
              </w:rPr>
              <w:t>0.503</w:t>
            </w:r>
          </w:p>
        </w:tc>
      </w:tr>
      <w:tr>
        <w:tc>
          <w:tcPr>
            <w:tcW w:type="dxa" w:w="4896"/>
            <w:vAlign w:val="center"/>
          </w:tcPr>
          <w:p>
            <w:r>
              <w:rPr>
                <w:rFonts w:ascii="Malgun Gothic" w:hAnsi="Malgun Gothic"/>
                <w:b w:val="0"/>
                <w:sz w:val="19"/>
              </w:rPr>
              <w:t>ROC AUC</w:t>
            </w:r>
          </w:p>
        </w:tc>
        <w:tc>
          <w:tcPr>
            <w:tcW w:type="dxa" w:w="4896"/>
            <w:vAlign w:val="center"/>
          </w:tcPr>
          <w:p>
            <w:r>
              <w:rPr>
                <w:rFonts w:ascii="Malgun Gothic" w:hAnsi="Malgun Gothic"/>
                <w:b w:val="0"/>
                <w:sz w:val="19"/>
              </w:rPr>
              <w:t>0.765</w:t>
            </w:r>
          </w:p>
        </w:tc>
      </w:tr>
      <w:tr>
        <w:tc>
          <w:tcPr>
            <w:tcW w:type="dxa" w:w="4896"/>
            <w:vAlign w:val="center"/>
          </w:tcPr>
          <w:p>
            <w:r>
              <w:rPr>
                <w:rFonts w:ascii="Malgun Gothic" w:hAnsi="Malgun Gothic"/>
                <w:b w:val="0"/>
                <w:sz w:val="19"/>
              </w:rPr>
              <w:t>Average Precision</w:t>
            </w:r>
          </w:p>
        </w:tc>
        <w:tc>
          <w:tcPr>
            <w:tcW w:type="dxa" w:w="4896"/>
            <w:vAlign w:val="center"/>
          </w:tcPr>
          <w:p>
            <w:r>
              <w:rPr>
                <w:rFonts w:ascii="Malgun Gothic" w:hAnsi="Malgun Gothic"/>
                <w:b w:val="0"/>
                <w:sz w:val="19"/>
              </w:rPr>
              <w:t>0.511</w:t>
            </w:r>
          </w:p>
        </w:tc>
      </w:tr>
      <w:tr>
        <w:tc>
          <w:tcPr>
            <w:tcW w:type="dxa" w:w="4896"/>
            <w:vAlign w:val="center"/>
          </w:tcPr>
          <w:p>
            <w:r>
              <w:rPr>
                <w:rFonts w:ascii="Malgun Gothic" w:hAnsi="Malgun Gothic"/>
                <w:b w:val="0"/>
                <w:sz w:val="19"/>
              </w:rPr>
              <w:t>Predicted positive rate</w:t>
            </w:r>
          </w:p>
        </w:tc>
        <w:tc>
          <w:tcPr>
            <w:tcW w:type="dxa" w:w="4896"/>
            <w:vAlign w:val="center"/>
          </w:tcPr>
          <w:p>
            <w:r>
              <w:rPr>
                <w:rFonts w:ascii="Malgun Gothic" w:hAnsi="Malgun Gothic"/>
                <w:b w:val="0"/>
                <w:sz w:val="19"/>
              </w:rPr>
              <w:t>37.3%</w:t>
            </w:r>
          </w:p>
        </w:tc>
      </w:tr>
    </w:tbl>
    <w:p/>
    <w:p>
      <w:pPr>
        <w:jc w:val="center"/>
      </w:pPr>
      <w:r>
        <w:drawing>
          <ns2:inline>
            <ns2:extent cx="4389120" cy="3706368"/>
            <ns2:docPr id="2" name="Picture 2"/>
            <ns2:cNvGraphicFramePr>
              <ns3:graphicFrameLocks noChangeAspect="1"/>
            </ns2:cNvGraphicFramePr>
            <ns3:graphic>
              <ns3:graphicData uri="http://schemas.openxmlformats.org/drawingml/2006/picture">
                <ns4:pic>
                  <ns4:nvPicPr>
                    <ns4:cNvPr id="0" name="final_confusion_matrix.png"/>
                    <ns4:cNvPicPr/>
                  </ns4:nvPicPr>
                  <ns4:blipFill>
                    <ns3:blip ns5:embed="rId10"/>
                    <ns3:stretch>
                      <ns3:fillRect/>
                    </ns3:stretch>
                  </ns4:blipFill>
                  <ns4:spPr>
                    <ns3:xfrm>
                      <ns3:off x="0" y="0"/>
                      <ns3:ext cx="4389120" cy="3706368"/>
                    </ns3:xfrm>
                    <ns3:prstGeom prst="rect"/>
                  </ns4:spPr>
                </ns4:pic>
              </ns3:graphicData>
            </ns3:graphic>
          </ns2:inline>
        </w:drawing>
      </w:r>
    </w:p>
    <w:p>
      <w:pPr>
        <w:jc w:val="center"/>
      </w:pPr>
      <w:r>
        <w:rPr>
          <w:rFonts w:ascii="Malgun Gothic" w:hAnsi="Malgun Gothic"/>
          <w:b w:val="0"/>
          <w:sz w:val="19"/>
        </w:rPr>
        <w:t>Figure 2. Final model confusion matrix</w:t>
      </w:r>
    </w:p>
    <w:p>
      <w:pPr>
        <w:jc w:val="center"/>
      </w:pPr>
      <w:r>
        <w:drawing>
          <ns2:inline>
            <ns2:extent cx="4389120" cy="3511296"/>
            <ns2:docPr id="3" name="Picture 3"/>
            <ns2:cNvGraphicFramePr>
              <ns3:graphicFrameLocks noChangeAspect="1"/>
            </ns2:cNvGraphicFramePr>
            <ns3:graphic>
              <ns3:graphicData uri="http://schemas.openxmlformats.org/drawingml/2006/picture">
                <ns4:pic>
                  <ns4:nvPicPr>
                    <ns4:cNvPr id="0" name="final_roc_curve.png"/>
                    <ns4:cNvPicPr/>
                  </ns4:nvPicPr>
                  <ns4:blipFill>
                    <ns3:blip ns5:embed="rId11"/>
                    <ns3:stretch>
                      <ns3:fillRect/>
                    </ns3:stretch>
                  </ns4:blipFill>
                  <ns4:spPr>
                    <ns3:xfrm>
                      <ns3:off x="0" y="0"/>
                      <ns3:ext cx="4389120" cy="3511296"/>
                    </ns3:xfrm>
                    <ns3:prstGeom prst="rect"/>
                  </ns4:spPr>
                </ns4:pic>
              </ns3:graphicData>
            </ns3:graphic>
          </ns2:inline>
        </w:drawing>
      </w:r>
    </w:p>
    <w:p>
      <w:pPr>
        <w:jc w:val="center"/>
      </w:pPr>
      <w:r>
        <w:rPr>
          <w:rFonts w:ascii="Malgun Gothic" w:hAnsi="Malgun Gothic"/>
          <w:b w:val="0"/>
          <w:sz w:val="19"/>
        </w:rPr>
        <w:t>Figure 3. Final model ROC curve</w:t>
      </w:r>
    </w:p>
    <w:p>
      <w:pPr>
        <w:jc w:val="center"/>
      </w:pPr>
      <w:r>
        <w:drawing>
          <ns2:inline>
            <ns2:extent cx="4389120" cy="3511296"/>
            <ns2:docPr id="4" name="Picture 4"/>
            <ns2:cNvGraphicFramePr>
              <ns3:graphicFrameLocks noChangeAspect="1"/>
            </ns2:cNvGraphicFramePr>
            <ns3:graphic>
              <ns3:graphicData uri="http://schemas.openxmlformats.org/drawingml/2006/picture">
                <ns4:pic>
                  <ns4:nvPicPr>
                    <ns4:cNvPr id="0" name="final_pr_curve.png"/>
                    <ns4:cNvPicPr/>
                  </ns4:nvPicPr>
                  <ns4:blipFill>
                    <ns3:blip ns5:embed="rId12"/>
                    <ns3:stretch>
                      <ns3:fillRect/>
                    </ns3:stretch>
                  </ns4:blipFill>
                  <ns4:spPr>
                    <ns3:xfrm>
                      <ns3:off x="0" y="0"/>
                      <ns3:ext cx="4389120" cy="3511296"/>
                    </ns3:xfrm>
                    <ns3:prstGeom prst="rect"/>
                  </ns4:spPr>
                </ns4:pic>
              </ns3:graphicData>
            </ns3:graphic>
          </ns2:inline>
        </w:drawing>
      </w:r>
    </w:p>
    <w:p>
      <w:pPr>
        <w:jc w:val="center"/>
      </w:pPr>
      <w:r>
        <w:rPr>
          <w:rFonts w:ascii="Malgun Gothic" w:hAnsi="Malgun Gothic"/>
          <w:b w:val="0"/>
          <w:sz w:val="19"/>
        </w:rPr>
        <w:t>Figure 4. Final model Precision-Recall curve</w:t>
      </w:r>
    </w:p>
    <w:p>
      <w:pPr>
        <w:jc w:val="center"/>
      </w:pPr>
      <w:r>
        <w:drawing>
          <ns2:inline>
            <ns2:extent cx="4754880" cy="3169920"/>
            <ns2:docPr id="5" name="Picture 5"/>
            <ns2:cNvGraphicFramePr>
              <ns3:graphicFrameLocks noChangeAspect="1"/>
            </ns2:cNvGraphicFramePr>
            <ns3:graphic>
              <ns3:graphicData uri="http://schemas.openxmlformats.org/drawingml/2006/picture">
                <ns4:pic>
                  <ns4:nvPicPr>
                    <ns4:cNvPr id="0" name="learning_curve.png"/>
                    <ns4:cNvPicPr/>
                  </ns4:nvPicPr>
                  <ns4:blipFill>
                    <ns3:blip ns5:embed="rId13"/>
                    <ns3:stretch>
                      <ns3:fillRect/>
                    </ns3:stretch>
                  </ns4:blipFill>
                  <ns4:spPr>
                    <ns3:xfrm>
                      <ns3:off x="0" y="0"/>
                      <ns3:ext cx="4754880" cy="3169920"/>
                    </ns3:xfrm>
                    <ns3:prstGeom prst="rect"/>
                  </ns4:spPr>
                </ns4:pic>
              </ns3:graphicData>
            </ns3:graphic>
          </ns2:inline>
        </w:drawing>
      </w:r>
    </w:p>
    <w:p>
      <w:pPr>
        <w:jc w:val="center"/>
      </w:pPr>
      <w:r>
        <w:rPr>
          <w:rFonts w:ascii="Malgun Gothic" w:hAnsi="Malgun Gothic"/>
          <w:b w:val="0"/>
          <w:sz w:val="19"/>
        </w:rPr>
        <w:t>Figure 5. Learning curve</w:t>
      </w:r>
    </w:p>
    <w:p>
      <w:pPr>
        <w:jc w:val="center"/>
      </w:pPr>
      <w:r>
        <w:drawing>
          <ns2:inline>
            <ns2:extent cx="4754880" cy="3169920"/>
            <ns2:docPr id="6" name="Picture 6"/>
            <ns2:cNvGraphicFramePr>
              <ns3:graphicFrameLocks noChangeAspect="1"/>
            </ns2:cNvGraphicFramePr>
            <ns3:graphic>
              <ns3:graphicData uri="http://schemas.openxmlformats.org/drawingml/2006/picture">
                <ns4:pic>
                  <ns4:nvPicPr>
                    <ns4:cNvPr id="0" name="validation_curve.png"/>
                    <ns4:cNvPicPr/>
                  </ns4:nvPicPr>
                  <ns4:blipFill>
                    <ns3:blip ns5:embed="rId14"/>
                    <ns3:stretch>
                      <ns3:fillRect/>
                    </ns3:stretch>
                  </ns4:blipFill>
                  <ns4:spPr>
                    <ns3:xfrm>
                      <ns3:off x="0" y="0"/>
                      <ns3:ext cx="4754880" cy="3169920"/>
                    </ns3:xfrm>
                    <ns3:prstGeom prst="rect"/>
                  </ns4:spPr>
                </ns4:pic>
              </ns3:graphicData>
            </ns3:graphic>
          </ns2:inline>
        </w:drawing>
      </w:r>
    </w:p>
    <w:p>
      <w:pPr>
        <w:jc w:val="center"/>
      </w:pPr>
      <w:r>
        <w:rPr>
          <w:rFonts w:ascii="Malgun Gothic" w:hAnsi="Malgun Gothic"/>
          <w:b w:val="0"/>
          <w:sz w:val="19"/>
        </w:rPr>
        <w:t>Figure 6. Validation curve</w:t>
      </w:r>
    </w:p>
    <w:p>
      <w:r>
        <w:rPr>
          <w:rFonts w:ascii="Malgun Gothic" w:hAnsi="Malgun Gothic"/>
          <w:b w:val="0"/>
          <w:sz w:val="21"/>
        </w:rPr>
        <w:t>Learning curve와 validation curve를 통해 overfitting 가능성을 보조적으로 확인하였다. 또한 5-fold cross validation과 Logistic Regression regularization을 사용하여 모델이 train set에만 과하게 맞춰지지 않도록 하였다.</w:t>
      </w:r>
    </w:p>
    <w:p>
      <w:pPr>
        <w:pStyle w:val="Heading1"/>
      </w:pPr>
      <w:r>
        <w:rPr>
          <w:rFonts w:ascii="Malgun Gothic" w:hAnsi="Malgun Gothic"/>
          <w:b/>
          <w:sz w:val="28"/>
        </w:rPr>
        <w:t>8. Feature Importance 및 SHAP</w:t>
      </w:r>
    </w:p>
    <w:p>
      <w:pPr>
        <w:jc w:val="center"/>
      </w:pPr>
      <w:r>
        <w:drawing>
          <ns2:inline>
            <ns2:extent cx="5303520" cy="3314700"/>
            <ns2:docPr id="7" name="Picture 7"/>
            <ns2:cNvGraphicFramePr>
              <ns3:graphicFrameLocks noChangeAspect="1"/>
            </ns2:cNvGraphicFramePr>
            <ns3:graphic>
              <ns3:graphicData uri="http://schemas.openxmlformats.org/drawingml/2006/picture">
                <ns4:pic>
                  <ns4:nvPicPr>
                    <ns4:cNvPr id="0" name="final_feature_importance.png"/>
                    <ns4:cNvPicPr/>
                  </ns4:nvPicPr>
                  <ns4:blipFill>
                    <ns3:blip ns5:embed="rId15"/>
                    <ns3:stretch>
                      <ns3:fillRect/>
                    </ns3:stretch>
                  </ns4:blipFill>
                  <ns4:spPr>
                    <ns3:xfrm>
                      <ns3:off x="0" y="0"/>
                      <ns3:ext cx="5303520" cy="3314700"/>
                    </ns3:xfrm>
                    <ns3:prstGeom prst="rect"/>
                  </ns4:spPr>
                </ns4:pic>
              </ns3:graphicData>
            </ns3:graphic>
          </ns2:inline>
        </w:drawing>
      </w:r>
    </w:p>
    <w:p>
      <w:pPr>
        <w:jc w:val="center"/>
      </w:pPr>
      <w:r>
        <w:rPr>
          <w:rFonts w:ascii="Malgun Gothic" w:hAnsi="Malgun Gothic"/>
          <w:b w:val="0"/>
          <w:sz w:val="19"/>
        </w:rPr>
        <w:t>Figure 7. Logistic Regression feature importance</w:t>
      </w:r>
    </w:p>
    <w:p>
      <w:pPr>
        <w:jc w:val="center"/>
      </w:pPr>
      <w:r>
        <w:drawing>
          <ns2:inline>
            <ns2:extent cx="5303520" cy="5034081"/>
            <ns2:docPr id="8" name="Picture 8"/>
            <ns2:cNvGraphicFramePr>
              <ns3:graphicFrameLocks noChangeAspect="1"/>
            </ns2:cNvGraphicFramePr>
            <ns3:graphic>
              <ns3:graphicData uri="http://schemas.openxmlformats.org/drawingml/2006/picture">
                <ns4:pic>
                  <ns4:nvPicPr>
                    <ns4:cNvPr id="0" name="shap_summary.png"/>
                    <ns4:cNvPicPr/>
                  </ns4:nvPicPr>
                  <ns4:blipFill>
                    <ns3:blip ns5:embed="rId16"/>
                    <ns3:stretch>
                      <ns3:fillRect/>
                    </ns3:stretch>
                  </ns4:blipFill>
                  <ns4:spPr>
                    <ns3:xfrm>
                      <ns3:off x="0" y="0"/>
                      <ns3:ext cx="5303520" cy="5034081"/>
                    </ns3:xfrm>
                    <ns3:prstGeom prst="rect"/>
                  </ns4:spPr>
                </ns4:pic>
              </ns3:graphicData>
            </ns3:graphic>
          </ns2:inline>
        </w:drawing>
      </w:r>
    </w:p>
    <w:p>
      <w:pPr>
        <w:jc w:val="center"/>
      </w:pPr>
      <w:r>
        <w:rPr>
          <w:rFonts w:ascii="Malgun Gothic" w:hAnsi="Malgun Gothic"/>
          <w:b w:val="0"/>
          <w:sz w:val="19"/>
        </w:rPr>
        <w:t>Figure 8. SHAP summary plot</w:t>
      </w:r>
    </w:p>
    <w:p>
      <w:r>
        <w:rPr>
          <w:rFonts w:ascii="Malgun Gothic" w:hAnsi="Malgun Gothic"/>
          <w:b w:val="0"/>
          <w:sz w:val="21"/>
        </w:rPr>
        <w:t>Feature importance와 SHAP 모두 인과관계로 해석하지 않는다. 두 결과는 모델이 예측할 때 어떤 변수를 상대적으로 많이 참고했는지 설명하는 도구로 사용하였다. 상위 변수에는 sex, waist circumference, BMI, family history, age 등이 포함되었다.</w:t>
      </w:r>
    </w:p>
    <w:p>
      <w:pPr>
        <w:pStyle w:val="Heading1"/>
      </w:pPr>
      <w:r>
        <w:rPr>
          <w:rFonts w:ascii="Malgun Gothic" w:hAnsi="Malgun Gothic"/>
          <w:b/>
          <w:sz w:val="28"/>
        </w:rPr>
        <w:t>9. 웹 배포</w:t>
      </w:r>
    </w:p>
    <w:p>
      <w:r>
        <w:rPr>
          <w:rFonts w:ascii="Malgun Gothic" w:hAnsi="Malgun Gothic"/>
          <w:b w:val="0"/>
          <w:sz w:val="21"/>
        </w:rPr>
        <w:t>Streamlit을 사용하여 간단한 예측 인터페이스를 만들었다. 사용자는 나이, 성별, BMI, 허리둘레, 혈당, HbA1c, 생활습관, 가족력 등의 값을 입력하고 고혈압 위험 예측 결과를 확인할 수 있다. 또한 예측 결과가 도움이 되었는지 표시하고 추가 의견을 남길 수 있다.</w:t>
      </w:r>
    </w:p>
    <w:p>
      <w:r>
        <w:rPr>
          <w:rFonts w:ascii="Malgun Gothic" w:hAnsi="Malgun Gothic"/>
          <w:b w:val="0"/>
          <w:sz w:val="21"/>
        </w:rPr>
        <w:t>Rubric의 사용자 피드백 항목을 반영하기 위해 '이 예측 결과가 도움이 되었나요?' 질문과 선택 입력형 의견란을 추가하였다. 저장된 피드백에는 저장 시각, 예측 label, 예측 확률, 응답 내용이 포함되며 processed_data/user_feedback.csv에 저장된다. 이 피드백 요약은 앱 설명 문구와 안내 방식을 점검하는 데 참고할 수 있다.</w:t>
      </w:r>
    </w:p>
    <w:p>
      <w:pPr>
        <w:jc w:val="center"/>
      </w:pPr>
      <w:r>
        <w:drawing>
          <ns2:inline>
            <ns2:extent cx="5303520" cy="4659022"/>
            <ns2:docPr id="9" name="Picture 9"/>
            <ns2:cNvGraphicFramePr>
              <ns3:graphicFrameLocks noChangeAspect="1"/>
            </ns2:cNvGraphicFramePr>
            <ns3:graphic>
              <ns3:graphicData uri="http://schemas.openxmlformats.org/drawingml/2006/picture">
                <ns4:pic>
                  <ns4:nvPicPr>
                    <ns4:cNvPr id="0" name="streamlit_prediction_interface.png"/>
                    <ns4:cNvPicPr/>
                  </ns4:nvPicPr>
                  <ns4:blipFill>
                    <ns3:blip ns5:embed="rId17"/>
                    <ns3:stretch>
                      <ns3:fillRect/>
                    </ns3:stretch>
                  </ns4:blipFill>
                  <ns4:spPr>
                    <ns3:xfrm>
                      <ns3:off x="0" y="0"/>
                      <ns3:ext cx="5303520" cy="4659022"/>
                    </ns3:xfrm>
                    <ns3:prstGeom prst="rect"/>
                  </ns4:spPr>
                </ns4:pic>
              </ns3:graphicData>
            </ns3:graphic>
          </ns2:inline>
        </w:drawing>
      </w:r>
    </w:p>
    <w:p>
      <w:pPr>
        <w:jc w:val="center"/>
      </w:pPr>
      <w:r>
        <w:rPr>
          <w:rFonts w:ascii="Malgun Gothic" w:hAnsi="Malgun Gothic"/>
          <w:b w:val="0"/>
          <w:sz w:val="19"/>
        </w:rPr>
        <w:t>Figure 9. Streamlit prediction interface</w:t>
      </w:r>
    </w:p>
    <w:p>
      <w:pPr>
        <w:jc w:val="center"/>
      </w:pPr>
      <w:r>
        <w:drawing>
          <ns2:inline>
            <ns2:extent cx="5303520" cy="4659022"/>
            <ns2:docPr id="10" name="Picture 10"/>
            <ns2:cNvGraphicFramePr>
              <ns3:graphicFrameLocks noChangeAspect="1"/>
            </ns2:cNvGraphicFramePr>
            <ns3:graphic>
              <ns3:graphicData uri="http://schemas.openxmlformats.org/drawingml/2006/picture">
                <ns4:pic>
                  <ns4:nvPicPr>
                    <ns4:cNvPr id="0" name="streamlit_prediction_result.png"/>
                    <ns4:cNvPicPr/>
                  </ns4:nvPicPr>
                  <ns4:blipFill>
                    <ns3:blip ns5:embed="rId18"/>
                    <ns3:stretch>
                      <ns3:fillRect/>
                    </ns3:stretch>
                  </ns4:blipFill>
                  <ns4:spPr>
                    <ns3:xfrm>
                      <ns3:off x="0" y="0"/>
                      <ns3:ext cx="5303520" cy="4659022"/>
                    </ns3:xfrm>
                    <ns3:prstGeom prst="rect"/>
                  </ns4:spPr>
                </ns4:pic>
              </ns3:graphicData>
            </ns3:graphic>
          </ns2:inline>
        </w:drawing>
      </w:r>
    </w:p>
    <w:p>
      <w:pPr>
        <w:jc w:val="center"/>
      </w:pPr>
      <w:r>
        <w:rPr>
          <w:rFonts w:ascii="Malgun Gothic" w:hAnsi="Malgun Gothic"/>
          <w:b w:val="0"/>
          <w:sz w:val="19"/>
        </w:rPr>
        <w:t>Figure 10. Streamlit prediction result</w:t>
      </w:r>
    </w:p>
    <w:p>
      <w:pPr>
        <w:jc w:val="center"/>
      </w:pPr>
      <w:r>
        <w:drawing>
          <ns2:inline>
            <ns2:extent cx="5303520" cy="4659022"/>
            <ns2:docPr id="11" name="Picture 11"/>
            <ns2:cNvGraphicFramePr>
              <ns3:graphicFrameLocks noChangeAspect="1"/>
            </ns2:cNvGraphicFramePr>
            <ns3:graphic>
              <ns3:graphicData uri="http://schemas.openxmlformats.org/drawingml/2006/picture">
                <ns4:pic>
                  <ns4:nvPicPr>
                    <ns4:cNvPr id="0" name="streamlit_feedback_saved.png"/>
                    <ns4:cNvPicPr/>
                  </ns4:nvPicPr>
                  <ns4:blipFill>
                    <ns3:blip ns5:embed="rId19"/>
                    <ns3:stretch>
                      <ns3:fillRect/>
                    </ns3:stretch>
                  </ns4:blipFill>
                  <ns4:spPr>
                    <ns3:xfrm>
                      <ns3:off x="0" y="0"/>
                      <ns3:ext cx="5303520" cy="4659022"/>
                    </ns3:xfrm>
                    <ns3:prstGeom prst="rect"/>
                  </ns4:spPr>
                </ns4:pic>
              </ns3:graphicData>
            </ns3:graphic>
          </ns2:inline>
        </w:drawing>
      </w:r>
    </w:p>
    <w:p>
      <w:pPr>
        <w:jc w:val="center"/>
      </w:pPr>
      <w:r>
        <w:rPr>
          <w:rFonts w:ascii="Malgun Gothic" w:hAnsi="Malgun Gothic"/>
          <w:b w:val="0"/>
          <w:sz w:val="19"/>
        </w:rPr>
        <w:t>Figure 11. Streamlit user feedback saved</w:t>
      </w:r>
    </w:p>
    <w:p>
      <w:pPr>
        <w:pStyle w:val="Heading1"/>
      </w:pPr>
      <w:r>
        <w:rPr>
          <w:rFonts w:ascii="Malgun Gothic" w:hAnsi="Malgun Gothic"/>
          <w:b/>
          <w:sz w:val="28"/>
        </w:rPr>
        <w:t>10. 논의</w:t>
      </w:r>
    </w:p>
    <w:p>
      <w:r>
        <w:rPr>
          <w:rFonts w:ascii="Malgun Gothic" w:hAnsi="Malgun Gothic"/>
          <w:b w:val="0"/>
          <w:sz w:val="21"/>
        </w:rPr>
        <w:t>본 프로젝트는 130/80 기준을 사용하면서 class imbalance를 완화하고, 고혈압 관련 변수를 추가하여 예측 모델을 구성하였다. 최종 모델은 고혈압군을 일정 수준 탐지했지만 false positive도 존재하므로 precision과 recall의 trade-off를 함께 해석해야 한다.</w:t>
      </w:r>
    </w:p>
    <w:p>
      <w:r>
        <w:rPr>
          <w:rFonts w:ascii="Malgun Gothic" w:hAnsi="Malgun Gothic"/>
          <w:b w:val="0"/>
          <w:sz w:val="21"/>
        </w:rPr>
        <w:t>covid_period는 COVID-19의 인과효과가 아니라 조사 시기와 측정환경 변화가 함께 반영된 변수로 제한해서 해석하였다. 특히 DBP의 급격한 변화, HDL의 측정 시기별 변화, LDL 결측률은 KNHANES 측정체계 변화와 관련된 중요한 주의점이다.</w:t>
      </w:r>
    </w:p>
    <w:p>
      <w:r>
        <w:rPr>
          <w:rFonts w:ascii="Malgun Gothic" w:hAnsi="Malgun Gothic"/>
          <w:b w:val="0"/>
          <w:sz w:val="21"/>
        </w:rPr>
        <w:t>한계점으로는 단순 결측치 대체, 수업 과제 수준의 hyperparameter tuning, KNHANES 측정체계 변화, 의료 진단이 아닌 screening 목적이라는 점이 있다. 향후에는 threshold 조정, 외부 검증, 제한 연도 모델 비교 등을 추가로 검토할 수 있다.</w:t>
      </w:r>
    </w:p>
    <w:p>
      <w:pPr>
        <w:pStyle w:val="Heading1"/>
      </w:pPr>
      <w:r>
        <w:rPr>
          <w:rFonts w:ascii="Malgun Gothic" w:hAnsi="Malgun Gothic"/>
          <w:b/>
          <w:sz w:val="28"/>
        </w:rPr>
        <w:t>11. 결론</w:t>
      </w:r>
    </w:p>
    <w:p>
      <w:r>
        <w:rPr>
          <w:rFonts w:ascii="Malgun Gothic" w:hAnsi="Malgun Gothic"/>
          <w:b w:val="0"/>
          <w:sz w:val="21"/>
        </w:rPr>
        <w:t>본 프로젝트에서는 KNHANES 2017-2023 자료를 사용하여 19-39세 젊은 성인의 고혈압 위험을 예측하였다. 교수님 피드백을 반영하여 130/80 기준을 사용하고, 추가 고혈압 관련 변수, class imbalance 처리, leakage 방지, SHAP 해석, Streamlit 배포까지 수행하였다.</w:t>
      </w:r>
    </w:p>
    <w:p>
      <w:pPr>
        <w:pStyle w:val="Heading1"/>
      </w:pPr>
      <w:r>
        <w:rPr>
          <w:rFonts w:ascii="Malgun Gothic" w:hAnsi="Malgun Gothic"/>
          <w:b/>
          <w:sz w:val="28"/>
        </w:rPr>
        <w:t>12. 참고문헌</w:t>
      </w:r>
    </w:p>
    <w:p>
      <w:r>
        <w:rPr>
          <w:rFonts w:ascii="Malgun Gothic" w:hAnsi="Malgun Gothic"/>
          <w:b w:val="0"/>
          <w:sz w:val="21"/>
        </w:rPr>
        <w:t>Whelton, P. K., et al. (2018). 2017 ACC/AHA guideline for high blood pressure in adults.</w:t>
      </w:r>
    </w:p>
    <w:p>
      <w:r>
        <w:rPr>
          <w:rFonts w:ascii="Malgun Gothic" w:hAnsi="Malgun Gothic"/>
          <w:b w:val="0"/>
          <w:sz w:val="21"/>
        </w:rPr>
        <w:t>Korea Disease Control and Prevention Agency. Korea National Health and Nutrition Examination Survey (KNHANES), 2017-2023.</w:t>
      </w:r>
    </w:p>
    <w:p>
      <w:r>
        <w:rPr>
          <w:rFonts w:ascii="Malgun Gothic" w:hAnsi="Malgun Gothic"/>
          <w:b w:val="0"/>
          <w:sz w:val="21"/>
        </w:rPr>
        <w:t>KNHANES Sex and Age Trend Study. PMC9064695.</w:t>
      </w:r>
    </w:p>
    <w:p>
      <w:r>
        <w:rPr>
          <w:rFonts w:ascii="Malgun Gothic" w:hAnsi="Malgun Gothic"/>
          <w:b w:val="0"/>
          <w:sz w:val="21"/>
        </w:rPr>
        <w:t>KNHANES Sex Difference Study. PMC5444798.</w:t>
      </w:r>
    </w:p>
    <w:p>
      <w:r>
        <w:rPr>
          <w:rFonts w:ascii="Malgun Gothic" w:hAnsi="Malgun Gothic"/>
          <w:b w:val="0"/>
          <w:sz w:val="21"/>
        </w:rPr>
        <w:t>Blood Pressure and BMI in Young Adults. PMC4378027.</w:t>
      </w:r>
    </w:p>
    <w:p>
      <w:r>
        <w:rPr>
          <w:rFonts w:ascii="Malgun Gothic" w:hAnsi="Malgun Gothic"/>
          <w:b w:val="0"/>
          <w:sz w:val="21"/>
        </w:rPr>
        <w:t>Fasting Glucose/HbA1c and Hypertension. PMC6486972.</w:t>
      </w:r>
    </w:p>
    <w:p>
      <w:r>
        <w:rPr>
          <w:rFonts w:ascii="Malgun Gothic" w:hAnsi="Malgun Gothic"/>
          <w:b w:val="0"/>
          <w:sz w:val="21"/>
        </w:rPr>
        <w:t>Dyslipidemia and Hypertension. PMC9416084.</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