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sz w:val="36"/>
        </w:rPr>
        <w:t>교수님 피드백 검토 자료</w:t>
      </w:r>
    </w:p>
    <w:p>
      <w:r>
        <w:rPr>
          <w:rFonts w:ascii="Malgun Gothic" w:hAnsi="Malgun Gothic" w:eastAsia="Malgun Gothic"/>
          <w:sz w:val="21"/>
        </w:rPr>
        <w:t>과제2 제출본 기반 추가 검토 정리</w:t>
      </w:r>
    </w:p>
    <w:p>
      <w:pPr>
        <w:pStyle w:val="Heading1"/>
      </w:pPr>
      <w:r>
        <w:t>1. 교수님 피드백 검토 배경</w:t>
      </w:r>
    </w:p>
    <w:p>
      <w:r>
        <w:rPr>
          <w:rFonts w:ascii="Malgun Gothic" w:hAnsi="Malgun Gothic" w:eastAsia="Malgun Gothic"/>
          <w:sz w:val="21"/>
        </w:rPr>
        <w:t>본 branch는 과제2 제출본에 대해 교수님 피드백을 받은 후, 추가 검토 내용을 정리하기 위해 생성하였다. 기준 commit은 과제2 제출 시점의 commit인 a221bf9021e80737e5c79348667600132923378d이다.</w:t>
      </w:r>
    </w:p>
    <w:p>
      <w:r>
        <w:rPr>
          <w:rFonts w:ascii="Malgun Gothic" w:hAnsi="Malgun Gothic" w:eastAsia="Malgun Gothic"/>
          <w:sz w:val="21"/>
        </w:rPr>
        <w:t>원래 과제2 notebook과 report 파일은 수정하지 않고 그대로 두었다. 추가로 수행한 분석 결과는 professor_feedback_review/ 폴더에 따로 정리하였다.</w:t>
      </w:r>
    </w:p>
    <w:p>
      <w:r>
        <w:rPr>
          <w:rFonts w:ascii="Malgun Gothic" w:hAnsi="Malgun Gothic" w:eastAsia="Malgun Gothic"/>
          <w:sz w:val="21"/>
        </w:rPr>
        <w:t>교수님 피드백의 핵심은 고혈압군 비율이 낮은 상황에서 모델이 고혈압 class를 실제로 학습했는지 확인하는 것이었다. 주요 피드백은 다음과 같이 정리하였다.</w:t>
      </w:r>
    </w:p>
    <w:p>
      <w:pPr>
        <w:pStyle w:val="ListBullet"/>
      </w:pPr>
      <w:r>
        <w:rPr>
          <w:rFonts w:ascii="Malgun Gothic" w:hAnsi="Malgun Gothic" w:eastAsia="Malgun Gothic"/>
          <w:sz w:val="21"/>
        </w:rPr>
        <w:t>고혈압과 관련된 변수를 더 포함할 수 있는지 검토할 것</w:t>
      </w:r>
    </w:p>
    <w:p>
      <w:pPr>
        <w:pStyle w:val="ListBullet"/>
      </w:pPr>
      <w:r>
        <w:rPr>
          <w:rFonts w:ascii="Malgun Gothic" w:hAnsi="Malgun Gothic" w:eastAsia="Malgun Gothic"/>
          <w:sz w:val="21"/>
        </w:rPr>
        <w:t>모델 구현 시 class-weight 보정을 적용해 볼 것</w:t>
      </w:r>
    </w:p>
    <w:p>
      <w:pPr>
        <w:pStyle w:val="ListBullet"/>
      </w:pPr>
      <w:r>
        <w:rPr>
          <w:rFonts w:ascii="Malgun Gothic" w:hAnsi="Malgun Gothic" w:eastAsia="Malgun Gothic"/>
          <w:sz w:val="21"/>
        </w:rPr>
        <w:t>위 두 가지를 검토한 후에도 고혈압 class 학습이 어렵다면 PSM을 이용한 cohort 재구성을 고려할 것</w:t>
      </w:r>
    </w:p>
    <w:p>
      <w:r>
        <w:rPr>
          <w:rFonts w:ascii="Malgun Gothic" w:hAnsi="Malgun Gothic" w:eastAsia="Malgun Gothic"/>
          <w:sz w:val="21"/>
        </w:rPr>
        <w:t>이 문서는 모델을 방어하거나 최종 결론을 내리기 위한 자료가 아니라, 교수님 피드백 이후 어떤 부분을 추가로 확인했는지 정리하고 추후 논의를 준비하기 위한 자료이다.</w:t>
      </w:r>
    </w:p>
    <w:p>
      <w:pPr>
        <w:pStyle w:val="Heading1"/>
      </w:pPr>
      <w:r>
        <w:t>2. 교수님 답변 이후 현재 검토 방향</w:t>
      </w:r>
    </w:p>
    <w:p>
      <w:r>
        <w:rPr>
          <w:rFonts w:ascii="Malgun Gothic" w:hAnsi="Malgun Gothic" w:eastAsia="Malgun Gothic"/>
          <w:sz w:val="21"/>
        </w:rPr>
        <w:t>추가 분석 결과를 이메일로 요약하여 보낸 뒤, 교수님께서는 이메일 내용만으로는 모델을 평가하기 어렵다고 말씀하셨다. 또한 실제 자료를 보면서 confusion matrix, feature importance, 고혈압 관련 변수 포함 여부, 그리고 previous studies에 근거한 변수 선정 설명을 함께 확인할 필요가 있다고 하셨다.</w:t>
      </w:r>
    </w:p>
    <w:p>
      <w:r>
        <w:rPr>
          <w:rFonts w:ascii="Malgun Gothic" w:hAnsi="Malgun Gothic" w:eastAsia="Malgun Gothic"/>
          <w:sz w:val="21"/>
        </w:rPr>
        <w:t>따라서 현재 review branch의 목적은 Assignment 2를 다시 설계하거나 성능을 최적화하는 것이 아니라, 교수님과 논의할 때 필요한 해석 자료를 정리하는 것이다.</w:t>
      </w:r>
    </w:p>
    <w:p>
      <w:pPr>
        <w:pStyle w:val="ListBullet"/>
      </w:pPr>
      <w:r>
        <w:rPr>
          <w:rFonts w:ascii="Malgun Gothic" w:hAnsi="Malgun Gothic" w:eastAsia="Malgun Gothic"/>
          <w:sz w:val="21"/>
        </w:rPr>
        <w:t>confusion matrix가 실제로 무엇을 보여주는지</w:t>
      </w:r>
    </w:p>
    <w:p>
      <w:pPr>
        <w:pStyle w:val="ListBullet"/>
      </w:pPr>
      <w:r>
        <w:rPr>
          <w:rFonts w:ascii="Malgun Gothic" w:hAnsi="Malgun Gothic" w:eastAsia="Malgun Gothic"/>
          <w:sz w:val="21"/>
        </w:rPr>
        <w:t>모델에서 어떤 변수가 중요하게 나타났는지</w:t>
      </w:r>
    </w:p>
    <w:p>
      <w:pPr>
        <w:pStyle w:val="ListBullet"/>
      </w:pPr>
      <w:r>
        <w:rPr>
          <w:rFonts w:ascii="Malgun Gothic" w:hAnsi="Malgun Gothic" w:eastAsia="Malgun Gothic"/>
          <w:sz w:val="21"/>
        </w:rPr>
        <w:t>기존 모델 변수는 어떤 이유로 선택되었는지</w:t>
      </w:r>
    </w:p>
    <w:p>
      <w:pPr>
        <w:pStyle w:val="ListBullet"/>
      </w:pPr>
      <w:r>
        <w:rPr>
          <w:rFonts w:ascii="Malgun Gothic" w:hAnsi="Malgun Gothic" w:eastAsia="Malgun Gothic"/>
          <w:sz w:val="21"/>
        </w:rPr>
        <w:t>피드백 이후 어떤 고혈압 관련 변수를 추가로 검토했는지</w:t>
      </w:r>
    </w:p>
    <w:p>
      <w:pPr>
        <w:pStyle w:val="ListBullet"/>
      </w:pPr>
      <w:r>
        <w:rPr>
          <w:rFonts w:ascii="Malgun Gothic" w:hAnsi="Malgun Gothic" w:eastAsia="Malgun Gothic"/>
          <w:sz w:val="21"/>
        </w:rPr>
        <w:t>선택 변수와 후보 변수에 대해 어떤 선행연구 근거가 있는지</w:t>
      </w:r>
    </w:p>
    <w:p>
      <w:pPr>
        <w:pStyle w:val="ListBullet"/>
      </w:pPr>
      <w:r>
        <w:rPr>
          <w:rFonts w:ascii="Malgun Gothic" w:hAnsi="Malgun Gothic" w:eastAsia="Malgun Gothic"/>
          <w:sz w:val="21"/>
        </w:rPr>
        <w:t>class imbalance와 PSM 적용 가능성을 어떻게 검토했는지</w:t>
      </w:r>
    </w:p>
    <w:p>
      <w:pPr>
        <w:pStyle w:val="Heading1"/>
      </w:pPr>
      <w:r>
        <w:t>3. 과제2 모델 재검토</w:t>
      </w:r>
    </w:p>
    <w:p>
      <w:r>
        <w:rPr>
          <w:rFonts w:ascii="Malgun Gothic" w:hAnsi="Malgun Gothic" w:eastAsia="Malgun Gothic"/>
          <w:sz w:val="21"/>
        </w:rPr>
        <w:t>과제2에서는 KNHANES 2017-2023 자료 중 19-39세 대상자를 중심으로 고혈압 위험 예측을 수행하였다. 고혈압 target은 수축기 혈압 HE_sbp &gt;= 140 또는 이완기 혈압 HE_dbp &gt;= 90인 경우 hypertension = 1로 정의하였다.</w:t>
      </w:r>
    </w:p>
    <w:p>
      <w:r>
        <w:rPr>
          <w:rFonts w:ascii="Malgun Gothic" w:hAnsi="Malgun Gothic" w:eastAsia="Malgun Gothic"/>
          <w:sz w:val="21"/>
        </w:rPr>
        <w:t>과제2 제출본의 원래 cohort는 19-39세 대상자 10,974명이었다. 교수님께 보낸 메일에서는 혈압 측정값(SBP/DBP)이 있는 대상자만 따로 확인한 review cohort를 기준으로 추가 분석을 정리하였다. 이 review cohort는 SBP/DBP 결측 대상자를 제외한 10,319명이다. 따라서 본 검토 자료에서는 메일에서 공유한 10,319명 cohort를 중심으로 설명하였다.</w:t>
      </w:r>
    </w:p>
    <w:tbl>
      <w:tblPr>
        <w:tblStyle w:val="TableGrid"/>
        <w:tblW w:type="auto" w:w="0"/>
        <w:tblLayout w:type="autofit"/>
        <w:tblLook w:firstColumn="1" w:firstRow="1" w:lastColumn="0" w:lastRow="0" w:noHBand="0" w:noVBand="1" w:val="04A0"/>
      </w:tblPr>
      <w:tblGrid>
        <w:gridCol w:w="4896"/>
        <w:gridCol w:w="4896"/>
      </w:tblGrid>
      <w:tr>
        <w:tc>
          <w:tcPr>
            <w:tcW w:type="dxa" w:w="4896"/>
          </w:tcPr>
          <w:p>
            <w:r>
              <w:t>항목</w:t>
            </w:r>
          </w:p>
        </w:tc>
        <w:tc>
          <w:tcPr>
            <w:tcW w:type="dxa" w:w="4896"/>
          </w:tcPr>
          <w:p>
            <w:r>
              <w:t>결과</w:t>
            </w:r>
          </w:p>
        </w:tc>
      </w:tr>
      <w:tr>
        <w:tc>
          <w:tcPr>
            <w:tcW w:type="dxa" w:w="4896"/>
          </w:tcPr>
          <w:p>
            <w:r>
              <w:t>Assignment 2 original cohort</w:t>
            </w:r>
          </w:p>
        </w:tc>
        <w:tc>
          <w:tcPr>
            <w:tcW w:type="dxa" w:w="4896"/>
          </w:tcPr>
          <w:p>
            <w:r>
              <w:t>10,974</w:t>
            </w:r>
          </w:p>
        </w:tc>
      </w:tr>
      <w:tr>
        <w:tc>
          <w:tcPr>
            <w:tcW w:type="dxa" w:w="4896"/>
          </w:tcPr>
          <w:p>
            <w:r>
              <w:t>Email review cohort</w:t>
            </w:r>
          </w:p>
        </w:tc>
        <w:tc>
          <w:tcPr>
            <w:tcW w:type="dxa" w:w="4896"/>
          </w:tcPr>
          <w:p>
            <w:r>
              <w:t>10,319</w:t>
            </w:r>
          </w:p>
        </w:tc>
      </w:tr>
      <w:tr>
        <w:tc>
          <w:tcPr>
            <w:tcW w:type="dxa" w:w="4896"/>
          </w:tcPr>
          <w:p>
            <w:r>
              <w:t>Hypertension cases</w:t>
            </w:r>
          </w:p>
        </w:tc>
        <w:tc>
          <w:tcPr>
            <w:tcW w:type="dxa" w:w="4896"/>
          </w:tcPr>
          <w:p>
            <w:r>
              <w:t>575</w:t>
            </w:r>
          </w:p>
        </w:tc>
      </w:tr>
      <w:tr>
        <w:tc>
          <w:tcPr>
            <w:tcW w:type="dxa" w:w="4896"/>
          </w:tcPr>
          <w:p>
            <w:r>
              <w:t>Logistic Regression AUC</w:t>
            </w:r>
          </w:p>
        </w:tc>
        <w:tc>
          <w:tcPr>
            <w:tcW w:type="dxa" w:w="4896"/>
          </w:tcPr>
          <w:p>
            <w:r>
              <w:t>0.8099</w:t>
            </w:r>
          </w:p>
        </w:tc>
      </w:tr>
      <w:tr>
        <w:tc>
          <w:tcPr>
            <w:tcW w:type="dxa" w:w="4896"/>
          </w:tcPr>
          <w:p>
            <w:r>
              <w:t>Tuned Logistic Regression AUC</w:t>
            </w:r>
          </w:p>
        </w:tc>
        <w:tc>
          <w:tcPr>
            <w:tcW w:type="dxa" w:w="4896"/>
          </w:tcPr>
          <w:p>
            <w:r>
              <w:t>0.8118</w:t>
            </w:r>
          </w:p>
        </w:tc>
      </w:tr>
      <w:tr>
        <w:tc>
          <w:tcPr>
            <w:tcW w:type="dxa" w:w="4896"/>
          </w:tcPr>
          <w:p>
            <w:r>
              <w:t>비교 기준</w:t>
            </w:r>
          </w:p>
        </w:tc>
        <w:tc>
          <w:tcPr>
            <w:tcW w:type="dxa" w:w="4896"/>
          </w:tcPr>
          <w:p>
            <w:r>
              <w:t>AUC</w:t>
            </w:r>
          </w:p>
        </w:tc>
      </w:tr>
      <w:tr>
        <w:tc>
          <w:tcPr>
            <w:tcW w:type="dxa" w:w="4896"/>
          </w:tcPr>
          <w:p>
            <w:r>
              <w:t>최상위 모델</w:t>
            </w:r>
          </w:p>
        </w:tc>
        <w:tc>
          <w:tcPr>
            <w:tcW w:type="dxa" w:w="4896"/>
          </w:tcPr>
          <w:p>
            <w:r>
              <w:t>Logistic Regression</w:t>
            </w:r>
          </w:p>
        </w:tc>
      </w:tr>
    </w:tbl>
    <w:p>
      <w:pPr>
        <w:pStyle w:val="Heading1"/>
      </w:pPr>
      <w:r>
        <w:t>4. Confusion Matrix 검토</w:t>
      </w:r>
    </w:p>
    <w:p>
      <w:r>
        <w:rPr>
          <w:rFonts w:ascii="Malgun Gothic" w:hAnsi="Malgun Gothic" w:eastAsia="Malgun Gothic"/>
          <w:sz w:val="21"/>
        </w:rPr>
        <w:t>교수님 피드백을 반영하여, 모델이 대부분을 다수 class로만 예측하는지 확인하기 위해 confusion matrix를 다시 검토하였다. 원래 과제2 PyCaret 시각화 결과는 03_pycaret_modeling.ipynb에서 생성되었고, 04_professor_feedback_review.ipynb에서 같은 변수 흐름을 사용해 confusion matrix를 code로 다시 확인하였다.</w:t>
      </w:r>
    </w:p>
    <w:tbl>
      <w:tblPr>
        <w:tblStyle w:val="TableGrid"/>
        <w:tblW w:type="auto" w:w="0"/>
        <w:tblLayout w:type="autofit"/>
        <w:tblLook w:firstColumn="1" w:firstRow="1" w:lastColumn="0" w:lastRow="0" w:noHBand="0" w:noVBand="1" w:val="04A0"/>
      </w:tblPr>
      <w:tblGrid>
        <w:gridCol w:w="4896"/>
        <w:gridCol w:w="4896"/>
      </w:tblGrid>
      <w:tr>
        <w:tc>
          <w:tcPr>
            <w:tcW w:type="dxa" w:w="4896"/>
          </w:tcPr>
          <w:p>
            <w:r>
              <w:t>항목</w:t>
            </w:r>
          </w:p>
        </w:tc>
        <w:tc>
          <w:tcPr>
            <w:tcW w:type="dxa" w:w="4896"/>
          </w:tcPr>
          <w:p>
            <w:r>
              <w:t>값</w:t>
            </w:r>
          </w:p>
        </w:tc>
      </w:tr>
      <w:tr>
        <w:tc>
          <w:tcPr>
            <w:tcW w:type="dxa" w:w="4896"/>
          </w:tcPr>
          <w:p>
            <w:r>
              <w:t>TN</w:t>
            </w:r>
          </w:p>
        </w:tc>
        <w:tc>
          <w:tcPr>
            <w:tcW w:type="dxa" w:w="4896"/>
          </w:tcPr>
          <w:p>
            <w:r>
              <w:t>1,450</w:t>
            </w:r>
          </w:p>
        </w:tc>
      </w:tr>
      <w:tr>
        <w:tc>
          <w:tcPr>
            <w:tcW w:type="dxa" w:w="4896"/>
          </w:tcPr>
          <w:p>
            <w:r>
              <w:t>FP</w:t>
            </w:r>
          </w:p>
        </w:tc>
        <w:tc>
          <w:tcPr>
            <w:tcW w:type="dxa" w:w="4896"/>
          </w:tcPr>
          <w:p>
            <w:r>
              <w:t>499</w:t>
            </w:r>
          </w:p>
        </w:tc>
      </w:tr>
      <w:tr>
        <w:tc>
          <w:tcPr>
            <w:tcW w:type="dxa" w:w="4896"/>
          </w:tcPr>
          <w:p>
            <w:r>
              <w:t>FN</w:t>
            </w:r>
          </w:p>
        </w:tc>
        <w:tc>
          <w:tcPr>
            <w:tcW w:type="dxa" w:w="4896"/>
          </w:tcPr>
          <w:p>
            <w:r>
              <w:t>32</w:t>
            </w:r>
          </w:p>
        </w:tc>
      </w:tr>
      <w:tr>
        <w:tc>
          <w:tcPr>
            <w:tcW w:type="dxa" w:w="4896"/>
          </w:tcPr>
          <w:p>
            <w:r>
              <w:t>TP</w:t>
            </w:r>
          </w:p>
        </w:tc>
        <w:tc>
          <w:tcPr>
            <w:tcW w:type="dxa" w:w="4896"/>
          </w:tcPr>
          <w:p>
            <w:r>
              <w:t>83</w:t>
            </w:r>
          </w:p>
        </w:tc>
      </w:tr>
    </w:tbl>
    <w:tbl>
      <w:tblPr>
        <w:tblStyle w:val="TableGrid"/>
        <w:tblW w:type="auto" w:w="0"/>
        <w:tblLayout w:type="autofit"/>
        <w:tblLook w:firstColumn="1" w:firstRow="1" w:lastColumn="0" w:lastRow="0" w:noHBand="0" w:noVBand="1" w:val="04A0"/>
      </w:tblPr>
      <w:tblGrid>
        <w:gridCol w:w="2448"/>
        <w:gridCol w:w="2448"/>
        <w:gridCol w:w="2448"/>
        <w:gridCol w:w="2448"/>
      </w:tblGrid>
      <w:tr>
        <w:tc>
          <w:tcPr>
            <w:tcW w:type="dxa" w:w="2448"/>
          </w:tcPr>
          <w:p>
            <w:r>
              <w:t>분포</w:t>
            </w:r>
          </w:p>
        </w:tc>
        <w:tc>
          <w:tcPr>
            <w:tcW w:type="dxa" w:w="2448"/>
          </w:tcPr>
          <w:p>
            <w:r>
              <w:t>비고혈압</w:t>
            </w:r>
          </w:p>
        </w:tc>
        <w:tc>
          <w:tcPr>
            <w:tcW w:type="dxa" w:w="2448"/>
          </w:tcPr>
          <w:p>
            <w:r>
              <w:t>고혈압</w:t>
            </w:r>
          </w:p>
        </w:tc>
        <w:tc>
          <w:tcPr>
            <w:tcW w:type="dxa" w:w="2448"/>
          </w:tcPr>
          <w:p>
            <w:r>
              <w:t>해석</w:t>
            </w:r>
          </w:p>
        </w:tc>
      </w:tr>
      <w:tr>
        <w:tc>
          <w:tcPr>
            <w:tcW w:type="dxa" w:w="2448"/>
          </w:tcPr>
          <w:p>
            <w:r>
              <w:t>Actual class</w:t>
            </w:r>
          </w:p>
        </w:tc>
        <w:tc>
          <w:tcPr>
            <w:tcW w:type="dxa" w:w="2448"/>
          </w:tcPr>
          <w:p>
            <w:r>
              <w:t>1,949</w:t>
            </w:r>
          </w:p>
        </w:tc>
        <w:tc>
          <w:tcPr>
            <w:tcW w:type="dxa" w:w="2448"/>
          </w:tcPr>
          <w:p>
            <w:r>
              <w:t>115</w:t>
            </w:r>
          </w:p>
        </w:tc>
        <w:tc>
          <w:tcPr>
            <w:tcW w:type="dxa" w:w="2448"/>
          </w:tcPr>
          <w:p>
            <w:r>
              <w:t>test set에서 고혈압군은 소수 class이다.</w:t>
            </w:r>
          </w:p>
        </w:tc>
      </w:tr>
      <w:tr>
        <w:tc>
          <w:tcPr>
            <w:tcW w:type="dxa" w:w="2448"/>
          </w:tcPr>
          <w:p>
            <w:r>
              <w:t>Predicted class</w:t>
            </w:r>
          </w:p>
        </w:tc>
        <w:tc>
          <w:tcPr>
            <w:tcW w:type="dxa" w:w="2448"/>
          </w:tcPr>
          <w:p>
            <w:r>
              <w:t>1,482</w:t>
            </w:r>
          </w:p>
        </w:tc>
        <w:tc>
          <w:tcPr>
            <w:tcW w:type="dxa" w:w="2448"/>
          </w:tcPr>
          <w:p>
            <w:r>
              <w:t>582</w:t>
            </w:r>
          </w:p>
        </w:tc>
        <w:tc>
          <w:tcPr>
            <w:tcW w:type="dxa" w:w="2448"/>
          </w:tcPr>
          <w:p>
            <w:r>
              <w:t>모델은 고혈압 positive 예측을 생성하였다.</w:t>
            </w:r>
          </w:p>
        </w:tc>
      </w:tr>
    </w:tbl>
    <w:p>
      <w:r>
        <w:rPr>
          <w:rFonts w:ascii="Malgun Gothic" w:hAnsi="Malgun Gothic" w:eastAsia="Malgun Gothic"/>
          <w:sz w:val="21"/>
        </w:rPr>
        <w:t>이 결과를 보면 모델이 모든 대상을 majority class인 비고혈압군으로만 예측한 것은 아니며, 고혈압군을 일부 탐지하고 있음을 확인하였다. 다만 false positive가 상대적으로 많아 precision이 낮게 나타났기 때문에, recall만으로 모델을 긍정적으로 해석하기는 어렵다.</w:t>
      </w:r>
    </w:p>
    <w:p>
      <w:r>
        <w:rPr>
          <w:rFonts w:ascii="Malgun Gothic" w:hAnsi="Malgun Gothic" w:eastAsia="Malgun Gothic"/>
          <w:sz w:val="21"/>
        </w:rPr>
        <w:t>참고로 class-weight 비교표에는 TN=1,445, FP=504, FN=32, TP=83인 current-like model 결과가 별도로 제시되어 있다. 이 값은 class-weight 비교를 위해 같은 흐름을 재현한 검토용 결과이며, 위의 confusion matrix 그림에 표시된 과제2 원래 PyCaret 시각화 결과와는 평가 조건이 완전히 동일하지 않을 수 있다. 따라서 교수님과의 논의에서는 원래 과제2 confusion matrix는 1,450/499/32/83으로, class-weight 비교는 별도 비교표 기준으로 구분하여 설명한다.</w:t>
      </w:r>
    </w:p>
    <w:p>
      <w:pPr>
        <w:pStyle w:val="Heading1"/>
      </w:pPr>
      <w:r>
        <w:t>5. Feature Importance 검토</w:t>
      </w:r>
    </w:p>
    <w:p>
      <w:r>
        <w:rPr>
          <w:rFonts w:ascii="Malgun Gothic" w:hAnsi="Malgun Gothic" w:eastAsia="Malgun Gothic"/>
          <w:sz w:val="21"/>
        </w:rPr>
        <w:t>고혈압 관련 변수를 추가로 검토하라는 피드백과 연결하여, 기존 모델에서 어떤 변수가 예측에 상대적으로 많이 기여했는지 확인하였다. feature importance는 03_pycaret_modeling.ipynb에서 확인하였고, 04_professor_feedback_review.ipynb에서 Logistic Regression coefficient 기준으로 code 재현을 추가하였다.</w:t>
      </w:r>
    </w:p>
    <w:p>
      <w:r>
        <w:rPr>
          <w:rFonts w:ascii="Malgun Gothic" w:hAnsi="Malgun Gothic" w:eastAsia="Malgun Gothic"/>
          <w:sz w:val="21"/>
        </w:rPr>
        <w:t>Feature importance 결과는 기존 연구에서 보고된 고혈압 위험요인과 비교하여 검토하였다. BMI, sex, age, triglycerides 등은 선행연구에서도 고혈압 위험과 관련성이 보고된 변수이므로, 모델의 feature importance 결과와 변수 선정 근거를 함께 보았다. 다만 feature importance는 예측 기여도를 보여주는 자료이며, 특정 변수가 고혈압을 직접 유발한다는 의미로 해석하지 않았다.</w:t>
      </w:r>
    </w:p>
    <w:p>
      <w:pPr>
        <w:pStyle w:val="Heading1"/>
      </w:pPr>
      <w:r>
        <w:t>6. 기존 모델 변수 선정 근거 검토</w:t>
      </w:r>
    </w:p>
    <w:p>
      <w:r>
        <w:rPr>
          <w:rFonts w:ascii="Malgun Gothic" w:hAnsi="Malgun Gothic" w:eastAsia="Malgun Gothic"/>
          <w:sz w:val="21"/>
        </w:rPr>
        <w:t>과제2 모델에 사용된 변수는 실제 notebook 구현을 기준으로 확인하였다. HE_sbp와 HE_dbp는 target 생성에 사용되었기 때문에 모델 feature에서는 제외하였다.</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t>변수</w:t>
            </w:r>
          </w:p>
        </w:tc>
        <w:tc>
          <w:tcPr>
            <w:tcW w:type="dxa" w:w="3264"/>
          </w:tcPr>
          <w:p>
            <w:r>
              <w:t>범주</w:t>
            </w:r>
          </w:p>
        </w:tc>
        <w:tc>
          <w:tcPr>
            <w:tcW w:type="dxa" w:w="3264"/>
          </w:tcPr>
          <w:p>
            <w:r>
              <w:t>선정 근거</w:t>
            </w:r>
          </w:p>
        </w:tc>
      </w:tr>
      <w:tr>
        <w:tc>
          <w:tcPr>
            <w:tcW w:type="dxa" w:w="3264"/>
          </w:tcPr>
          <w:p>
            <w:r>
              <w:t>age</w:t>
            </w:r>
          </w:p>
        </w:tc>
        <w:tc>
          <w:tcPr>
            <w:tcW w:type="dxa" w:w="3264"/>
          </w:tcPr>
          <w:p>
            <w:r>
              <w:t>demographic</w:t>
            </w:r>
          </w:p>
        </w:tc>
        <w:tc>
          <w:tcPr>
            <w:tcW w:type="dxa" w:w="3264"/>
          </w:tcPr>
          <w:p>
            <w:r>
              <w:t>나이가 증가할수록 고혈압 유병률이 증가하는 경향이 있어 기본 인구학적 변수로 포함하였다.</w:t>
            </w:r>
          </w:p>
        </w:tc>
      </w:tr>
      <w:tr>
        <w:tc>
          <w:tcPr>
            <w:tcW w:type="dxa" w:w="3264"/>
          </w:tcPr>
          <w:p>
            <w:r>
              <w:t>sex</w:t>
            </w:r>
          </w:p>
        </w:tc>
        <w:tc>
          <w:tcPr>
            <w:tcW w:type="dxa" w:w="3264"/>
          </w:tcPr>
          <w:p>
            <w:r>
              <w:t>demographic</w:t>
            </w:r>
          </w:p>
        </w:tc>
        <w:tc>
          <w:tcPr>
            <w:tcW w:type="dxa" w:w="3264"/>
          </w:tcPr>
          <w:p>
            <w:r>
              <w:t>젊은 성인에서도 성별에 따라 고혈압 위험 차이가 보고되어 포함하였다.</w:t>
            </w:r>
          </w:p>
        </w:tc>
      </w:tr>
      <w:tr>
        <w:tc>
          <w:tcPr>
            <w:tcW w:type="dxa" w:w="3264"/>
          </w:tcPr>
          <w:p>
            <w:r>
              <w:t>HE_BMI</w:t>
            </w:r>
          </w:p>
        </w:tc>
        <w:tc>
          <w:tcPr>
            <w:tcW w:type="dxa" w:w="3264"/>
          </w:tcPr>
          <w:p>
            <w:r>
              <w:t>metabolic</w:t>
            </w:r>
          </w:p>
        </w:tc>
        <w:tc>
          <w:tcPr>
            <w:tcW w:type="dxa" w:w="3264"/>
          </w:tcPr>
          <w:p>
            <w:r>
              <w:t>BMI는 비만 정도를 나타내며, 고혈압 위험과 관련된 주요 대사 지표로 검토하였다.</w:t>
            </w:r>
          </w:p>
        </w:tc>
      </w:tr>
      <w:tr>
        <w:tc>
          <w:tcPr>
            <w:tcW w:type="dxa" w:w="3264"/>
          </w:tcPr>
          <w:p>
            <w:r>
              <w:t>HE_glu</w:t>
            </w:r>
          </w:p>
        </w:tc>
        <w:tc>
          <w:tcPr>
            <w:tcW w:type="dxa" w:w="3264"/>
          </w:tcPr>
          <w:p>
            <w:r>
              <w:t>metabolic</w:t>
            </w:r>
          </w:p>
        </w:tc>
        <w:tc>
          <w:tcPr>
            <w:tcW w:type="dxa" w:w="3264"/>
          </w:tcPr>
          <w:p>
            <w:r>
              <w:t>공복혈당은 당대사 상태를 반영하며, 고혈압 및 심혈관 위험과 함께 고려될 수 있어 포함하였다.</w:t>
            </w:r>
          </w:p>
        </w:tc>
      </w:tr>
      <w:tr>
        <w:tc>
          <w:tcPr>
            <w:tcW w:type="dxa" w:w="3264"/>
          </w:tcPr>
          <w:p>
            <w:r>
              <w:t>HE_TG</w:t>
            </w:r>
          </w:p>
        </w:tc>
        <w:tc>
          <w:tcPr>
            <w:tcW w:type="dxa" w:w="3264"/>
          </w:tcPr>
          <w:p>
            <w:r>
              <w:t>metabolic</w:t>
            </w:r>
          </w:p>
        </w:tc>
        <w:tc>
          <w:tcPr>
            <w:tcW w:type="dxa" w:w="3264"/>
          </w:tcPr>
          <w:p>
            <w:r>
              <w:t>중성지방은 지질대사 상태를 보여주는 지표로, 고혈압 관련 대사 위험요인으로 검토하였다.</w:t>
            </w:r>
          </w:p>
        </w:tc>
      </w:tr>
      <w:tr>
        <w:tc>
          <w:tcPr>
            <w:tcW w:type="dxa" w:w="3264"/>
          </w:tcPr>
          <w:p>
            <w:r>
              <w:t>sm_presnt</w:t>
            </w:r>
          </w:p>
        </w:tc>
        <w:tc>
          <w:tcPr>
            <w:tcW w:type="dxa" w:w="3264"/>
          </w:tcPr>
          <w:p>
            <w:r>
              <w:t>lifestyle</w:t>
            </w:r>
          </w:p>
        </w:tc>
        <w:tc>
          <w:tcPr>
            <w:tcW w:type="dxa" w:w="3264"/>
          </w:tcPr>
          <w:p>
            <w:r>
              <w:t>현재 흡연 여부는 생활습관 관련 위험요인으로 고혈압과의 관련성을 검토할 수 있어 포함하였다.</w:t>
            </w:r>
          </w:p>
        </w:tc>
      </w:tr>
      <w:tr>
        <w:tc>
          <w:tcPr>
            <w:tcW w:type="dxa" w:w="3264"/>
          </w:tcPr>
          <w:p>
            <w:r>
              <w:t>dr_month</w:t>
            </w:r>
          </w:p>
        </w:tc>
        <w:tc>
          <w:tcPr>
            <w:tcW w:type="dxa" w:w="3264"/>
          </w:tcPr>
          <w:p>
            <w:r>
              <w:t>lifestyle</w:t>
            </w:r>
          </w:p>
        </w:tc>
        <w:tc>
          <w:tcPr>
            <w:tcW w:type="dxa" w:w="3264"/>
          </w:tcPr>
          <w:p>
            <w:r>
              <w:t>월간 음주는 음주 습관을 반영하며, 혈압 및 고혈압 위험과 관련될 수 있어 포함하였다.</w:t>
            </w:r>
          </w:p>
        </w:tc>
      </w:tr>
      <w:tr>
        <w:tc>
          <w:tcPr>
            <w:tcW w:type="dxa" w:w="3264"/>
          </w:tcPr>
          <w:p>
            <w:r>
              <w:t>pa_aerobic</w:t>
            </w:r>
          </w:p>
        </w:tc>
        <w:tc>
          <w:tcPr>
            <w:tcW w:type="dxa" w:w="3264"/>
          </w:tcPr>
          <w:p>
            <w:r>
              <w:t>lifestyle</w:t>
            </w:r>
          </w:p>
        </w:tc>
        <w:tc>
          <w:tcPr>
            <w:tcW w:type="dxa" w:w="3264"/>
          </w:tcPr>
          <w:p>
            <w:r>
              <w:t>유산소 신체활동은 혈압 관리와 관련된 생활습관 변수로 포함하였다.</w:t>
            </w:r>
          </w:p>
        </w:tc>
      </w:tr>
      <w:tr>
        <w:tc>
          <w:tcPr>
            <w:tcW w:type="dxa" w:w="3264"/>
          </w:tcPr>
          <w:p>
            <w:r>
              <w:t>incm</w:t>
            </w:r>
          </w:p>
        </w:tc>
        <w:tc>
          <w:tcPr>
            <w:tcW w:type="dxa" w:w="3264"/>
          </w:tcPr>
          <w:p>
            <w:r>
              <w:t>socioeconomic</w:t>
            </w:r>
          </w:p>
        </w:tc>
        <w:tc>
          <w:tcPr>
            <w:tcW w:type="dxa" w:w="3264"/>
          </w:tcPr>
          <w:p>
            <w:r>
              <w:t>소득 수준은 건강행태와 의료 접근성 등 사회경제적 요인을 반영할 수 있어 포함하였다.</w:t>
            </w:r>
          </w:p>
        </w:tc>
      </w:tr>
      <w:tr>
        <w:tc>
          <w:tcPr>
            <w:tcW w:type="dxa" w:w="3264"/>
          </w:tcPr>
          <w:p>
            <w:r>
              <w:t>educ</w:t>
            </w:r>
          </w:p>
        </w:tc>
        <w:tc>
          <w:tcPr>
            <w:tcW w:type="dxa" w:w="3264"/>
          </w:tcPr>
          <w:p>
            <w:r>
              <w:t>socioeconomic</w:t>
            </w:r>
          </w:p>
        </w:tc>
        <w:tc>
          <w:tcPr>
            <w:tcW w:type="dxa" w:w="3264"/>
          </w:tcPr>
          <w:p>
            <w:r>
              <w:t>교육 수준은 사회경제적 배경과 건강행태 차이를 반영할 수 있어 포함하였다.</w:t>
            </w:r>
          </w:p>
        </w:tc>
      </w:tr>
      <w:tr>
        <w:tc>
          <w:tcPr>
            <w:tcW w:type="dxa" w:w="3264"/>
          </w:tcPr>
          <w:p>
            <w:r>
              <w:t>covid_period</w:t>
            </w:r>
          </w:p>
        </w:tc>
        <w:tc>
          <w:tcPr>
            <w:tcW w:type="dxa" w:w="3264"/>
          </w:tcPr>
          <w:p>
            <w:r>
              <w:t>contextual</w:t>
            </w:r>
          </w:p>
        </w:tc>
        <w:tc>
          <w:tcPr>
            <w:tcW w:type="dxa" w:w="3264"/>
          </w:tcPr>
          <w:p>
            <w:r>
              <w:t>COVID-19 전후 시기 차이를 반영하기 위한 context variable로 포함하였다. 고혈압의 직접 원인으로 해석하지 않는다.</w:t>
            </w:r>
          </w:p>
        </w:tc>
      </w:tr>
    </w:tbl>
    <w:p>
      <w:r>
        <w:rPr>
          <w:rFonts w:ascii="Malgun Gothic" w:hAnsi="Malgun Gothic" w:eastAsia="Malgun Gothic"/>
          <w:sz w:val="21"/>
        </w:rPr>
        <w:t>각 변수의 previous-study 근거는 references/hypertension_variable_references.docx에 별도로 정리하였다.</w:t>
      </w:r>
    </w:p>
    <w:p>
      <w:pPr>
        <w:pStyle w:val="Heading1"/>
      </w:pPr>
      <w:r>
        <w:t>7. educ=99 전처리 이슈 확인</w:t>
      </w:r>
    </w:p>
    <w:p>
      <w:r>
        <w:rPr>
          <w:rFonts w:ascii="Malgun Gothic" w:hAnsi="Malgun Gothic" w:eastAsia="Malgun Gothic"/>
          <w:sz w:val="21"/>
        </w:rPr>
        <w:t>feedback-review 과정에서 feature importance에 educ_99.0 항목이 나타난 것을 확인하였다. 이후 raw SAV 파일과 processed CSV를 다시 확인한 결과, educ=99는 결측치 대체 과정에서 새로 만들어진 값이 아니라 원자료에 이미 존재하던 special-code category로 확인되었다.</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t>검토 항목</w:t>
            </w:r>
          </w:p>
        </w:tc>
        <w:tc>
          <w:tcPr>
            <w:tcW w:type="dxa" w:w="3264"/>
          </w:tcPr>
          <w:p>
            <w:r>
              <w:t>Assignment 2 original cohort</w:t>
            </w:r>
          </w:p>
        </w:tc>
        <w:tc>
          <w:tcPr>
            <w:tcW w:type="dxa" w:w="3264"/>
          </w:tcPr>
          <w:p>
            <w:r>
              <w:t>Email review cohort</w:t>
            </w:r>
          </w:p>
        </w:tc>
      </w:tr>
      <w:tr>
        <w:tc>
          <w:tcPr>
            <w:tcW w:type="dxa" w:w="3264"/>
          </w:tcPr>
          <w:p>
            <w:r>
              <w:t>Cohort size</w:t>
            </w:r>
          </w:p>
        </w:tc>
        <w:tc>
          <w:tcPr>
            <w:tcW w:type="dxa" w:w="3264"/>
          </w:tcPr>
          <w:p>
            <w:r>
              <w:t>10,974</w:t>
            </w:r>
          </w:p>
        </w:tc>
        <w:tc>
          <w:tcPr>
            <w:tcW w:type="dxa" w:w="3264"/>
          </w:tcPr>
          <w:p>
            <w:r>
              <w:t>10,319</w:t>
            </w:r>
          </w:p>
        </w:tc>
      </w:tr>
      <w:tr>
        <w:tc>
          <w:tcPr>
            <w:tcW w:type="dxa" w:w="3264"/>
          </w:tcPr>
          <w:p>
            <w:r>
              <w:t>educ=99 before imputation</w:t>
            </w:r>
          </w:p>
        </w:tc>
        <w:tc>
          <w:tcPr>
            <w:tcW w:type="dxa" w:w="3264"/>
          </w:tcPr>
          <w:p>
            <w:r>
              <w:t>321</w:t>
            </w:r>
          </w:p>
        </w:tc>
        <w:tc>
          <w:tcPr>
            <w:tcW w:type="dxa" w:w="3264"/>
          </w:tcPr>
          <w:p>
            <w:r>
              <w:t>291</w:t>
            </w:r>
          </w:p>
        </w:tc>
      </w:tr>
      <w:tr>
        <w:tc>
          <w:tcPr>
            <w:tcW w:type="dxa" w:w="3264"/>
          </w:tcPr>
          <w:p>
            <w:r>
              <w:t>educ missing before imputation</w:t>
            </w:r>
          </w:p>
        </w:tc>
        <w:tc>
          <w:tcPr>
            <w:tcW w:type="dxa" w:w="3264"/>
          </w:tcPr>
          <w:p>
            <w:r>
              <w:t>507</w:t>
            </w:r>
          </w:p>
        </w:tc>
        <w:tc>
          <w:tcPr>
            <w:tcW w:type="dxa" w:w="3264"/>
          </w:tcPr>
          <w:p>
            <w:r>
              <w:t>3</w:t>
            </w:r>
          </w:p>
        </w:tc>
      </w:tr>
      <w:tr>
        <w:tc>
          <w:tcPr>
            <w:tcW w:type="dxa" w:w="3264"/>
          </w:tcPr>
          <w:p>
            <w:r>
              <w:t>educ imputation value</w:t>
            </w:r>
          </w:p>
        </w:tc>
        <w:tc>
          <w:tcPr>
            <w:tcW w:type="dxa" w:w="3264"/>
          </w:tcPr>
          <w:p>
            <w:r>
              <w:t>7.0</w:t>
            </w:r>
          </w:p>
        </w:tc>
        <w:tc>
          <w:tcPr>
            <w:tcW w:type="dxa" w:w="3264"/>
          </w:tcPr>
          <w:p>
            <w:r>
              <w:t>7.0</w:t>
            </w:r>
          </w:p>
        </w:tc>
      </w:tr>
      <w:tr>
        <w:tc>
          <w:tcPr>
            <w:tcW w:type="dxa" w:w="3264"/>
          </w:tcPr>
          <w:p>
            <w:r>
              <w:t>educ=99 after imputation</w:t>
            </w:r>
          </w:p>
        </w:tc>
        <w:tc>
          <w:tcPr>
            <w:tcW w:type="dxa" w:w="3264"/>
          </w:tcPr>
          <w:p>
            <w:r>
              <w:t>321</w:t>
            </w:r>
          </w:p>
        </w:tc>
        <w:tc>
          <w:tcPr>
            <w:tcW w:type="dxa" w:w="3264"/>
          </w:tcPr>
          <w:p>
            <w:r>
              <w:t>291</w:t>
            </w:r>
          </w:p>
        </w:tc>
      </w:tr>
      <w:tr>
        <w:tc>
          <w:tcPr>
            <w:tcW w:type="dxa" w:w="3264"/>
          </w:tcPr>
          <w:p>
            <w:r>
              <w:t>Encoded result</w:t>
            </w:r>
          </w:p>
        </w:tc>
        <w:tc>
          <w:tcPr>
            <w:tcW w:type="dxa" w:w="3264"/>
          </w:tcPr>
          <w:p>
            <w:r>
              <w:t>educ_99.0</w:t>
            </w:r>
          </w:p>
        </w:tc>
        <w:tc>
          <w:tcPr>
            <w:tcW w:type="dxa" w:w="3264"/>
          </w:tcPr>
          <w:p>
            <w:r>
              <w:t>educ_99.0</w:t>
            </w:r>
          </w:p>
        </w:tc>
      </w:tr>
    </w:tbl>
    <w:p>
      <w:r>
        <w:rPr>
          <w:rFonts w:ascii="Malgun Gothic" w:hAnsi="Malgun Gothic" w:eastAsia="Malgun Gothic"/>
          <w:sz w:val="21"/>
        </w:rPr>
        <w:t>따라서 educ_99.0은 일반적인 교육수준 category로 해석하기 어렵고, 향후 분석에서는 KNHANES codebook을 확인한 뒤 missing 또는 unknown category로 recoding한 후 모델링하는 것이 더 적절하다. 본 review branch에서는 이 문제를 문서화만 하였고, 기존 과제2 모델을 다시 학습하거나 성능 지표를 변경하지 않았다.</w:t>
      </w:r>
    </w:p>
    <w:p>
      <w:pPr>
        <w:pStyle w:val="Heading1"/>
      </w:pPr>
      <w:r>
        <w:t>8. 교수님 피드백 이후 추가 검토한 변수</w:t>
      </w:r>
    </w:p>
    <w:p>
      <w:r>
        <w:rPr>
          <w:rFonts w:ascii="Malgun Gothic" w:hAnsi="Malgun Gothic" w:eastAsia="Malgun Gothic"/>
          <w:sz w:val="21"/>
        </w:rPr>
        <w:t>교수님 피드백에 따라 기존 변수 외에 고혈압과 관련될 수 있는 변수를 추가로 검토하였다. 이 과정은 체계적 문헌고찰을 수행한 것은 아니며, 수업 프로젝트 범위에서 기존 연구에서 자주 언급되는 관련 변수를 확인한 것이다.</w:t>
      </w:r>
    </w:p>
    <w:p>
      <w:r>
        <w:rPr>
          <w:rFonts w:ascii="Malgun Gothic" w:hAnsi="Malgun Gothic" w:eastAsia="Malgun Gothic"/>
          <w:sz w:val="21"/>
        </w:rPr>
        <w:t>추가 검토 변수는 실제 notebook/experiment implementation에서 사용한 변수명을 기준으로 정리하였다. 가족력 변수는 HE_HPfh1을 사용하였고, stress 변수는 BP1이 아니라 mh_stress를 사용하였다. HE_HPfh2와 HE_HPfh3도 candidate availability table에는 포함되지만, 이번 feature-expansion 비교에는 HE_HPfh1만 사용한 것으로 정리하였다.</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t>변수</w:t>
            </w:r>
          </w:p>
        </w:tc>
        <w:tc>
          <w:tcPr>
            <w:tcW w:type="dxa" w:w="3264"/>
          </w:tcPr>
          <w:p>
            <w:r>
              <w:t>참고 연구</w:t>
            </w:r>
          </w:p>
        </w:tc>
        <w:tc>
          <w:tcPr>
            <w:tcW w:type="dxa" w:w="3264"/>
          </w:tcPr>
          <w:p>
            <w:r>
              <w:t>주요 내용</w:t>
            </w:r>
          </w:p>
        </w:tc>
      </w:tr>
      <w:tr>
        <w:tc>
          <w:tcPr>
            <w:tcW w:type="dxa" w:w="3264"/>
          </w:tcPr>
          <w:p>
            <w:r>
              <w:t>HE_wc</w:t>
            </w:r>
          </w:p>
        </w:tc>
        <w:tc>
          <w:tcPr>
            <w:tcW w:type="dxa" w:w="3264"/>
          </w:tcPr>
          <w:p>
            <w:r>
              <w:t>Abdominal Obesity and Incident Hypertension (medRxiv)</w:t>
            </w:r>
          </w:p>
        </w:tc>
        <w:tc>
          <w:tcPr>
            <w:tcW w:type="dxa" w:w="3264"/>
          </w:tcPr>
          <w:p>
            <w:r>
              <w:t>허리둘레로 확인되는 복부비만은 고혈압 발생 위험 증가와 관련될 수 있다.</w:t>
            </w:r>
          </w:p>
        </w:tc>
      </w:tr>
      <w:tr>
        <w:tc>
          <w:tcPr>
            <w:tcW w:type="dxa" w:w="3264"/>
          </w:tcPr>
          <w:p>
            <w:r>
              <w:t>HE_HbA1c</w:t>
            </w:r>
          </w:p>
        </w:tc>
        <w:tc>
          <w:tcPr>
            <w:tcW w:type="dxa" w:w="3264"/>
          </w:tcPr>
          <w:p>
            <w:r>
              <w:t>Fasting Glucose/HbA1c and Hypertension (PMC6486972)</w:t>
            </w:r>
          </w:p>
        </w:tc>
        <w:tc>
          <w:tcPr>
            <w:tcW w:type="dxa" w:w="3264"/>
          </w:tcPr>
          <w:p>
            <w:r>
              <w:t>HbA1c 상승 등 prediabetes 지표는 고혈압 위험 증가와 관련될 수 있다.</w:t>
            </w:r>
          </w:p>
        </w:tc>
      </w:tr>
      <w:tr>
        <w:tc>
          <w:tcPr>
            <w:tcW w:type="dxa" w:w="3264"/>
          </w:tcPr>
          <w:p>
            <w:r>
              <w:t>HE_chol</w:t>
            </w:r>
          </w:p>
        </w:tc>
        <w:tc>
          <w:tcPr>
            <w:tcW w:type="dxa" w:w="3264"/>
          </w:tcPr>
          <w:p>
            <w:r>
              <w:t>Dyslipidemia and Hypertension (PMC9416084)</w:t>
            </w:r>
          </w:p>
        </w:tc>
        <w:tc>
          <w:tcPr>
            <w:tcW w:type="dxa" w:w="3264"/>
          </w:tcPr>
          <w:p>
            <w:r>
              <w:t>총콜레스테롤을 포함한 이상지질혈증 패턴은 고혈압과 관련될 수 있다.</w:t>
            </w:r>
          </w:p>
        </w:tc>
      </w:tr>
      <w:tr>
        <w:tc>
          <w:tcPr>
            <w:tcW w:type="dxa" w:w="3264"/>
          </w:tcPr>
          <w:p>
            <w:r>
              <w:t>HE_HDL_st2</w:t>
            </w:r>
          </w:p>
        </w:tc>
        <w:tc>
          <w:tcPr>
            <w:tcW w:type="dxa" w:w="3264"/>
          </w:tcPr>
          <w:p>
            <w:r>
              <w:t>TG/HDL Ratio and Hypertension (Journal of Human Hypertension)</w:t>
            </w:r>
          </w:p>
        </w:tc>
        <w:tc>
          <w:tcPr>
            <w:tcW w:type="dxa" w:w="3264"/>
          </w:tcPr>
          <w:p>
            <w:r>
              <w:t>HDL cholesterol 증가는 고혈압 위험 감소와 관련된 방향으로 보고되었다.</w:t>
            </w:r>
          </w:p>
        </w:tc>
      </w:tr>
      <w:tr>
        <w:tc>
          <w:tcPr>
            <w:tcW w:type="dxa" w:w="3264"/>
          </w:tcPr>
          <w:p>
            <w:r>
              <w:t>HE_HPfh1</w:t>
            </w:r>
          </w:p>
        </w:tc>
        <w:tc>
          <w:tcPr>
            <w:tcW w:type="dxa" w:w="3264"/>
          </w:tcPr>
          <w:p>
            <w:r>
              <w:t>Family History and Hypertension in Young Adults (PMC10545328)</w:t>
            </w:r>
          </w:p>
        </w:tc>
        <w:tc>
          <w:tcPr>
            <w:tcW w:type="dxa" w:w="3264"/>
          </w:tcPr>
          <w:p>
            <w:r>
              <w:t>부모의 고혈압 가족력은 젊은 성인의 고혈압 위험과 관련될 수 있다.</w:t>
            </w:r>
          </w:p>
        </w:tc>
      </w:tr>
      <w:tr>
        <w:tc>
          <w:tcPr>
            <w:tcW w:type="dxa" w:w="3264"/>
          </w:tcPr>
          <w:p>
            <w:r>
              <w:t>mh_stress</w:t>
            </w:r>
          </w:p>
        </w:tc>
        <w:tc>
          <w:tcPr>
            <w:tcW w:type="dxa" w:w="3264"/>
          </w:tcPr>
          <w:p>
            <w:r>
              <w:t>Stress and Hypertension: Jackson Heart Study (PMC6898810)</w:t>
            </w:r>
          </w:p>
        </w:tc>
        <w:tc>
          <w:tcPr>
            <w:tcW w:type="dxa" w:w="3264"/>
          </w:tcPr>
          <w:p>
            <w:r>
              <w:t>만성적 높은 스트레스는 고혈압 위험 증가와 관련될 수 있다.</w:t>
            </w:r>
          </w:p>
        </w:tc>
      </w:tr>
    </w:tbl>
    <w:p>
      <w:r>
        <w:rPr>
          <w:rFonts w:ascii="Malgun Gothic" w:hAnsi="Malgun Gothic" w:eastAsia="Malgun Gothic"/>
          <w:sz w:val="21"/>
        </w:rPr>
        <w:t>후보 변수의 사용 가능 여부는 04_professor_feedback_review.ipynb에서 raw SAV 파일을 읽어 code로 확인하였다.</w:t>
      </w:r>
    </w:p>
    <w:p>
      <w:pPr>
        <w:pStyle w:val="Heading1"/>
      </w:pPr>
      <w:r>
        <w:t>9. 추가 변수 적용 결과</w:t>
      </w:r>
    </w:p>
    <w:p>
      <w:r>
        <w:rPr>
          <w:rFonts w:ascii="Malgun Gothic" w:hAnsi="Malgun Gothic" w:eastAsia="Malgun Gothic"/>
          <w:sz w:val="21"/>
        </w:rPr>
        <w:t>위 변수들을 추가한 후, 기존 Logistic Regression 흐름을 유지한 상태에서 간단한 비교를 수행하였다. 결측값 처리 후 비교에 사용된 표본 수는 9,889명이었다.</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t>지표</w:t>
            </w:r>
          </w:p>
        </w:tc>
        <w:tc>
          <w:tcPr>
            <w:tcW w:type="dxa" w:w="3264"/>
          </w:tcPr>
          <w:p>
            <w:r>
              <w:t>기존 모델</w:t>
            </w:r>
          </w:p>
        </w:tc>
        <w:tc>
          <w:tcPr>
            <w:tcW w:type="dxa" w:w="3264"/>
          </w:tcPr>
          <w:p>
            <w:r>
              <w:t>추가 변수 모델</w:t>
            </w:r>
          </w:p>
        </w:tc>
      </w:tr>
      <w:tr>
        <w:tc>
          <w:tcPr>
            <w:tcW w:type="dxa" w:w="3264"/>
          </w:tcPr>
          <w:p>
            <w:r>
              <w:t>결측 제외 후 표본 수</w:t>
            </w:r>
          </w:p>
        </w:tc>
        <w:tc>
          <w:tcPr>
            <w:tcW w:type="dxa" w:w="3264"/>
          </w:tcPr>
          <w:p>
            <w:r>
              <w:t>9,889</w:t>
            </w:r>
          </w:p>
        </w:tc>
        <w:tc>
          <w:tcPr>
            <w:tcW w:type="dxa" w:w="3264"/>
          </w:tcPr>
          <w:p>
            <w:r>
              <w:t>9,889</w:t>
            </w:r>
          </w:p>
        </w:tc>
      </w:tr>
      <w:tr>
        <w:tc>
          <w:tcPr>
            <w:tcW w:type="dxa" w:w="3264"/>
          </w:tcPr>
          <w:p>
            <w:r>
              <w:t>Precision</w:t>
            </w:r>
          </w:p>
        </w:tc>
        <w:tc>
          <w:tcPr>
            <w:tcW w:type="dxa" w:w="3264"/>
          </w:tcPr>
          <w:p>
            <w:r>
              <w:t>0.1372</w:t>
            </w:r>
          </w:p>
        </w:tc>
        <w:tc>
          <w:tcPr>
            <w:tcW w:type="dxa" w:w="3264"/>
          </w:tcPr>
          <w:p>
            <w:r>
              <w:t>0.1434</w:t>
            </w:r>
          </w:p>
        </w:tc>
      </w:tr>
      <w:tr>
        <w:tc>
          <w:tcPr>
            <w:tcW w:type="dxa" w:w="3264"/>
          </w:tcPr>
          <w:p>
            <w:r>
              <w:t>Recall</w:t>
            </w:r>
          </w:p>
        </w:tc>
        <w:tc>
          <w:tcPr>
            <w:tcW w:type="dxa" w:w="3264"/>
          </w:tcPr>
          <w:p>
            <w:r>
              <w:t>0.7248</w:t>
            </w:r>
          </w:p>
        </w:tc>
        <w:tc>
          <w:tcPr>
            <w:tcW w:type="dxa" w:w="3264"/>
          </w:tcPr>
          <w:p>
            <w:r>
              <w:t>0.7064</w:t>
            </w:r>
          </w:p>
        </w:tc>
      </w:tr>
      <w:tr>
        <w:tc>
          <w:tcPr>
            <w:tcW w:type="dxa" w:w="3264"/>
          </w:tcPr>
          <w:p>
            <w:r>
              <w:t>F1</w:t>
            </w:r>
          </w:p>
        </w:tc>
        <w:tc>
          <w:tcPr>
            <w:tcW w:type="dxa" w:w="3264"/>
          </w:tcPr>
          <w:p>
            <w:r>
              <w:t>0.2307</w:t>
            </w:r>
          </w:p>
        </w:tc>
        <w:tc>
          <w:tcPr>
            <w:tcW w:type="dxa" w:w="3264"/>
          </w:tcPr>
          <w:p>
            <w:r>
              <w:t>0.2384</w:t>
            </w:r>
          </w:p>
        </w:tc>
      </w:tr>
      <w:tr>
        <w:tc>
          <w:tcPr>
            <w:tcW w:type="dxa" w:w="3264"/>
          </w:tcPr>
          <w:p>
            <w:r>
              <w:t>ROC AUC</w:t>
            </w:r>
          </w:p>
        </w:tc>
        <w:tc>
          <w:tcPr>
            <w:tcW w:type="dxa" w:w="3264"/>
          </w:tcPr>
          <w:p>
            <w:r>
              <w:t>0.7952</w:t>
            </w:r>
          </w:p>
        </w:tc>
        <w:tc>
          <w:tcPr>
            <w:tcW w:type="dxa" w:w="3264"/>
          </w:tcPr>
          <w:p>
            <w:r>
              <w:t>0.8084</w:t>
            </w:r>
          </w:p>
        </w:tc>
      </w:tr>
      <w:tr>
        <w:tc>
          <w:tcPr>
            <w:tcW w:type="dxa" w:w="3264"/>
          </w:tcPr>
          <w:p>
            <w:r>
              <w:t>Average Precision</w:t>
            </w:r>
          </w:p>
        </w:tc>
        <w:tc>
          <w:tcPr>
            <w:tcW w:type="dxa" w:w="3264"/>
          </w:tcPr>
          <w:p>
            <w:r>
              <w:t>0.1784</w:t>
            </w:r>
          </w:p>
        </w:tc>
        <w:tc>
          <w:tcPr>
            <w:tcW w:type="dxa" w:w="3264"/>
          </w:tcPr>
          <w:p>
            <w:r>
              <w:t>0.1819</w:t>
            </w:r>
          </w:p>
        </w:tc>
      </w:tr>
    </w:tbl>
    <w:p>
      <w:r>
        <w:rPr>
          <w:rFonts w:ascii="Malgun Gothic" w:hAnsi="Malgun Gothic" w:eastAsia="Malgun Gothic"/>
          <w:sz w:val="21"/>
        </w:rPr>
        <w:t>일부 지표에서 성능 향상이 확인되었으나 개선 폭은 크지 않았다. 또한 recall은 약간 낮아지는 결과가 나타났다. 따라서 추가 변수 사용 여부에 대해서는 confusion matrix, precision, recall의 균형을 함께 보면서 추가 논의가 필요하다.</w:t>
      </w:r>
    </w:p>
    <w:p>
      <w:r>
        <w:rPr>
          <w:rFonts w:ascii="Malgun Gothic" w:hAnsi="Malgun Gothic" w:eastAsia="Malgun Gothic"/>
          <w:sz w:val="21"/>
        </w:rPr>
        <w:t>상세 결과는 04_professor_feedback_review.ipynb의 feature-expansion comparison section에서 code로 재현하였다.</w:t>
      </w:r>
    </w:p>
    <w:p>
      <w:pPr>
        <w:pStyle w:val="Heading1"/>
      </w:pPr>
      <w:r>
        <w:t>10. 클래스 불균형 처리 검토</w:t>
      </w:r>
    </w:p>
    <w:p>
      <w:r>
        <w:rPr>
          <w:rFonts w:ascii="Malgun Gothic" w:hAnsi="Malgun Gothic" w:eastAsia="Malgun Gothic"/>
          <w:sz w:val="21"/>
        </w:rPr>
        <w:t>고혈압군 비율이 낮기 때문에, 교수님 피드백에 따라 class imbalance 처리 방식도 추가로 비교하였다. 비교 대상은 SMOTE + class weight 적용 방식과 class weight만 적용한 방식이다.</w:t>
      </w:r>
    </w:p>
    <w:tbl>
      <w:tblPr>
        <w:tblStyle w:val="TableGrid"/>
        <w:tblW w:type="auto" w:w="0"/>
        <w:tblLayout w:type="autofit"/>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Pr>
          <w:p>
            <w:r>
              <w:t>모델</w:t>
            </w:r>
          </w:p>
        </w:tc>
        <w:tc>
          <w:tcPr>
            <w:tcW w:type="dxa" w:w="979"/>
          </w:tcPr>
          <w:p>
            <w:r>
              <w:t>TN</w:t>
            </w:r>
          </w:p>
        </w:tc>
        <w:tc>
          <w:tcPr>
            <w:tcW w:type="dxa" w:w="979"/>
          </w:tcPr>
          <w:p>
            <w:r>
              <w:t>FP</w:t>
            </w:r>
          </w:p>
        </w:tc>
        <w:tc>
          <w:tcPr>
            <w:tcW w:type="dxa" w:w="979"/>
          </w:tcPr>
          <w:p>
            <w:r>
              <w:t>FN</w:t>
            </w:r>
          </w:p>
        </w:tc>
        <w:tc>
          <w:tcPr>
            <w:tcW w:type="dxa" w:w="979"/>
          </w:tcPr>
          <w:p>
            <w:r>
              <w:t>TP</w:t>
            </w:r>
          </w:p>
        </w:tc>
        <w:tc>
          <w:tcPr>
            <w:tcW w:type="dxa" w:w="979"/>
          </w:tcPr>
          <w:p>
            <w:r>
              <w:t>Precision</w:t>
            </w:r>
          </w:p>
        </w:tc>
        <w:tc>
          <w:tcPr>
            <w:tcW w:type="dxa" w:w="979"/>
          </w:tcPr>
          <w:p>
            <w:r>
              <w:t>Recall</w:t>
            </w:r>
          </w:p>
        </w:tc>
        <w:tc>
          <w:tcPr>
            <w:tcW w:type="dxa" w:w="979"/>
          </w:tcPr>
          <w:p>
            <w:r>
              <w:t>F1</w:t>
            </w:r>
          </w:p>
        </w:tc>
        <w:tc>
          <w:tcPr>
            <w:tcW w:type="dxa" w:w="979"/>
          </w:tcPr>
          <w:p>
            <w:r>
              <w:t>ROC AUC</w:t>
            </w:r>
          </w:p>
        </w:tc>
        <w:tc>
          <w:tcPr>
            <w:tcW w:type="dxa" w:w="979"/>
          </w:tcPr>
          <w:p>
            <w:r>
              <w:t>Average Precision</w:t>
            </w:r>
          </w:p>
        </w:tc>
      </w:tr>
      <w:tr>
        <w:tc>
          <w:tcPr>
            <w:tcW w:type="dxa" w:w="979"/>
          </w:tcPr>
          <w:p>
            <w:r>
              <w:t>SMOTE + class weight</w:t>
            </w:r>
          </w:p>
        </w:tc>
        <w:tc>
          <w:tcPr>
            <w:tcW w:type="dxa" w:w="979"/>
          </w:tcPr>
          <w:p>
            <w:r>
              <w:t>1,445</w:t>
            </w:r>
          </w:p>
        </w:tc>
        <w:tc>
          <w:tcPr>
            <w:tcW w:type="dxa" w:w="979"/>
          </w:tcPr>
          <w:p>
            <w:r>
              <w:t>504</w:t>
            </w:r>
          </w:p>
        </w:tc>
        <w:tc>
          <w:tcPr>
            <w:tcW w:type="dxa" w:w="979"/>
          </w:tcPr>
          <w:p>
            <w:r>
              <w:t>32</w:t>
            </w:r>
          </w:p>
        </w:tc>
        <w:tc>
          <w:tcPr>
            <w:tcW w:type="dxa" w:w="979"/>
          </w:tcPr>
          <w:p>
            <w:r>
              <w:t>83</w:t>
            </w:r>
          </w:p>
        </w:tc>
        <w:tc>
          <w:tcPr>
            <w:tcW w:type="dxa" w:w="979"/>
          </w:tcPr>
          <w:p>
            <w:r>
              <w:t>0.1414</w:t>
            </w:r>
          </w:p>
        </w:tc>
        <w:tc>
          <w:tcPr>
            <w:tcW w:type="dxa" w:w="979"/>
          </w:tcPr>
          <w:p>
            <w:r>
              <w:t>0.7217</w:t>
            </w:r>
          </w:p>
        </w:tc>
        <w:tc>
          <w:tcPr>
            <w:tcW w:type="dxa" w:w="979"/>
          </w:tcPr>
          <w:p>
            <w:r>
              <w:t>0.2365</w:t>
            </w:r>
          </w:p>
        </w:tc>
        <w:tc>
          <w:tcPr>
            <w:tcW w:type="dxa" w:w="979"/>
          </w:tcPr>
          <w:p>
            <w:r>
              <w:t>0.8194</w:t>
            </w:r>
          </w:p>
        </w:tc>
        <w:tc>
          <w:tcPr>
            <w:tcW w:type="dxa" w:w="979"/>
          </w:tcPr>
          <w:p>
            <w:r>
              <w:t>0.2691</w:t>
            </w:r>
          </w:p>
        </w:tc>
      </w:tr>
      <w:tr>
        <w:tc>
          <w:tcPr>
            <w:tcW w:type="dxa" w:w="979"/>
          </w:tcPr>
          <w:p>
            <w:r>
              <w:t>class weight only</w:t>
            </w:r>
          </w:p>
        </w:tc>
        <w:tc>
          <w:tcPr>
            <w:tcW w:type="dxa" w:w="979"/>
          </w:tcPr>
          <w:p>
            <w:r>
              <w:t>1,449</w:t>
            </w:r>
          </w:p>
        </w:tc>
        <w:tc>
          <w:tcPr>
            <w:tcW w:type="dxa" w:w="979"/>
          </w:tcPr>
          <w:p>
            <w:r>
              <w:t>500</w:t>
            </w:r>
          </w:p>
        </w:tc>
        <w:tc>
          <w:tcPr>
            <w:tcW w:type="dxa" w:w="979"/>
          </w:tcPr>
          <w:p>
            <w:r>
              <w:t>32</w:t>
            </w:r>
          </w:p>
        </w:tc>
        <w:tc>
          <w:tcPr>
            <w:tcW w:type="dxa" w:w="979"/>
          </w:tcPr>
          <w:p>
            <w:r>
              <w:t>83</w:t>
            </w:r>
          </w:p>
        </w:tc>
        <w:tc>
          <w:tcPr>
            <w:tcW w:type="dxa" w:w="979"/>
          </w:tcPr>
          <w:p>
            <w:r>
              <w:t>0.1424</w:t>
            </w:r>
          </w:p>
        </w:tc>
        <w:tc>
          <w:tcPr>
            <w:tcW w:type="dxa" w:w="979"/>
          </w:tcPr>
          <w:p>
            <w:r>
              <w:t>0.7217</w:t>
            </w:r>
          </w:p>
        </w:tc>
        <w:tc>
          <w:tcPr>
            <w:tcW w:type="dxa" w:w="979"/>
          </w:tcPr>
          <w:p>
            <w:r>
              <w:t>0.2378</w:t>
            </w:r>
          </w:p>
        </w:tc>
        <w:tc>
          <w:tcPr>
            <w:tcW w:type="dxa" w:w="979"/>
          </w:tcPr>
          <w:p>
            <w:r>
              <w:t>0.8199</w:t>
            </w:r>
          </w:p>
        </w:tc>
        <w:tc>
          <w:tcPr>
            <w:tcW w:type="dxa" w:w="979"/>
          </w:tcPr>
          <w:p>
            <w:r>
              <w:t>0.2595</w:t>
            </w:r>
          </w:p>
        </w:tc>
      </w:tr>
    </w:tbl>
    <w:p>
      <w:r>
        <w:rPr>
          <w:rFonts w:ascii="Malgun Gothic" w:hAnsi="Malgun Gothic" w:eastAsia="Malgun Gothic"/>
          <w:sz w:val="21"/>
        </w:rPr>
        <w:t>두 방식의 성능 차이는 크지 않은 것으로 확인하였다. class weight만 적용한 경우 precision, F1, ROC AUC가 아주 조금 높았고, SMOTE + class weight 방식은 Average Precision이 조금 높았다. 이 표는 교수님께 보낸 메일에서 공유한 class-weight 비교 결과를 정리한 것이다.</w:t>
      </w:r>
    </w:p>
    <w:p>
      <w:r>
        <w:rPr>
          <w:rFonts w:ascii="Malgun Gothic" w:hAnsi="Malgun Gothic" w:eastAsia="Malgun Gothic"/>
          <w:sz w:val="21"/>
        </w:rPr>
        <w:t>상세 결과는 04_professor_feedback_review.ipynb의 class-weight comparison section에서 code로 재현하였다.</w:t>
      </w:r>
    </w:p>
    <w:p>
      <w:pPr>
        <w:pStyle w:val="Heading1"/>
      </w:pPr>
      <w:r>
        <w:t>11. PSM 적용 검토</w:t>
      </w:r>
    </w:p>
    <w:p>
      <w:r>
        <w:rPr>
          <w:rFonts w:ascii="Malgun Gothic" w:hAnsi="Malgun Gothic" w:eastAsia="Malgun Gothic"/>
          <w:sz w:val="21"/>
        </w:rPr>
        <w:t>교수님 피드백에 따라 PSM 적용 가능성도 검토하였다. 다만 PSM을 바로 적용하기 전에, 먼저 기존 모델의 confusion matrix를 확인하고, 고혈압 관련 변수 추가 및 class imbalance 처리 방식을 비교하였다.</w:t>
      </w:r>
    </w:p>
    <w:p>
      <w:r>
        <w:rPr>
          <w:rFonts w:ascii="Malgun Gothic" w:hAnsi="Malgun Gothic" w:eastAsia="Malgun Gothic"/>
          <w:sz w:val="21"/>
        </w:rPr>
        <w:t>현재 단계에서는 PSM 적용 여부를 최종적으로 판단하기보다는, 추가 변수 적용 결과와 class weight 비교 결과를 바탕으로 논의가 필요하다고 보았다. 특히 고혈압군 예측이 어느 정도 이루어지는지, precision과 recall의 균형을 어떻게 볼 것인지, PSM을 적용할 경우 연구 질문이 어떻게 달라지는지에 대한 추가 검토가 필요하다.</w:t>
      </w:r>
    </w:p>
    <w:p>
      <w:r>
        <w:rPr>
          <w:rFonts w:ascii="Malgun Gothic" w:hAnsi="Malgun Gothic" w:eastAsia="Malgun Gothic"/>
          <w:sz w:val="21"/>
        </w:rPr>
        <w:t>따라서 본 문서에서는 PSM을 결론적으로 배제하거나 채택하지 않고, 교수님 피드백에 따른 검토 항목으로 정리하였다.</w:t>
      </w:r>
    </w:p>
    <w:p>
      <w:pPr>
        <w:pStyle w:val="Heading1"/>
      </w:pPr>
      <w:r>
        <w:t>12. 교수님 피드백 반영 체크리스트</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t>교수님 요청/논의 항목</w:t>
            </w:r>
          </w:p>
        </w:tc>
        <w:tc>
          <w:tcPr>
            <w:tcW w:type="dxa" w:w="3264"/>
          </w:tcPr>
          <w:p>
            <w:r>
              <w:t>반영 여부</w:t>
            </w:r>
          </w:p>
        </w:tc>
        <w:tc>
          <w:tcPr>
            <w:tcW w:type="dxa" w:w="3264"/>
          </w:tcPr>
          <w:p>
            <w:r>
              <w:t>근거 위치</w:t>
            </w:r>
          </w:p>
        </w:tc>
      </w:tr>
      <w:tr>
        <w:tc>
          <w:tcPr>
            <w:tcW w:type="dxa" w:w="3264"/>
          </w:tcPr>
          <w:p>
            <w:r>
              <w:t>Confusion matrix review</w:t>
            </w:r>
          </w:p>
        </w:tc>
        <w:tc>
          <w:tcPr>
            <w:tcW w:type="dxa" w:w="3264"/>
          </w:tcPr>
          <w:p>
            <w:r>
              <w:t>반영</w:t>
            </w:r>
          </w:p>
        </w:tc>
        <w:tc>
          <w:tcPr>
            <w:tcW w:type="dxa" w:w="3264"/>
          </w:tcPr>
          <w:p>
            <w:r>
              <w:t>Section 4; 04_professor_feedback_review.ipynb</w:t>
            </w:r>
          </w:p>
        </w:tc>
      </w:tr>
      <w:tr>
        <w:tc>
          <w:tcPr>
            <w:tcW w:type="dxa" w:w="3264"/>
          </w:tcPr>
          <w:p>
            <w:r>
              <w:t>Feature importance review</w:t>
            </w:r>
          </w:p>
        </w:tc>
        <w:tc>
          <w:tcPr>
            <w:tcW w:type="dxa" w:w="3264"/>
          </w:tcPr>
          <w:p>
            <w:r>
              <w:t>반영</w:t>
            </w:r>
          </w:p>
        </w:tc>
        <w:tc>
          <w:tcPr>
            <w:tcW w:type="dxa" w:w="3264"/>
          </w:tcPr>
          <w:p>
            <w:r>
              <w:t>Section 5; 04_professor_feedback_review.ipynb</w:t>
            </w:r>
          </w:p>
        </w:tc>
      </w:tr>
      <w:tr>
        <w:tc>
          <w:tcPr>
            <w:tcW w:type="dxa" w:w="3264"/>
          </w:tcPr>
          <w:p>
            <w:r>
              <w:t>고혈압 관련 변수 포함 여부</w:t>
            </w:r>
          </w:p>
        </w:tc>
        <w:tc>
          <w:tcPr>
            <w:tcW w:type="dxa" w:w="3264"/>
          </w:tcPr>
          <w:p>
            <w:r>
              <w:t>반영</w:t>
            </w:r>
          </w:p>
        </w:tc>
        <w:tc>
          <w:tcPr>
            <w:tcW w:type="dxa" w:w="3264"/>
          </w:tcPr>
          <w:p>
            <w:r>
              <w:t>Sections 6, 8-9</w:t>
            </w:r>
          </w:p>
        </w:tc>
      </w:tr>
      <w:tr>
        <w:tc>
          <w:tcPr>
            <w:tcW w:type="dxa" w:w="3264"/>
          </w:tcPr>
          <w:p>
            <w:r>
              <w:t>Previous-study 기반 변수 설명</w:t>
            </w:r>
          </w:p>
        </w:tc>
        <w:tc>
          <w:tcPr>
            <w:tcW w:type="dxa" w:w="3264"/>
          </w:tcPr>
          <w:p>
            <w:r>
              <w:t>반영</w:t>
            </w:r>
          </w:p>
        </w:tc>
        <w:tc>
          <w:tcPr>
            <w:tcW w:type="dxa" w:w="3264"/>
          </w:tcPr>
          <w:p>
            <w:r>
              <w:t>Section 6, 8; references/hypertension_variable_references.docx</w:t>
            </w:r>
          </w:p>
        </w:tc>
      </w:tr>
      <w:tr>
        <w:tc>
          <w:tcPr>
            <w:tcW w:type="dxa" w:w="3264"/>
          </w:tcPr>
          <w:p>
            <w:r>
              <w:t>Class-weight correction 검토</w:t>
            </w:r>
          </w:p>
        </w:tc>
        <w:tc>
          <w:tcPr>
            <w:tcW w:type="dxa" w:w="3264"/>
          </w:tcPr>
          <w:p>
            <w:r>
              <w:t>반영</w:t>
            </w:r>
          </w:p>
        </w:tc>
        <w:tc>
          <w:tcPr>
            <w:tcW w:type="dxa" w:w="3264"/>
          </w:tcPr>
          <w:p>
            <w:r>
              <w:t>Section 10; 04_professor_feedback_review.ipynb</w:t>
            </w:r>
          </w:p>
        </w:tc>
      </w:tr>
      <w:tr>
        <w:tc>
          <w:tcPr>
            <w:tcW w:type="dxa" w:w="3264"/>
          </w:tcPr>
          <w:p>
            <w:r>
              <w:t>PSM 적용 가능성 검토</w:t>
            </w:r>
          </w:p>
        </w:tc>
        <w:tc>
          <w:tcPr>
            <w:tcW w:type="dxa" w:w="3264"/>
          </w:tcPr>
          <w:p>
            <w:r>
              <w:t>검토 항목으로 정리</w:t>
            </w:r>
          </w:p>
        </w:tc>
        <w:tc>
          <w:tcPr>
            <w:tcW w:type="dxa" w:w="3264"/>
          </w:tcPr>
          <w:p>
            <w:r>
              <w:t>Section 11</w:t>
            </w:r>
          </w:p>
        </w:tc>
      </w:tr>
      <w:tr>
        <w:tc>
          <w:tcPr>
            <w:tcW w:type="dxa" w:w="3264"/>
          </w:tcPr>
          <w:p>
            <w:r>
              <w:t>educ=99 preprocessing issue</w:t>
            </w:r>
          </w:p>
        </w:tc>
        <w:tc>
          <w:tcPr>
            <w:tcW w:type="dxa" w:w="3264"/>
          </w:tcPr>
          <w:p>
            <w:r>
              <w:t>추가 확인</w:t>
            </w:r>
          </w:p>
        </w:tc>
        <w:tc>
          <w:tcPr>
            <w:tcW w:type="dxa" w:w="3264"/>
          </w:tcPr>
          <w:p>
            <w:r>
              <w:t>Section 7</w:t>
            </w:r>
          </w:p>
        </w:tc>
      </w:tr>
    </w:tbl>
    <w:p>
      <w:r>
        <w:rPr>
          <w:rFonts w:ascii="Malgun Gothic" w:hAnsi="Malgun Gothic" w:eastAsia="Malgun Gothic"/>
          <w:sz w:val="21"/>
        </w:rPr>
        <w:t>현재 자료는 교수님 피드백에 직접 답하기 위한 검토 자료로 정리하였다. 다만 추가 변수의 최종 반영 여부, educ=99 recoding 여부, PSM 적용 여부는 아직 최종 결정 사항이 아니라, 교수님과의 논의를 통해 추가 검토할 부분으로 남겨두었다.</w:t>
      </w:r>
    </w:p>
    <w:p>
      <w:pPr>
        <w:pStyle w:val="Heading1"/>
      </w:pPr>
      <w:r>
        <w:t>13. 정리</w:t>
      </w:r>
    </w:p>
    <w:p>
      <w:r>
        <w:rPr>
          <w:rFonts w:ascii="Malgun Gothic" w:hAnsi="Malgun Gothic" w:eastAsia="Malgun Gothic"/>
          <w:sz w:val="21"/>
        </w:rPr>
        <w:t>교수님 피드백을 바탕으로 다음 항목을 추가로 검토하였다.</w:t>
      </w:r>
    </w:p>
    <w:p>
      <w:pPr>
        <w:pStyle w:val="ListBullet"/>
      </w:pPr>
      <w:r>
        <w:rPr>
          <w:rFonts w:ascii="Malgun Gothic" w:hAnsi="Malgun Gothic" w:eastAsia="Malgun Gothic"/>
          <w:sz w:val="21"/>
        </w:rPr>
        <w:t>confusion matrix를 통한 예측 경향 확인</w:t>
      </w:r>
    </w:p>
    <w:p>
      <w:pPr>
        <w:pStyle w:val="ListBullet"/>
      </w:pPr>
      <w:r>
        <w:rPr>
          <w:rFonts w:ascii="Malgun Gothic" w:hAnsi="Malgun Gothic" w:eastAsia="Malgun Gothic"/>
          <w:sz w:val="21"/>
        </w:rPr>
        <w:t>feature importance를 통한 주요 변수 확인</w:t>
      </w:r>
    </w:p>
    <w:p>
      <w:pPr>
        <w:pStyle w:val="ListBullet"/>
      </w:pPr>
      <w:r>
        <w:rPr>
          <w:rFonts w:ascii="Malgun Gothic" w:hAnsi="Malgun Gothic" w:eastAsia="Malgun Gothic"/>
          <w:sz w:val="21"/>
        </w:rPr>
        <w:t>기존 모델 변수의 previous-study 근거 확인</w:t>
      </w:r>
    </w:p>
    <w:p>
      <w:pPr>
        <w:pStyle w:val="ListBullet"/>
      </w:pPr>
      <w:r>
        <w:rPr>
          <w:rFonts w:ascii="Malgun Gothic" w:hAnsi="Malgun Gothic" w:eastAsia="Malgun Gothic"/>
          <w:sz w:val="21"/>
        </w:rPr>
        <w:t>고혈압 관련 추가 변수 검토</w:t>
      </w:r>
    </w:p>
    <w:p>
      <w:pPr>
        <w:pStyle w:val="ListBullet"/>
      </w:pPr>
      <w:r>
        <w:rPr>
          <w:rFonts w:ascii="Malgun Gothic" w:hAnsi="Malgun Gothic" w:eastAsia="Malgun Gothic"/>
          <w:sz w:val="21"/>
        </w:rPr>
        <w:t>추가 변수 적용 전후 성능 비교</w:t>
      </w:r>
    </w:p>
    <w:p>
      <w:pPr>
        <w:pStyle w:val="ListBullet"/>
      </w:pPr>
      <w:r>
        <w:rPr>
          <w:rFonts w:ascii="Malgun Gothic" w:hAnsi="Malgun Gothic" w:eastAsia="Malgun Gothic"/>
          <w:sz w:val="21"/>
        </w:rPr>
        <w:t>class imbalance 처리 방식 비교</w:t>
      </w:r>
    </w:p>
    <w:p>
      <w:pPr>
        <w:pStyle w:val="ListBullet"/>
      </w:pPr>
      <w:r>
        <w:rPr>
          <w:rFonts w:ascii="Malgun Gothic" w:hAnsi="Malgun Gothic" w:eastAsia="Malgun Gothic"/>
          <w:sz w:val="21"/>
        </w:rPr>
        <w:t>educ=99 special-code category 확인</w:t>
      </w:r>
    </w:p>
    <w:p>
      <w:pPr>
        <w:pStyle w:val="ListBullet"/>
      </w:pPr>
      <w:r>
        <w:rPr>
          <w:rFonts w:ascii="Malgun Gothic" w:hAnsi="Malgun Gothic" w:eastAsia="Malgun Gothic"/>
          <w:sz w:val="21"/>
        </w:rPr>
        <w:t>PSM 적용 가능성 검토</w:t>
      </w:r>
    </w:p>
    <w:p>
      <w:r>
        <w:rPr>
          <w:rFonts w:ascii="Malgun Gothic" w:hAnsi="Malgun Gothic" w:eastAsia="Malgun Gothic"/>
          <w:sz w:val="21"/>
        </w:rPr>
        <w:t>본 자료는 과제2 제출본을 수정하기 위한 최종 보고서가 아니라, 피드백 이후 추가로 수행한 분석 내용을 정리하고 향후 논의를 준비하기 위한 자료이다. 이후 교수님과의 논의를 통해 어떤 분석을 과제3 또는 후속 작업에 반영할지 추가로 결정할 필요가 있다.</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