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55C63A" w14:textId="62D86BF6" w:rsidR="00C540F3" w:rsidRPr="002612A7" w:rsidRDefault="00C540F3" w:rsidP="002612A7">
      <w:pPr>
        <w:pStyle w:val="ListParagraph"/>
        <w:numPr>
          <w:ilvl w:val="0"/>
          <w:numId w:val="1"/>
        </w:numPr>
        <w:spacing w:after="0" w:line="240" w:lineRule="auto"/>
        <w:rPr>
          <w:rFonts w:ascii="Arial-BoldMT" w:eastAsia="Times New Roman" w:hAnsi="Arial-BoldMT" w:cs="Times New Roman"/>
          <w:b/>
          <w:bCs/>
          <w:color w:val="000000"/>
          <w:kern w:val="0"/>
          <w14:ligatures w14:val="none"/>
        </w:rPr>
      </w:pPr>
      <w:r w:rsidRPr="002612A7">
        <w:rPr>
          <w:rFonts w:ascii="Arial-BoldMT" w:eastAsia="Times New Roman" w:hAnsi="Arial-BoldMT" w:cs="Times New Roman"/>
          <w:b/>
          <w:bCs/>
          <w:color w:val="000000"/>
          <w:kern w:val="0"/>
          <w14:ligatures w14:val="none"/>
        </w:rPr>
        <w:t>Thanh khoản</w:t>
      </w:r>
    </w:p>
    <w:p w14:paraId="1F57E103" w14:textId="2A575F11" w:rsidR="00721714" w:rsidRDefault="00C540F3" w:rsidP="00BE06A8">
      <w:pPr>
        <w:jc w:val="both"/>
        <w:rPr>
          <w:rFonts w:ascii="ArialMT" w:eastAsia="Times New Roman" w:hAnsi="ArialMT" w:cs="Times New Roman"/>
          <w:color w:val="333333"/>
          <w:kern w:val="0"/>
          <w:sz w:val="16"/>
          <w:szCs w:val="16"/>
          <w14:ligatures w14:val="none"/>
        </w:rPr>
      </w:pPr>
      <w:r w:rsidRPr="00C540F3">
        <w:rPr>
          <w:rFonts w:ascii="ArialMT" w:eastAsia="Times New Roman" w:hAnsi="ArialMT" w:cs="Times New Roman"/>
          <w:color w:val="333333"/>
          <w:kern w:val="0"/>
          <w:sz w:val="16"/>
          <w:szCs w:val="16"/>
          <w14:ligatures w14:val="none"/>
        </w:rPr>
        <w:t xml:space="preserve">Tỷ lệ thanh khoản hiện tại của doanh nghiệp vào ngày 31/12/2024 chỉ đạt 0,29 (tài sản ngắn hạn 11.385.653.577 VND so với nợ ngắn hạn 39.264.031.677 VND), trong khi tỷ lệ thanh khoản nhanh (quick ratio) giảm còn 0,28 (tài sản nhanh 11.059.029.098 VND/ nợ ngắn hạn) và tỷ lệ thanh khoản tiền mặt (cash ratio) chỉ 0,07 (tiền và tương đương tiền 2.736.395.841 VND/ nợ ngắn hạn). Các chỉ số này đều thấp hơn 1, phản ánh rủi ro thanh khoản nghiêm trọng và khả năng doanh nghiệp khó đáp ứng các nghĩa vụ tài chính ngắn hạn mà không huy động nguồn vốn bên ngoài. Mặc dù dòng tiền thuần từ hoạt động kinh doanh trong năm 2024 đạt 17.587.048.791 VND, giúp giảm áp lực nợ ngắn hạn (giảm 28 % so với đầu năm) và tăng tài sản ngắn hạn 23 %, nhưng mức tiền mặt sinh ra vẫn </w:t>
      </w:r>
      <w:r w:rsidRPr="00C540F3">
        <w:rPr>
          <w:rFonts w:ascii="ArialMT" w:eastAsia="Times New Roman" w:hAnsi="ArialMT" w:cs="Times New Roman"/>
          <w:b/>
          <w:bCs/>
          <w:color w:val="FF0000"/>
          <w:kern w:val="0"/>
          <w:sz w:val="16"/>
          <w:szCs w:val="16"/>
          <w14:ligatures w14:val="none"/>
        </w:rPr>
        <w:t>chỉ chiếm khoảng 7 % nhu cầu trả nợ ngắn hạn</w:t>
      </w:r>
      <w:r w:rsidRPr="00BE06A8">
        <w:rPr>
          <w:rFonts w:ascii="ArialMT" w:eastAsia="Times New Roman" w:hAnsi="ArialMT" w:cs="Times New Roman"/>
          <w:b/>
          <w:bCs/>
          <w:color w:val="FF0000"/>
          <w:kern w:val="0"/>
          <w:sz w:val="16"/>
          <w:szCs w:val="16"/>
          <w14:ligatures w14:val="none"/>
        </w:rPr>
        <w:t>(số này chưa đúng vì lấy số liệu tiền mặt cuối năm trên bảng cân đối kế toán năm 2024/</w:t>
      </w:r>
      <w:r w:rsidR="00BE06A8" w:rsidRPr="00BE06A8">
        <w:rPr>
          <w:rFonts w:ascii="ArialMT" w:eastAsia="Times New Roman" w:hAnsi="ArialMT" w:cs="Times New Roman"/>
          <w:b/>
          <w:bCs/>
          <w:color w:val="FF0000"/>
          <w:kern w:val="0"/>
          <w:sz w:val="16"/>
          <w:szCs w:val="16"/>
          <w14:ligatures w14:val="none"/>
        </w:rPr>
        <w:t>nợ ngắn hạn phải trả. Phải lấy dòng tiền ròng sinh ra từ hoạt động kinh doanh là 17.58 tỷ đồng/ nợ ngắn hạn 39.2 tỷ đồng = 44.6% mới là đúng)</w:t>
      </w:r>
      <w:r w:rsidRPr="00C540F3">
        <w:rPr>
          <w:rFonts w:ascii="ArialMT" w:eastAsia="Times New Roman" w:hAnsi="ArialMT" w:cs="Times New Roman"/>
          <w:color w:val="333333"/>
          <w:kern w:val="0"/>
          <w:sz w:val="16"/>
          <w:szCs w:val="16"/>
          <w14:ligatures w14:val="none"/>
        </w:rPr>
        <w:t>, cho thấy doanh nghiệp vẫn phụ thuộc lớn vào các nguồn tài trợ ngắn hạn hoặc tái cấu trúc nợ để duy trì hoạt động.</w:t>
      </w:r>
    </w:p>
    <w:p w14:paraId="4687C2DC" w14:textId="2CF457DC" w:rsidR="00BE06A8" w:rsidRDefault="00BE06A8" w:rsidP="00BE06A8">
      <w:pPr>
        <w:jc w:val="both"/>
      </w:pPr>
      <w:r w:rsidRPr="008D0340">
        <w:t xml:space="preserve">=&gt; </w:t>
      </w:r>
      <w:r w:rsidR="002612A7">
        <w:t xml:space="preserve">Câu trả lời nên viết lại thành : </w:t>
      </w:r>
      <w:r w:rsidRPr="008D0340">
        <w:t>Tỷ lệ thanh khoản hiện tại của doanh nghiệp vào ngày 31/12/2024 chỉ đạt 0,29 (tài sản ngắn hạn 11.385.653.577</w:t>
      </w:r>
      <w:r w:rsidRPr="008D0340">
        <w:rPr>
          <w:rFonts w:ascii="Arial" w:hAnsi="Arial" w:cs="Arial"/>
        </w:rPr>
        <w:t> </w:t>
      </w:r>
      <w:r w:rsidRPr="008D0340">
        <w:t>VND so với nợ ngắn hạn 39.264.031.677</w:t>
      </w:r>
      <w:r w:rsidRPr="008D0340">
        <w:rPr>
          <w:rFonts w:ascii="Arial" w:hAnsi="Arial" w:cs="Arial"/>
        </w:rPr>
        <w:t> </w:t>
      </w:r>
      <w:r w:rsidRPr="008D0340">
        <w:t>VND), trong khi tỷ lệ thanh khoản nhanh (quick ratio) giảm còn 0,28 (tài sản nhanh 11.059.029.098</w:t>
      </w:r>
      <w:r w:rsidRPr="008D0340">
        <w:rPr>
          <w:rFonts w:ascii="Arial" w:hAnsi="Arial" w:cs="Arial"/>
        </w:rPr>
        <w:t> </w:t>
      </w:r>
      <w:r w:rsidRPr="008D0340">
        <w:t>VND/ nợ ngắn hạn) và tỷ lệ thanh khoản tiền mặt (cash ratio) chỉ 0,07 (tiền và tương đương tiền 2.736.395.841</w:t>
      </w:r>
      <w:r w:rsidRPr="008D0340">
        <w:rPr>
          <w:rFonts w:ascii="Arial" w:hAnsi="Arial" w:cs="Arial"/>
        </w:rPr>
        <w:t> </w:t>
      </w:r>
      <w:r w:rsidRPr="008D0340">
        <w:t xml:space="preserve">VND/ nợ ngắn hạn). </w:t>
      </w:r>
      <w:r w:rsidR="008D0340">
        <w:t>Xét về mặt số liệu kế toán, c</w:t>
      </w:r>
      <w:r w:rsidRPr="008D0340">
        <w:t>ác chỉ số này đều thấp hơn 1, phản ánh khả năng thanh toán nợ ngắn hạn</w:t>
      </w:r>
      <w:r w:rsidR="008D0340" w:rsidRPr="008D0340">
        <w:t xml:space="preserve"> của công ty yếu. </w:t>
      </w:r>
      <w:r w:rsidR="008D0340">
        <w:t>Tuy nhiên, xét đến đặc thù cơ cấu nợ chủ yếu là các khoản phải trả nội bộ trong hệ sinh thái, các chủ nợ đồng thời cũng là cổ đông chính của công ty nên các khoản phải trả có thể khoanh nợ, giãn nợ hoặc chuyển đổi từ nợ thành vốn góp cổ phần, không bắt buộc phải thanh toán ngay, cùng với dòng tiền hoạt động ổn định từ hợp đồng bán điện với EVN, doanh nghiệp vẫn duy trì được dòng tiền hoạt động liên tục và đảm bảo khả năng thực hiện các nghĩa vụ tài chính bắt buộc, đặc biệt là nghĩa vụ với ngân hàng và chi trả các chi phí hoạt động.</w:t>
      </w:r>
    </w:p>
    <w:p w14:paraId="46AE8F8F" w14:textId="13125C90" w:rsidR="00B80ADD" w:rsidRDefault="00B80ADD" w:rsidP="00BE06A8">
      <w:pPr>
        <w:jc w:val="both"/>
      </w:pPr>
      <w:r>
        <w:t>Phần này có thể đặt thành 2 câu hỏi</w:t>
      </w:r>
      <w:r w:rsidR="002612A7">
        <w:t xml:space="preserve"> như sau</w:t>
      </w:r>
      <w:r>
        <w:t>:</w:t>
      </w:r>
    </w:p>
    <w:p w14:paraId="0607656C" w14:textId="1A581BDC" w:rsidR="00B80ADD" w:rsidRDefault="00B80ADD" w:rsidP="00BE06A8">
      <w:pPr>
        <w:jc w:val="both"/>
      </w:pPr>
      <w:r>
        <w:t>- Question 1: Phân tích khả năng thanh khoản của Công ty dựa trên số liệu kế toán năm 2024?</w:t>
      </w:r>
    </w:p>
    <w:p w14:paraId="22FAA3AD" w14:textId="3A498C73" w:rsidR="00B80ADD" w:rsidRDefault="00B80ADD" w:rsidP="00BE06A8">
      <w:pPr>
        <w:jc w:val="both"/>
      </w:pPr>
      <w:r>
        <w:t xml:space="preserve">- Question 2 : Nếu công ty có thể đàm phán để khoanh nợ, giãn nợ đối với các khoản phải trả cho các khách hàng trong hệ sinh thái Sông Đà, đồng thời cũng là các cổ đông chi phối của Công ty như Công ty Sông Đà 7, Sông Đà 25 bao gồm các khoản : cổ tức phải trả </w:t>
      </w:r>
      <w:r>
        <w:t>,3 tỷ cho các cổ đông chính này, thù lao hội đồng quản trị 1,2 tỷ, vốn góp cổ phần ủy thác 2,7 tỷ. Thậm chí khoản vay ngắn hạn 5,1 tỷ của Công ty Sông Đà 7</w:t>
      </w:r>
      <w:r>
        <w:t xml:space="preserve"> thì khả năng thanh khoản của Công ty sẽ thế nào?</w:t>
      </w:r>
    </w:p>
    <w:p w14:paraId="383A2129" w14:textId="1EFF08BE" w:rsidR="002612A7" w:rsidRDefault="002612A7" w:rsidP="00BE06A8">
      <w:pPr>
        <w:jc w:val="both"/>
      </w:pPr>
      <w:r>
        <w:t>Hoặc nếu chỉ đặt 1 question thì phải lồng ghép được 2 nội dung trên.</w:t>
      </w:r>
    </w:p>
    <w:p w14:paraId="706AAAA5" w14:textId="7D6F8622" w:rsidR="00B80ADD" w:rsidRDefault="00CD2A89" w:rsidP="00BE06A8">
      <w:pPr>
        <w:jc w:val="both"/>
      </w:pPr>
      <w:r>
        <w:t>Trong bản output, question : phân tích khả năng thanh khoản? =&gt; Thì không thể ra câu trả lời bao gồm  cả thanh khoản, hiệu quả, rủi ro tài chính và kết luận được. Mà phải chia ra để hỏi từng phần. Ví dụ phần thanh khoản sẽ hỏi như 2 câu mẫu trên.</w:t>
      </w:r>
    </w:p>
    <w:p w14:paraId="21369AF1" w14:textId="77777777" w:rsidR="002612A7" w:rsidRPr="002612A7" w:rsidRDefault="002612A7" w:rsidP="002612A7">
      <w:pPr>
        <w:spacing w:after="0" w:line="240" w:lineRule="auto"/>
        <w:rPr>
          <w:rFonts w:ascii="Arial-BoldMT" w:eastAsia="Times New Roman" w:hAnsi="Arial-BoldMT" w:cs="Times New Roman"/>
          <w:b/>
          <w:bCs/>
          <w:color w:val="000000"/>
          <w:kern w:val="0"/>
          <w14:ligatures w14:val="none"/>
        </w:rPr>
      </w:pPr>
      <w:r w:rsidRPr="002612A7">
        <w:rPr>
          <w:rFonts w:ascii="Arial-BoldMT" w:eastAsia="Times New Roman" w:hAnsi="Arial-BoldMT" w:cs="Times New Roman"/>
          <w:b/>
          <w:bCs/>
          <w:color w:val="000000"/>
          <w:kern w:val="0"/>
          <w14:ligatures w14:val="none"/>
        </w:rPr>
        <w:t>Hiệu quả</w:t>
      </w:r>
    </w:p>
    <w:p w14:paraId="6A8ED124" w14:textId="46E2D289" w:rsidR="002612A7" w:rsidRDefault="002612A7" w:rsidP="002612A7">
      <w:pPr>
        <w:jc w:val="both"/>
        <w:rPr>
          <w:rFonts w:ascii="ArialMT" w:eastAsia="Times New Roman" w:hAnsi="ArialMT" w:cs="Times New Roman"/>
          <w:color w:val="333333"/>
          <w:kern w:val="0"/>
          <w:sz w:val="16"/>
          <w:szCs w:val="16"/>
          <w14:ligatures w14:val="none"/>
        </w:rPr>
      </w:pPr>
      <w:r w:rsidRPr="002612A7">
        <w:rPr>
          <w:rFonts w:ascii="ArialMT" w:eastAsia="Times New Roman" w:hAnsi="ArialMT" w:cs="Times New Roman"/>
          <w:color w:val="333333"/>
          <w:kern w:val="0"/>
          <w:sz w:val="16"/>
          <w:szCs w:val="16"/>
          <w14:ligatures w14:val="none"/>
        </w:rPr>
        <w:t xml:space="preserve">Doanh nghiệp hiện đang vận hành ở mức </w:t>
      </w:r>
      <w:r w:rsidRPr="002612A7">
        <w:rPr>
          <w:rFonts w:ascii="Arial-BoldMT" w:eastAsia="Times New Roman" w:hAnsi="Arial-BoldMT" w:cs="Times New Roman"/>
          <w:b/>
          <w:bCs/>
          <w:color w:val="000000"/>
          <w:kern w:val="0"/>
          <w:sz w:val="16"/>
          <w:szCs w:val="16"/>
          <w14:ligatures w14:val="none"/>
        </w:rPr>
        <w:t>hiệu quả trung bình</w:t>
      </w:r>
      <w:r w:rsidRPr="002612A7">
        <w:rPr>
          <w:rFonts w:ascii="ArialMT" w:eastAsia="Times New Roman" w:hAnsi="ArialMT" w:cs="Times New Roman"/>
          <w:color w:val="333333"/>
          <w:kern w:val="0"/>
          <w:sz w:val="16"/>
          <w:szCs w:val="16"/>
          <w14:ligatures w14:val="none"/>
        </w:rPr>
        <w:t>. Hàng tồn kho giảm nhẹ (</w:t>
      </w:r>
      <w:r w:rsidRPr="002612A7">
        <w:rPr>
          <w:rFonts w:ascii="SegoeUI" w:eastAsia="Times New Roman" w:hAnsi="SegoeUI" w:cs="Times New Roman"/>
          <w:color w:val="333333"/>
          <w:kern w:val="0"/>
          <w:sz w:val="16"/>
          <w:szCs w:val="16"/>
          <w14:ligatures w14:val="none"/>
        </w:rPr>
        <w:noBreakHyphen/>
      </w:r>
      <w:r w:rsidRPr="002612A7">
        <w:rPr>
          <w:rFonts w:ascii="ArialMT" w:eastAsia="Times New Roman" w:hAnsi="ArialMT" w:cs="Times New Roman"/>
          <w:color w:val="333333"/>
          <w:kern w:val="0"/>
          <w:sz w:val="16"/>
          <w:szCs w:val="16"/>
          <w14:ligatures w14:val="none"/>
        </w:rPr>
        <w:t xml:space="preserve">51 triệu đ) trong năm 2024 cho thấy vòng quay hàng tồn kho tương đối ổn, nhưng khoản phải thu ngắn hạn tăng mạnh lên 2,03 tỷ đ (tăng + 1,93 tỷ đ so với 2023), gây ra dòng tiền âm từ việc thu tiền khách hàng và phản ánh tốc độ thu tiền chậm, là điểm nghẽn chính trong chu kỳ chuyển đổi tiền. Tổng tài sản ngắn hạn tăng 2,07 tỷ đ (từ 9,32 tỷ đ lên 11,39 tỷ đ) trong khi lợi nhuận trước thuế chỉ đạt 5,88 tỷ đ, cho thấy </w:t>
      </w:r>
      <w:r w:rsidRPr="002612A7">
        <w:rPr>
          <w:rFonts w:ascii="Arial-BoldMT" w:eastAsia="Times New Roman" w:hAnsi="Arial-BoldMT" w:cs="Times New Roman"/>
          <w:b/>
          <w:bCs/>
          <w:color w:val="000000"/>
          <w:kern w:val="0"/>
          <w:sz w:val="16"/>
          <w:szCs w:val="16"/>
          <w14:ligatures w14:val="none"/>
        </w:rPr>
        <w:t xml:space="preserve">Asset Turnover </w:t>
      </w:r>
      <w:r w:rsidRPr="002612A7">
        <w:rPr>
          <w:rFonts w:ascii="ArialMT" w:eastAsia="Times New Roman" w:hAnsi="ArialMT" w:cs="Times New Roman"/>
          <w:color w:val="333333"/>
          <w:kern w:val="0"/>
          <w:sz w:val="16"/>
          <w:szCs w:val="16"/>
          <w14:ligatures w14:val="none"/>
        </w:rPr>
        <w:t xml:space="preserve">còn hạn </w:t>
      </w:r>
      <w:r w:rsidRPr="002612A7">
        <w:rPr>
          <w:rFonts w:ascii="ArialMT" w:eastAsia="Times New Roman" w:hAnsi="ArialMT" w:cs="Times New Roman"/>
          <w:color w:val="333333"/>
          <w:kern w:val="0"/>
          <w:sz w:val="16"/>
          <w:szCs w:val="16"/>
          <w14:ligatures w14:val="none"/>
        </w:rPr>
        <w:lastRenderedPageBreak/>
        <w:t xml:space="preserve">chế và tài sản chưa được khai thác tối đa để tạo doanh thu. Dòng tiền thuần từ hoạt động kinh doanh tăng lên 17,59 tỷ đ, nhờ lợi nhuận trước thuế và giảm chi phí lãi vay, nhưng phần lớn lợi nhuận chưa được chuyển thành tiền mặt do tăng đáng kể các khoản phải thu. Như vậy, </w:t>
      </w:r>
      <w:r w:rsidRPr="002612A7">
        <w:rPr>
          <w:rFonts w:ascii="Arial-BoldMT" w:eastAsia="Times New Roman" w:hAnsi="Arial-BoldMT" w:cs="Times New Roman"/>
          <w:b/>
          <w:bCs/>
          <w:color w:val="000000"/>
          <w:kern w:val="0"/>
          <w:sz w:val="16"/>
          <w:szCs w:val="16"/>
          <w14:ligatures w14:val="none"/>
        </w:rPr>
        <w:t xml:space="preserve">tài sản bị sử dụng kém </w:t>
      </w:r>
      <w:r w:rsidRPr="002612A7">
        <w:rPr>
          <w:rFonts w:ascii="ArialMT" w:eastAsia="Times New Roman" w:hAnsi="ArialMT" w:cs="Times New Roman"/>
          <w:color w:val="333333"/>
          <w:kern w:val="0"/>
          <w:sz w:val="16"/>
          <w:szCs w:val="16"/>
          <w14:ligatures w14:val="none"/>
        </w:rPr>
        <w:t xml:space="preserve">chủ yếu là các khoản phải thu; tồn kho không gây áp lực lớn, còn chu kỳ chuyển đổi tiền (Cash Conversion Cycle) kéo dài do DSO cao, trong khi DIO và DPO tương đối ổn. Tổng kết: </w:t>
      </w:r>
      <w:r w:rsidRPr="002612A7">
        <w:rPr>
          <w:rFonts w:ascii="Arial-BoldMT" w:eastAsia="Times New Roman" w:hAnsi="Arial-BoldMT" w:cs="Times New Roman"/>
          <w:b/>
          <w:bCs/>
          <w:color w:val="000000"/>
          <w:kern w:val="0"/>
          <w:sz w:val="16"/>
          <w:szCs w:val="16"/>
          <w14:ligatures w14:val="none"/>
        </w:rPr>
        <w:t xml:space="preserve">Medium efficiency </w:t>
      </w:r>
      <w:r w:rsidRPr="002612A7">
        <w:rPr>
          <w:rFonts w:ascii="ArialMT" w:eastAsia="Times New Roman" w:hAnsi="ArialMT" w:cs="Times New Roman"/>
          <w:color w:val="333333"/>
          <w:kern w:val="0"/>
          <w:sz w:val="16"/>
          <w:szCs w:val="16"/>
          <w14:ligatures w14:val="none"/>
        </w:rPr>
        <w:t>với rủi ro tiềm tàng từ việc thu tiền chậm.</w:t>
      </w:r>
    </w:p>
    <w:p w14:paraId="30431BD3" w14:textId="356CE219" w:rsidR="002612A7" w:rsidRDefault="002612A7" w:rsidP="002612A7">
      <w:pPr>
        <w:jc w:val="both"/>
      </w:pPr>
      <w:r w:rsidRPr="002612A7">
        <w:t xml:space="preserve">=&gt; </w:t>
      </w:r>
      <w:r>
        <w:t>Câu trả lời trong bản output của phần này bao gồm việc đánh giá cả khả năng sinh lời và đánh giá hiệu quả hoạt động của doanh nghiệp bao gồm vòng quay các khoản phải thu, vòng quay hàng tồn kho, vòng quay tổng tài sản. Vì vậy để ra câu trả lời bao gồm cả khả năng sinh lời và hiệu quả hoạt động thì phải đặt câu hỏi như sau:</w:t>
      </w:r>
    </w:p>
    <w:p w14:paraId="59A62A4D" w14:textId="5FD85B77" w:rsidR="002612A7" w:rsidRDefault="002612A7" w:rsidP="002612A7">
      <w:pPr>
        <w:jc w:val="both"/>
      </w:pPr>
      <w:r>
        <w:t>- Question</w:t>
      </w:r>
      <w:r w:rsidR="00C82462">
        <w:t xml:space="preserve"> 1 </w:t>
      </w:r>
      <w:r>
        <w:t>: Đánh giá khả năng sinh lời và hiệu quả hoạt động của Công ty năm 2024 dựa trên số liệu báo cáo tài chính đã được kiểm toán?</w:t>
      </w:r>
    </w:p>
    <w:p w14:paraId="322304E3" w14:textId="45104D3A" w:rsidR="008D0340" w:rsidRDefault="00FD5F62" w:rsidP="00BE06A8">
      <w:pPr>
        <w:jc w:val="both"/>
      </w:pPr>
      <w:r>
        <w:t>Câu trả lời phần hiệu quả này chưa hợp lý. Lý do:</w:t>
      </w:r>
    </w:p>
    <w:p w14:paraId="171DF542" w14:textId="5B38C79F" w:rsidR="00FD5F62" w:rsidRDefault="00FD5F62" w:rsidP="00FD5F62">
      <w:pPr>
        <w:jc w:val="both"/>
        <w:rPr>
          <w:rFonts w:ascii="ArialMT" w:eastAsia="Times New Roman" w:hAnsi="ArialMT" w:cs="Times New Roman"/>
          <w:color w:val="333333"/>
          <w:kern w:val="0"/>
          <w:sz w:val="16"/>
          <w:szCs w:val="16"/>
          <w14:ligatures w14:val="none"/>
        </w:rPr>
      </w:pPr>
      <w:r w:rsidRPr="002612A7">
        <w:rPr>
          <w:rFonts w:ascii="ArialMT" w:eastAsia="Times New Roman" w:hAnsi="ArialMT" w:cs="Times New Roman"/>
          <w:color w:val="333333"/>
          <w:kern w:val="0"/>
          <w:sz w:val="16"/>
          <w:szCs w:val="16"/>
          <w14:ligatures w14:val="none"/>
        </w:rPr>
        <w:t xml:space="preserve">Doanh nghiệp hiện đang vận hành ở mức </w:t>
      </w:r>
      <w:r w:rsidRPr="002612A7">
        <w:rPr>
          <w:rFonts w:ascii="Arial-BoldMT" w:eastAsia="Times New Roman" w:hAnsi="Arial-BoldMT" w:cs="Times New Roman"/>
          <w:b/>
          <w:bCs/>
          <w:color w:val="000000"/>
          <w:kern w:val="0"/>
          <w:sz w:val="16"/>
          <w:szCs w:val="16"/>
          <w14:ligatures w14:val="none"/>
        </w:rPr>
        <w:t>hiệu quả trung bình</w:t>
      </w:r>
      <w:r w:rsidRPr="002612A7">
        <w:rPr>
          <w:rFonts w:ascii="ArialMT" w:eastAsia="Times New Roman" w:hAnsi="ArialMT" w:cs="Times New Roman"/>
          <w:color w:val="333333"/>
          <w:kern w:val="0"/>
          <w:sz w:val="16"/>
          <w:szCs w:val="16"/>
          <w14:ligatures w14:val="none"/>
        </w:rPr>
        <w:t>. Hàng tồn kho giảm nhẹ (</w:t>
      </w:r>
      <w:r w:rsidRPr="002612A7">
        <w:rPr>
          <w:rFonts w:ascii="SegoeUI" w:eastAsia="Times New Roman" w:hAnsi="SegoeUI" w:cs="Times New Roman"/>
          <w:color w:val="333333"/>
          <w:kern w:val="0"/>
          <w:sz w:val="16"/>
          <w:szCs w:val="16"/>
          <w14:ligatures w14:val="none"/>
        </w:rPr>
        <w:noBreakHyphen/>
      </w:r>
      <w:r w:rsidRPr="002612A7">
        <w:rPr>
          <w:rFonts w:ascii="ArialMT" w:eastAsia="Times New Roman" w:hAnsi="ArialMT" w:cs="Times New Roman"/>
          <w:color w:val="333333"/>
          <w:kern w:val="0"/>
          <w:sz w:val="16"/>
          <w:szCs w:val="16"/>
          <w14:ligatures w14:val="none"/>
        </w:rPr>
        <w:t>51 triệu đ) trong năm 2024 cho thấy vòng quay hàng tồn kho tương đối ổn</w:t>
      </w:r>
      <w:r>
        <w:rPr>
          <w:rFonts w:ascii="ArialMT" w:eastAsia="Times New Roman" w:hAnsi="ArialMT" w:cs="Times New Roman"/>
          <w:color w:val="333333"/>
          <w:kern w:val="0"/>
          <w:sz w:val="16"/>
          <w:szCs w:val="16"/>
          <w14:ligatures w14:val="none"/>
        </w:rPr>
        <w:t xml:space="preserve"> </w:t>
      </w:r>
      <w:r w:rsidRPr="00FD5F62">
        <w:rPr>
          <w:rFonts w:ascii="ArialMT" w:eastAsia="Times New Roman" w:hAnsi="ArialMT" w:cs="Times New Roman"/>
          <w:b/>
          <w:bCs/>
          <w:color w:val="FF0000"/>
          <w:kern w:val="0"/>
          <w:sz w:val="22"/>
          <w:szCs w:val="22"/>
          <w14:ligatures w14:val="none"/>
        </w:rPr>
        <w:t>( tổn kho của công ty chủ yếu là công cụ dụng cụ, việc giảm hàng tồn kho là do khấu hao hàng năm làm giảm giá trị còn lại của công cụ dụng cụ hoặc công ty thanh lý bớt các công cụ dụng cụ đã cũ không sử dụng được chứ không phải là do công ty quay vòng hàng tồn kho tốt hơn)</w:t>
      </w:r>
      <w:r w:rsidRPr="002612A7">
        <w:rPr>
          <w:rFonts w:ascii="ArialMT" w:eastAsia="Times New Roman" w:hAnsi="ArialMT" w:cs="Times New Roman"/>
          <w:color w:val="333333"/>
          <w:kern w:val="0"/>
          <w:sz w:val="16"/>
          <w:szCs w:val="16"/>
          <w14:ligatures w14:val="none"/>
        </w:rPr>
        <w:t>, nhưng khoản phải thu ngắn hạn tăng mạnh lên 2,03 tỷ đ (tăng + 1,93 tỷ đ so với 2023), gây ra dòng tiền âm từ việc thu tiền khách hàng và phản ánh tốc độ thu tiền chậm, là điểm nghẽn chính trong chu kỳ chuyển đổi tiền</w:t>
      </w:r>
      <w:r w:rsidRPr="00F700DF">
        <w:rPr>
          <w:rFonts w:ascii="ArialMT" w:eastAsia="Times New Roman" w:hAnsi="ArialMT" w:cs="Times New Roman"/>
          <w:color w:val="FF0000"/>
          <w:kern w:val="0"/>
          <w:sz w:val="22"/>
          <w:szCs w:val="22"/>
          <w14:ligatures w14:val="none"/>
        </w:rPr>
        <w:t>( Đoạn này phân tích sai. Các khoản phải thu tăng không phải do khách hàng đầu ra là EVN nợ, doanh thu của công ty 100% được tạo ra từ viêc bán điện cho Tổng công ty điện lực Miền Bắc, nguồn thu này rất tốt, không trả chậm, không có nợ khó đòi. Khoản phải thu tăng do</w:t>
      </w:r>
      <w:r w:rsidR="00F700DF" w:rsidRPr="00F700DF">
        <w:rPr>
          <w:rFonts w:ascii="ArialMT" w:eastAsia="Times New Roman" w:hAnsi="ArialMT" w:cs="Times New Roman"/>
          <w:color w:val="FF0000"/>
          <w:kern w:val="0"/>
          <w:sz w:val="22"/>
          <w:szCs w:val="22"/>
          <w14:ligatures w14:val="none"/>
        </w:rPr>
        <w:t xml:space="preserve"> công ty đã dùng tiền trả trước cho một số người bán ngắn hạn(kiểu tạm ứng trước cho khách hàng) như Công ty năng lượng Hải Hòa 2.388 tr.đồng, các khách hàng khác 551tr.đồng. Công ty chi trả trước cho các khách hàng này có thể để đặt hàng gì đó cải tạo, sửa chữa, nâng cấp nhà máy hoặc trả trước cho khách hàng để thiết kế, khảo sát dự án mới…Khoản phải thu tăng do tăng 2 khoản trả trước cho người bán như trên chứ không phải do tốc độ thu tiền chậm như kết luận)</w:t>
      </w:r>
      <w:r w:rsidR="00F700DF" w:rsidRPr="00F700DF">
        <w:rPr>
          <w:rFonts w:ascii="ArialMT" w:eastAsia="Times New Roman" w:hAnsi="ArialMT" w:cs="Times New Roman"/>
          <w:color w:val="FF0000"/>
          <w:kern w:val="0"/>
          <w:sz w:val="16"/>
          <w:szCs w:val="16"/>
          <w14:ligatures w14:val="none"/>
        </w:rPr>
        <w:t xml:space="preserve"> </w:t>
      </w:r>
      <w:r w:rsidRPr="00F700DF">
        <w:rPr>
          <w:rFonts w:ascii="ArialMT" w:eastAsia="Times New Roman" w:hAnsi="ArialMT" w:cs="Times New Roman"/>
          <w:color w:val="FF0000"/>
          <w:kern w:val="0"/>
          <w:sz w:val="16"/>
          <w:szCs w:val="16"/>
          <w14:ligatures w14:val="none"/>
        </w:rPr>
        <w:t xml:space="preserve"> </w:t>
      </w:r>
      <w:r w:rsidRPr="002612A7">
        <w:rPr>
          <w:rFonts w:ascii="ArialMT" w:eastAsia="Times New Roman" w:hAnsi="ArialMT" w:cs="Times New Roman"/>
          <w:color w:val="333333"/>
          <w:kern w:val="0"/>
          <w:sz w:val="16"/>
          <w:szCs w:val="16"/>
          <w14:ligatures w14:val="none"/>
        </w:rPr>
        <w:t xml:space="preserve">. Tổng tài sản ngắn hạn tăng 2,07 tỷ đ (từ 9,32 tỷ đ lên 11,39 tỷ đ) trong khi lợi nhuận trước thuế chỉ đạt 5,88 tỷ đ, cho thấy </w:t>
      </w:r>
      <w:r w:rsidRPr="002612A7">
        <w:rPr>
          <w:rFonts w:ascii="Arial-BoldMT" w:eastAsia="Times New Roman" w:hAnsi="Arial-BoldMT" w:cs="Times New Roman"/>
          <w:b/>
          <w:bCs/>
          <w:color w:val="000000"/>
          <w:kern w:val="0"/>
          <w:sz w:val="16"/>
          <w:szCs w:val="16"/>
          <w14:ligatures w14:val="none"/>
        </w:rPr>
        <w:t xml:space="preserve">Asset Turnover </w:t>
      </w:r>
      <w:r w:rsidRPr="002612A7">
        <w:rPr>
          <w:rFonts w:ascii="ArialMT" w:eastAsia="Times New Roman" w:hAnsi="ArialMT" w:cs="Times New Roman"/>
          <w:color w:val="333333"/>
          <w:kern w:val="0"/>
          <w:sz w:val="16"/>
          <w:szCs w:val="16"/>
          <w14:ligatures w14:val="none"/>
        </w:rPr>
        <w:t>còn hạn chế và tài sản chưa được khai thác tối đa để tạo doanh thu</w:t>
      </w:r>
      <w:r w:rsidR="00C82462" w:rsidRPr="00C82462">
        <w:rPr>
          <w:rFonts w:ascii="ArialMT" w:eastAsia="Times New Roman" w:hAnsi="ArialMT" w:cs="Times New Roman"/>
          <w:color w:val="FF0000"/>
          <w:kern w:val="0"/>
          <w:sz w:val="22"/>
          <w:szCs w:val="22"/>
          <w14:ligatures w14:val="none"/>
        </w:rPr>
        <w:t xml:space="preserve">( Đoạn này cũng viết sai, </w:t>
      </w:r>
      <w:r w:rsidR="00C82462" w:rsidRPr="00C82462">
        <w:rPr>
          <w:rFonts w:ascii="Arial-BoldMT" w:eastAsia="Times New Roman" w:hAnsi="Arial-BoldMT" w:cs="Times New Roman"/>
          <w:b/>
          <w:bCs/>
          <w:color w:val="FF0000"/>
          <w:kern w:val="0"/>
          <w:sz w:val="22"/>
          <w:szCs w:val="22"/>
          <w14:ligatures w14:val="none"/>
        </w:rPr>
        <w:t>Asset Turnover</w:t>
      </w:r>
      <w:r w:rsidR="00C82462" w:rsidRPr="00C82462">
        <w:rPr>
          <w:rFonts w:ascii="Arial-BoldMT" w:eastAsia="Times New Roman" w:hAnsi="Arial-BoldMT" w:cs="Times New Roman"/>
          <w:b/>
          <w:bCs/>
          <w:color w:val="FF0000"/>
          <w:kern w:val="0"/>
          <w:sz w:val="22"/>
          <w:szCs w:val="22"/>
          <w14:ligatures w14:val="none"/>
        </w:rPr>
        <w:t xml:space="preserve"> là vòng quay tổng tài sản = doanh thu thuần/ Tổng tài sản bình quân = 36 tỷ/ 222 tỷ = 0.16, nghĩa là 1 đồng tài sản của công ty đang quay vòng tạo ra 0.16đ doanh thu trong năm 2024. Đối với 1 công ty chuyên vận hành dự án thủy điện, tổng mức đầu tư ban đầu lớn(dẫn đến tổng tài sản lớn), nhưng doanh thu lại được khai thác trong thời gian dài từ 20 năm đến 50 năm. Vì vậy vòng quay tổng tài sản các năm đầu sẽ thấp và tăng dần vào các năm sau do nguyên giá tài sản đã được khấu hao làm giảm dần giá trị tài sản)</w:t>
      </w:r>
      <w:r w:rsidRPr="00C82462">
        <w:rPr>
          <w:rFonts w:ascii="ArialMT" w:eastAsia="Times New Roman" w:hAnsi="ArialMT" w:cs="Times New Roman"/>
          <w:color w:val="FF0000"/>
          <w:kern w:val="0"/>
          <w:sz w:val="22"/>
          <w:szCs w:val="22"/>
          <w14:ligatures w14:val="none"/>
        </w:rPr>
        <w:t>. Dòng tiền thuần từ hoạt động kinh doanh tăng lên 17,59 tỷ đ, nhờ lợi nhuận trước thuế và giảm chi phí lãi vay, nhưng phần lớn lợi nhuận chưa được chuyển thành tiền mặt do tăng đáng kể các khoản phải thu</w:t>
      </w:r>
      <w:r w:rsidR="00C82462" w:rsidRPr="00C82462">
        <w:rPr>
          <w:rFonts w:ascii="ArialMT" w:eastAsia="Times New Roman" w:hAnsi="ArialMT" w:cs="Times New Roman"/>
          <w:color w:val="FF0000"/>
          <w:kern w:val="0"/>
          <w:sz w:val="22"/>
          <w:szCs w:val="22"/>
          <w14:ligatures w14:val="none"/>
        </w:rPr>
        <w:t>( đánh giá lợi nhuận chưa chuyển đổi thành tiền mặt là sai, 100% dòng tiền đã được chuyển đổi thành tiền mặt, công ty đã dùng để trả gốc, lãi ngân hàng, chi trả các chi phí hoạt động và trả trước cho 1 số người bán để đặt hàng như đã nói ở trên, chứ không phải đánh giá tăng các khoản phải thu từ đó đánh giá dòng tiền chưa được chuyển đổi thành tiền mặt là sai hoàn toàn)</w:t>
      </w:r>
      <w:r w:rsidRPr="002612A7">
        <w:rPr>
          <w:rFonts w:ascii="ArialMT" w:eastAsia="Times New Roman" w:hAnsi="ArialMT" w:cs="Times New Roman"/>
          <w:color w:val="333333"/>
          <w:kern w:val="0"/>
          <w:sz w:val="16"/>
          <w:szCs w:val="16"/>
          <w14:ligatures w14:val="none"/>
        </w:rPr>
        <w:t xml:space="preserve">. Như vậy, </w:t>
      </w:r>
      <w:r w:rsidRPr="002612A7">
        <w:rPr>
          <w:rFonts w:ascii="Arial-BoldMT" w:eastAsia="Times New Roman" w:hAnsi="Arial-BoldMT" w:cs="Times New Roman"/>
          <w:b/>
          <w:bCs/>
          <w:color w:val="000000"/>
          <w:kern w:val="0"/>
          <w:sz w:val="16"/>
          <w:szCs w:val="16"/>
          <w14:ligatures w14:val="none"/>
        </w:rPr>
        <w:t xml:space="preserve">tài sản bị sử dụng kém </w:t>
      </w:r>
      <w:r w:rsidRPr="002612A7">
        <w:rPr>
          <w:rFonts w:ascii="ArialMT" w:eastAsia="Times New Roman" w:hAnsi="ArialMT" w:cs="Times New Roman"/>
          <w:color w:val="333333"/>
          <w:kern w:val="0"/>
          <w:sz w:val="16"/>
          <w:szCs w:val="16"/>
          <w14:ligatures w14:val="none"/>
        </w:rPr>
        <w:t xml:space="preserve">chủ yếu là các khoản phải thu; tồn kho không gây áp lực lớn, còn chu kỳ chuyển đổi tiền (Cash Conversion Cycle) kéo dài do DSO cao, trong khi DIO và DPO tương đối ổn. Tổng kết: </w:t>
      </w:r>
      <w:r w:rsidRPr="002612A7">
        <w:rPr>
          <w:rFonts w:ascii="Arial-BoldMT" w:eastAsia="Times New Roman" w:hAnsi="Arial-BoldMT" w:cs="Times New Roman"/>
          <w:b/>
          <w:bCs/>
          <w:color w:val="000000"/>
          <w:kern w:val="0"/>
          <w:sz w:val="16"/>
          <w:szCs w:val="16"/>
          <w14:ligatures w14:val="none"/>
        </w:rPr>
        <w:t xml:space="preserve">Medium efficiency </w:t>
      </w:r>
      <w:r w:rsidRPr="002612A7">
        <w:rPr>
          <w:rFonts w:ascii="ArialMT" w:eastAsia="Times New Roman" w:hAnsi="ArialMT" w:cs="Times New Roman"/>
          <w:color w:val="333333"/>
          <w:kern w:val="0"/>
          <w:sz w:val="16"/>
          <w:szCs w:val="16"/>
          <w14:ligatures w14:val="none"/>
        </w:rPr>
        <w:t>với rủi ro tiềm tàng từ việc thu tiền chậm.</w:t>
      </w:r>
    </w:p>
    <w:p w14:paraId="66EF6B2C" w14:textId="30FDEF07" w:rsidR="00C82462" w:rsidRDefault="00C82462" w:rsidP="00FD5F62">
      <w:pPr>
        <w:jc w:val="both"/>
        <w:rPr>
          <w:rFonts w:ascii="ArialMT" w:eastAsia="Times New Roman" w:hAnsi="ArialMT" w:cs="Times New Roman"/>
          <w:color w:val="333333"/>
          <w:kern w:val="0"/>
          <w:sz w:val="16"/>
          <w:szCs w:val="16"/>
          <w14:ligatures w14:val="none"/>
        </w:rPr>
      </w:pPr>
      <w:r>
        <w:rPr>
          <w:rFonts w:ascii="ArialMT" w:eastAsia="Times New Roman" w:hAnsi="ArialMT" w:cs="Times New Roman"/>
          <w:color w:val="333333"/>
          <w:kern w:val="0"/>
          <w:sz w:val="16"/>
          <w:szCs w:val="16"/>
          <w14:ligatures w14:val="none"/>
        </w:rPr>
        <w:lastRenderedPageBreak/>
        <w:t xml:space="preserve">Nên đặt câu hỏi cho phần đánh giá </w:t>
      </w:r>
      <w:r w:rsidR="002B548E">
        <w:rPr>
          <w:rFonts w:ascii="ArialMT" w:eastAsia="Times New Roman" w:hAnsi="ArialMT" w:cs="Times New Roman"/>
          <w:color w:val="333333"/>
          <w:kern w:val="0"/>
          <w:sz w:val="16"/>
          <w:szCs w:val="16"/>
          <w14:ligatures w14:val="none"/>
        </w:rPr>
        <w:t>khả năng sinh lời và hiệu quả hoạt động này. Cần chia ra 2 câu hỏi:</w:t>
      </w:r>
    </w:p>
    <w:p w14:paraId="7F6FDC9F" w14:textId="77777777" w:rsidR="002B548E" w:rsidRDefault="002B548E" w:rsidP="002B548E">
      <w:pPr>
        <w:jc w:val="both"/>
      </w:pPr>
      <w:r>
        <w:t>- Question 1 : Đánh giá khả năng sinh lời và hiệu quả hoạt động của Công ty năm 2024 dựa trên số liệu báo cáo tài chính đã được kiểm toán?</w:t>
      </w:r>
    </w:p>
    <w:p w14:paraId="4092DC9C" w14:textId="62FD7171" w:rsidR="002B548E" w:rsidRDefault="002B548E" w:rsidP="00FD5F62">
      <w:pPr>
        <w:jc w:val="both"/>
        <w:rPr>
          <w:rFonts w:ascii="ArialMT" w:eastAsia="Times New Roman" w:hAnsi="ArialMT" w:cs="Times New Roman"/>
          <w:color w:val="333333"/>
          <w:kern w:val="0"/>
          <w:sz w:val="16"/>
          <w:szCs w:val="16"/>
          <w14:ligatures w14:val="none"/>
        </w:rPr>
      </w:pPr>
      <w:r>
        <w:rPr>
          <w:rFonts w:ascii="ArialMT" w:eastAsia="Times New Roman" w:hAnsi="ArialMT" w:cs="Times New Roman"/>
          <w:color w:val="333333"/>
          <w:kern w:val="0"/>
          <w:sz w:val="16"/>
          <w:szCs w:val="16"/>
          <w14:ligatures w14:val="none"/>
        </w:rPr>
        <w:t>Sau khi đặt câu hỏi này, nó sẽ ra kết quả tính toán dựa thuần 100% trên số liệu kế toán. Sau khi nó ra kết quả.Mình sẽ hỏi tiếp câu hỏi 2 như sau:</w:t>
      </w:r>
    </w:p>
    <w:p w14:paraId="0959EC9E" w14:textId="479CE8A2" w:rsidR="002B548E" w:rsidRPr="002B548E" w:rsidRDefault="002B548E" w:rsidP="00FD5F62">
      <w:pPr>
        <w:jc w:val="both"/>
      </w:pPr>
      <w:r w:rsidRPr="002B548E">
        <w:t xml:space="preserve">- Question 2 : Tồn kho của công ty chủ yếu là công cụ dụng cụ, tồn kho giảm do công ty đã khấu hao dần làm giảm giá trị công cụ dụng cụ hoặc thanh lý bớt một số công cụ dụng cụ không còn sử dụng được trong năm. Các khoản phải thu tăng không phải do tăng các khoản phải thu từ doanh thu bán điện cho EVN mà phải thu tăng do công ty đã chi trả trước cho 1 số người bán </w:t>
      </w:r>
      <w:r w:rsidRPr="002B548E">
        <w:t>Công ty năng lượng Hải Hòa 2.388 tr.đồng, các khách hàng khác 551tr.đồng</w:t>
      </w:r>
      <w:r w:rsidRPr="002B548E">
        <w:t xml:space="preserve"> để đặt trước một số mặt hàng. Sau khi bổ sung thêm dữ liệu trên, bạn đánh giá lại khả năng sinh lời và hiệu quả hoạt động của công ty như thế nào?</w:t>
      </w:r>
    </w:p>
    <w:p w14:paraId="5AD0CB8E" w14:textId="77777777" w:rsidR="00FD5F62" w:rsidRPr="002612A7" w:rsidRDefault="00FD5F62" w:rsidP="00BE06A8">
      <w:pPr>
        <w:jc w:val="both"/>
      </w:pPr>
    </w:p>
    <w:p w14:paraId="54D1A650" w14:textId="614B52CD" w:rsidR="00BE06A8" w:rsidRDefault="00BE06A8" w:rsidP="00BE06A8">
      <w:pPr>
        <w:jc w:val="both"/>
      </w:pPr>
    </w:p>
    <w:sectPr w:rsidR="00BE06A8" w:rsidSect="00C54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SegoeUI">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21A1B"/>
    <w:multiLevelType w:val="hybridMultilevel"/>
    <w:tmpl w:val="583EC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8FA"/>
    <w:multiLevelType w:val="hybridMultilevel"/>
    <w:tmpl w:val="583EC7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6445257">
    <w:abstractNumId w:val="0"/>
  </w:num>
  <w:num w:numId="2" w16cid:durableId="1880698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F3"/>
    <w:rsid w:val="002612A7"/>
    <w:rsid w:val="00276C56"/>
    <w:rsid w:val="002B548E"/>
    <w:rsid w:val="00700917"/>
    <w:rsid w:val="00721714"/>
    <w:rsid w:val="008D0340"/>
    <w:rsid w:val="00A16DB9"/>
    <w:rsid w:val="00A36E53"/>
    <w:rsid w:val="00B80ADD"/>
    <w:rsid w:val="00BE06A8"/>
    <w:rsid w:val="00C540F3"/>
    <w:rsid w:val="00C63949"/>
    <w:rsid w:val="00C82462"/>
    <w:rsid w:val="00CD2A89"/>
    <w:rsid w:val="00F700DF"/>
    <w:rsid w:val="00FD5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753B"/>
  <w15:chartTrackingRefBased/>
  <w15:docId w15:val="{BF1F464D-7066-4F80-89F0-5D81ABEC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0F3"/>
    <w:rPr>
      <w:rFonts w:eastAsiaTheme="majorEastAsia" w:cstheme="majorBidi"/>
      <w:color w:val="272727" w:themeColor="text1" w:themeTint="D8"/>
    </w:rPr>
  </w:style>
  <w:style w:type="paragraph" w:styleId="Title">
    <w:name w:val="Title"/>
    <w:basedOn w:val="Normal"/>
    <w:next w:val="Normal"/>
    <w:link w:val="TitleChar"/>
    <w:uiPriority w:val="10"/>
    <w:qFormat/>
    <w:rsid w:val="00C54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0F3"/>
    <w:pPr>
      <w:spacing w:before="160"/>
      <w:jc w:val="center"/>
    </w:pPr>
    <w:rPr>
      <w:i/>
      <w:iCs/>
      <w:color w:val="404040" w:themeColor="text1" w:themeTint="BF"/>
    </w:rPr>
  </w:style>
  <w:style w:type="character" w:customStyle="1" w:styleId="QuoteChar">
    <w:name w:val="Quote Char"/>
    <w:basedOn w:val="DefaultParagraphFont"/>
    <w:link w:val="Quote"/>
    <w:uiPriority w:val="29"/>
    <w:rsid w:val="00C540F3"/>
    <w:rPr>
      <w:i/>
      <w:iCs/>
      <w:color w:val="404040" w:themeColor="text1" w:themeTint="BF"/>
    </w:rPr>
  </w:style>
  <w:style w:type="paragraph" w:styleId="ListParagraph">
    <w:name w:val="List Paragraph"/>
    <w:basedOn w:val="Normal"/>
    <w:uiPriority w:val="34"/>
    <w:qFormat/>
    <w:rsid w:val="00C540F3"/>
    <w:pPr>
      <w:ind w:left="720"/>
      <w:contextualSpacing/>
    </w:pPr>
  </w:style>
  <w:style w:type="character" w:styleId="IntenseEmphasis">
    <w:name w:val="Intense Emphasis"/>
    <w:basedOn w:val="DefaultParagraphFont"/>
    <w:uiPriority w:val="21"/>
    <w:qFormat/>
    <w:rsid w:val="00C540F3"/>
    <w:rPr>
      <w:i/>
      <w:iCs/>
      <w:color w:val="0F4761" w:themeColor="accent1" w:themeShade="BF"/>
    </w:rPr>
  </w:style>
  <w:style w:type="paragraph" w:styleId="IntenseQuote">
    <w:name w:val="Intense Quote"/>
    <w:basedOn w:val="Normal"/>
    <w:next w:val="Normal"/>
    <w:link w:val="IntenseQuoteChar"/>
    <w:uiPriority w:val="30"/>
    <w:qFormat/>
    <w:rsid w:val="00C54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0F3"/>
    <w:rPr>
      <w:i/>
      <w:iCs/>
      <w:color w:val="0F4761" w:themeColor="accent1" w:themeShade="BF"/>
    </w:rPr>
  </w:style>
  <w:style w:type="character" w:styleId="IntenseReference">
    <w:name w:val="Intense Reference"/>
    <w:basedOn w:val="DefaultParagraphFont"/>
    <w:uiPriority w:val="32"/>
    <w:qFormat/>
    <w:rsid w:val="00C540F3"/>
    <w:rPr>
      <w:b/>
      <w:bCs/>
      <w:smallCaps/>
      <w:color w:val="0F4761" w:themeColor="accent1" w:themeShade="BF"/>
      <w:spacing w:val="5"/>
    </w:rPr>
  </w:style>
  <w:style w:type="character" w:customStyle="1" w:styleId="fontstyle01">
    <w:name w:val="fontstyle01"/>
    <w:basedOn w:val="DefaultParagraphFont"/>
    <w:rsid w:val="00C540F3"/>
    <w:rPr>
      <w:rFonts w:ascii="Arial-BoldMT" w:hAnsi="Arial-BoldMT" w:hint="default"/>
      <w:b/>
      <w:bCs/>
      <w:i w:val="0"/>
      <w:iCs w:val="0"/>
      <w:color w:val="000000"/>
      <w:sz w:val="24"/>
      <w:szCs w:val="24"/>
    </w:rPr>
  </w:style>
  <w:style w:type="character" w:customStyle="1" w:styleId="fontstyle21">
    <w:name w:val="fontstyle21"/>
    <w:basedOn w:val="DefaultParagraphFont"/>
    <w:rsid w:val="00C540F3"/>
    <w:rPr>
      <w:rFonts w:ascii="ArialMT" w:hAnsi="ArialMT" w:hint="default"/>
      <w:b w:val="0"/>
      <w:bCs w:val="0"/>
      <w:i w:val="0"/>
      <w:iCs w:val="0"/>
      <w:color w:val="333333"/>
      <w:sz w:val="16"/>
      <w:szCs w:val="16"/>
    </w:rPr>
  </w:style>
  <w:style w:type="character" w:customStyle="1" w:styleId="fontstyle31">
    <w:name w:val="fontstyle31"/>
    <w:basedOn w:val="DefaultParagraphFont"/>
    <w:rsid w:val="002612A7"/>
    <w:rPr>
      <w:rFonts w:ascii="SegoeUI" w:hAnsi="SegoeUI" w:hint="default"/>
      <w:b w:val="0"/>
      <w:bCs w:val="0"/>
      <w:i w:val="0"/>
      <w:iCs w:val="0"/>
      <w:color w:val="3333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096276">
      <w:bodyDiv w:val="1"/>
      <w:marLeft w:val="0"/>
      <w:marRight w:val="0"/>
      <w:marTop w:val="0"/>
      <w:marBottom w:val="0"/>
      <w:divBdr>
        <w:top w:val="none" w:sz="0" w:space="0" w:color="auto"/>
        <w:left w:val="none" w:sz="0" w:space="0" w:color="auto"/>
        <w:bottom w:val="none" w:sz="0" w:space="0" w:color="auto"/>
        <w:right w:val="none" w:sz="0" w:space="0" w:color="auto"/>
      </w:divBdr>
    </w:div>
    <w:div w:id="127382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2026-04-10T16:24:00Z</dcterms:created>
  <dcterms:modified xsi:type="dcterms:W3CDTF">2026-04-11T04:51:00Z</dcterms:modified>
</cp:coreProperties>
</file>