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246B70"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246B70"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included should empirically explore the association between predictors classified as constructs of the IMBP and tobacco smoking and cessation behaviour.</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w:t>
      </w:r>
      <w:r w:rsidRPr="0084518F">
        <w:rPr>
          <w:rFonts w:ascii="Times" w:hAnsi="Times"/>
          <w:color w:val="000000" w:themeColor="text1"/>
          <w:lang w:val="en-GB"/>
        </w:rPr>
        <w:lastRenderedPageBreak/>
        <w:t xml:space="preserve">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lastRenderedPageBreak/>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w:t>
      </w:r>
      <w:r w:rsidRPr="0084518F">
        <w:rPr>
          <w:rFonts w:ascii="Times" w:hAnsi="Times"/>
          <w:color w:val="000000" w:themeColor="text1"/>
          <w:lang w:val="en-GB"/>
        </w:rPr>
        <w:lastRenderedPageBreak/>
        <w:t xml:space="preserve">measure of interest for the meta-analysis, other effect measures such as standardised mean 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279D0"/>
    <w:rsid w:val="0009322E"/>
    <w:rsid w:val="000E55CC"/>
    <w:rsid w:val="000E7C49"/>
    <w:rsid w:val="00110A62"/>
    <w:rsid w:val="001A2B94"/>
    <w:rsid w:val="001D4053"/>
    <w:rsid w:val="00200D53"/>
    <w:rsid w:val="00246B70"/>
    <w:rsid w:val="00285BB7"/>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C3697A"/>
    <w:rsid w:val="00C73A01"/>
    <w:rsid w:val="00CF6ADD"/>
    <w:rsid w:val="00E83086"/>
    <w:rsid w:val="00E9649E"/>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11</cp:revision>
  <dcterms:created xsi:type="dcterms:W3CDTF">2021-09-09T12:35:00Z</dcterms:created>
  <dcterms:modified xsi:type="dcterms:W3CDTF">2021-09-16T08:50:00Z</dcterms:modified>
</cp:coreProperties>
</file>